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tblInd w:w="-72" w:type="dxa"/>
        <w:tblLayout w:type="fixed"/>
        <w:tblLook w:val="0000" w:firstRow="0" w:lastRow="0" w:firstColumn="0" w:lastColumn="0" w:noHBand="0" w:noVBand="0"/>
      </w:tblPr>
      <w:tblGrid>
        <w:gridCol w:w="810"/>
        <w:gridCol w:w="9000"/>
        <w:gridCol w:w="522"/>
      </w:tblGrid>
      <w:tr w:rsidR="005E5399" w14:paraId="58A1A141" w14:textId="77777777" w:rsidTr="004315AE">
        <w:tc>
          <w:tcPr>
            <w:tcW w:w="810" w:type="dxa"/>
          </w:tcPr>
          <w:p w14:paraId="4BDEAA03" w14:textId="77777777" w:rsidR="005E5399" w:rsidRDefault="005E5399">
            <w:pPr>
              <w:jc w:val="center"/>
              <w:rPr>
                <w:sz w:val="16"/>
              </w:rPr>
            </w:pPr>
            <w:bookmarkStart w:id="0" w:name="_GoBack"/>
            <w:bookmarkEnd w:id="0"/>
          </w:p>
        </w:tc>
        <w:tc>
          <w:tcPr>
            <w:tcW w:w="9000" w:type="dxa"/>
          </w:tcPr>
          <w:p w14:paraId="382D24B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BC48DF">
              <w:rPr>
                <w:b/>
                <w:sz w:val="24"/>
                <w:szCs w:val="24"/>
              </w:rPr>
              <w:t>AL QUALITY</w:t>
            </w:r>
          </w:p>
          <w:p w14:paraId="36E70C80" w14:textId="77777777" w:rsidR="005E5399" w:rsidRDefault="00012E33">
            <w:pPr>
              <w:spacing w:before="20" w:after="20"/>
              <w:jc w:val="center"/>
              <w:rPr>
                <w:sz w:val="16"/>
              </w:rPr>
            </w:pPr>
            <w:r w:rsidRPr="00012E33">
              <w:rPr>
                <w:b/>
                <w:sz w:val="24"/>
                <w:szCs w:val="24"/>
              </w:rPr>
              <w:t>AIR QUALITY DIVISION</w:t>
            </w:r>
          </w:p>
        </w:tc>
        <w:tc>
          <w:tcPr>
            <w:tcW w:w="522" w:type="dxa"/>
          </w:tcPr>
          <w:p w14:paraId="58D759EC" w14:textId="77777777" w:rsidR="005E5399" w:rsidRDefault="005E5399">
            <w:pPr>
              <w:jc w:val="center"/>
              <w:rPr>
                <w:b/>
                <w:sz w:val="24"/>
              </w:rPr>
            </w:pPr>
          </w:p>
        </w:tc>
      </w:tr>
      <w:tr w:rsidR="005E5399" w14:paraId="19D2AA82" w14:textId="77777777" w:rsidTr="004315AE">
        <w:trPr>
          <w:cantSplit/>
          <w:trHeight w:val="146"/>
        </w:trPr>
        <w:tc>
          <w:tcPr>
            <w:tcW w:w="10332" w:type="dxa"/>
            <w:gridSpan w:val="3"/>
          </w:tcPr>
          <w:p w14:paraId="4BB41161" w14:textId="77777777" w:rsidR="00C7692A" w:rsidRPr="006B4E48" w:rsidRDefault="00C7692A" w:rsidP="00C2618F">
            <w:pPr>
              <w:jc w:val="center"/>
              <w:rPr>
                <w:szCs w:val="22"/>
              </w:rPr>
            </w:pPr>
          </w:p>
          <w:p w14:paraId="560B9D1D" w14:textId="6E303D0A" w:rsidR="00C7692A" w:rsidRDefault="006F5D35" w:rsidP="00C2618F">
            <w:pPr>
              <w:jc w:val="center"/>
              <w:rPr>
                <w:color w:val="FF0000"/>
                <w:szCs w:val="22"/>
              </w:rPr>
            </w:pPr>
            <w:r w:rsidRPr="00927270">
              <w:rPr>
                <w:szCs w:val="22"/>
              </w:rPr>
              <w:t xml:space="preserve">EFFECTIVE </w:t>
            </w:r>
            <w:r w:rsidR="00C7692A" w:rsidRPr="00927270">
              <w:rPr>
                <w:szCs w:val="22"/>
              </w:rPr>
              <w:t>DATE</w:t>
            </w:r>
            <w:r w:rsidRPr="00927270">
              <w:rPr>
                <w:szCs w:val="22"/>
              </w:rPr>
              <w:t>:</w:t>
            </w:r>
            <w:r w:rsidR="009F59CB">
              <w:rPr>
                <w:szCs w:val="22"/>
              </w:rPr>
              <w:t xml:space="preserve">  September 12, 2018</w:t>
            </w:r>
          </w:p>
          <w:p w14:paraId="16974A70" w14:textId="77777777" w:rsidR="006B4E48" w:rsidRPr="00927270" w:rsidRDefault="006B4E48" w:rsidP="00C2618F">
            <w:pPr>
              <w:jc w:val="center"/>
              <w:rPr>
                <w:szCs w:val="22"/>
              </w:rPr>
            </w:pPr>
          </w:p>
          <w:p w14:paraId="450F698D" w14:textId="77777777" w:rsidR="00C2618F" w:rsidRPr="00927270" w:rsidRDefault="00C2618F" w:rsidP="00C2618F">
            <w:pPr>
              <w:jc w:val="center"/>
              <w:rPr>
                <w:szCs w:val="22"/>
              </w:rPr>
            </w:pPr>
            <w:r w:rsidRPr="00927270">
              <w:rPr>
                <w:szCs w:val="22"/>
              </w:rPr>
              <w:t>ISSUED TO</w:t>
            </w:r>
          </w:p>
          <w:p w14:paraId="7B512F45" w14:textId="77777777" w:rsidR="00C2618F" w:rsidRPr="00927270" w:rsidRDefault="00C2618F" w:rsidP="00C2618F">
            <w:pPr>
              <w:jc w:val="center"/>
              <w:rPr>
                <w:szCs w:val="22"/>
              </w:rPr>
            </w:pPr>
          </w:p>
          <w:p w14:paraId="748F5D3A" w14:textId="0011C747" w:rsidR="00B9050D" w:rsidRPr="00745818" w:rsidRDefault="00882B03" w:rsidP="00B9050D">
            <w:pPr>
              <w:jc w:val="center"/>
              <w:rPr>
                <w:b/>
                <w:szCs w:val="22"/>
              </w:rPr>
            </w:pPr>
            <w:bookmarkStart w:id="1" w:name="bCompanyName"/>
            <w:r>
              <w:rPr>
                <w:b/>
                <w:szCs w:val="22"/>
              </w:rPr>
              <w:t>ANR Pipeline Company</w:t>
            </w:r>
            <w:r w:rsidR="007A0DFE">
              <w:rPr>
                <w:b/>
                <w:szCs w:val="22"/>
              </w:rPr>
              <w:t xml:space="preserve"> – Bridgman Compressor Station</w:t>
            </w:r>
          </w:p>
          <w:bookmarkEnd w:id="1"/>
          <w:p w14:paraId="3AF88151" w14:textId="77777777" w:rsidR="00C2618F" w:rsidRPr="00927270" w:rsidRDefault="00C2618F" w:rsidP="00C2618F">
            <w:pPr>
              <w:jc w:val="center"/>
              <w:rPr>
                <w:szCs w:val="22"/>
              </w:rPr>
            </w:pPr>
          </w:p>
          <w:p w14:paraId="6A85D504" w14:textId="77777777" w:rsidR="00C2618F" w:rsidRDefault="00C2618F" w:rsidP="00C2618F">
            <w:pPr>
              <w:jc w:val="center"/>
              <w:rPr>
                <w:szCs w:val="22"/>
              </w:rPr>
            </w:pPr>
            <w:r w:rsidRPr="00927270">
              <w:rPr>
                <w:szCs w:val="22"/>
              </w:rPr>
              <w:t xml:space="preserve">State Registration Number (SRN):  </w:t>
            </w:r>
            <w:bookmarkStart w:id="2" w:name="bSRN"/>
            <w:r w:rsidR="00882B03">
              <w:rPr>
                <w:szCs w:val="22"/>
              </w:rPr>
              <w:t>N5575</w:t>
            </w:r>
            <w:bookmarkEnd w:id="2"/>
          </w:p>
          <w:p w14:paraId="2B49FD6E" w14:textId="77777777" w:rsidR="00807634" w:rsidRPr="00927270" w:rsidRDefault="00807634" w:rsidP="00C2618F">
            <w:pPr>
              <w:jc w:val="center"/>
              <w:rPr>
                <w:szCs w:val="22"/>
              </w:rPr>
            </w:pPr>
          </w:p>
          <w:p w14:paraId="508C2BEB" w14:textId="77777777" w:rsidR="00C2618F" w:rsidRPr="00927270" w:rsidRDefault="00C2618F" w:rsidP="00C2618F">
            <w:pPr>
              <w:jc w:val="center"/>
              <w:rPr>
                <w:szCs w:val="22"/>
              </w:rPr>
            </w:pPr>
            <w:r w:rsidRPr="00927270">
              <w:rPr>
                <w:szCs w:val="22"/>
              </w:rPr>
              <w:t>LOCATED AT</w:t>
            </w:r>
          </w:p>
          <w:p w14:paraId="2C7DB0BC" w14:textId="77777777" w:rsidR="002B29E9" w:rsidRPr="00927270" w:rsidRDefault="002B29E9" w:rsidP="002B29E9">
            <w:pPr>
              <w:jc w:val="center"/>
              <w:rPr>
                <w:szCs w:val="22"/>
              </w:rPr>
            </w:pPr>
          </w:p>
          <w:p w14:paraId="6CF1F862" w14:textId="77777777" w:rsidR="005E5399" w:rsidRPr="003F5BE8" w:rsidRDefault="00882B03" w:rsidP="002B29E9">
            <w:pPr>
              <w:jc w:val="center"/>
              <w:rPr>
                <w:szCs w:val="22"/>
              </w:rPr>
            </w:pPr>
            <w:bookmarkStart w:id="3" w:name="bStreetAddress"/>
            <w:bookmarkEnd w:id="3"/>
            <w:r>
              <w:rPr>
                <w:szCs w:val="22"/>
              </w:rPr>
              <w:t>3372 Browntown Road</w:t>
            </w:r>
            <w:r w:rsidR="002B29E9">
              <w:rPr>
                <w:szCs w:val="22"/>
              </w:rPr>
              <w:t xml:space="preserve">, </w:t>
            </w:r>
            <w:bookmarkStart w:id="4" w:name="bCity"/>
            <w:bookmarkEnd w:id="4"/>
            <w:r>
              <w:rPr>
                <w:szCs w:val="22"/>
              </w:rPr>
              <w:t>Bridgman</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49106</w:t>
            </w:r>
          </w:p>
        </w:tc>
      </w:tr>
      <w:tr w:rsidR="00C2618F" w:rsidRPr="00DF47A8" w14:paraId="64FCC85D" w14:textId="77777777" w:rsidTr="004315AE">
        <w:trPr>
          <w:cantSplit/>
          <w:trHeight w:val="145"/>
        </w:trPr>
        <w:tc>
          <w:tcPr>
            <w:tcW w:w="10332" w:type="dxa"/>
            <w:gridSpan w:val="3"/>
          </w:tcPr>
          <w:p w14:paraId="41E40E13" w14:textId="77777777" w:rsidR="00C2618F" w:rsidRPr="00DF47A8" w:rsidRDefault="00C2618F" w:rsidP="00C2618F">
            <w:pPr>
              <w:pStyle w:val="Header"/>
              <w:spacing w:before="20" w:after="20"/>
              <w:rPr>
                <w:szCs w:val="22"/>
              </w:rPr>
            </w:pPr>
          </w:p>
        </w:tc>
      </w:tr>
      <w:tr w:rsidR="00C2618F" w:rsidRPr="001838ED" w14:paraId="703C0A7E" w14:textId="77777777" w:rsidTr="004315AE">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332" w:type="dxa"/>
            <w:gridSpan w:val="3"/>
            <w:shd w:val="clear" w:color="auto" w:fill="auto"/>
          </w:tcPr>
          <w:p w14:paraId="509F9357" w14:textId="77777777" w:rsidR="00C2618F" w:rsidRPr="006F2C46" w:rsidRDefault="00C2618F" w:rsidP="001838ED">
            <w:pPr>
              <w:jc w:val="center"/>
              <w:rPr>
                <w:szCs w:val="22"/>
              </w:rPr>
            </w:pPr>
          </w:p>
          <w:p w14:paraId="14E45E9A" w14:textId="77777777" w:rsidR="00C2618F" w:rsidRPr="001838ED" w:rsidRDefault="00C2618F" w:rsidP="001838ED">
            <w:pPr>
              <w:jc w:val="center"/>
              <w:rPr>
                <w:b/>
                <w:sz w:val="28"/>
              </w:rPr>
            </w:pPr>
            <w:r w:rsidRPr="001838ED">
              <w:rPr>
                <w:b/>
                <w:sz w:val="28"/>
              </w:rPr>
              <w:t>RENEWABLE OPERATING PERMIT</w:t>
            </w:r>
          </w:p>
          <w:p w14:paraId="180E064D" w14:textId="77777777" w:rsidR="00C2618F" w:rsidRPr="001838ED" w:rsidRDefault="00C2618F" w:rsidP="001838ED">
            <w:pPr>
              <w:ind w:left="3240"/>
              <w:rPr>
                <w:sz w:val="24"/>
              </w:rPr>
            </w:pPr>
          </w:p>
          <w:p w14:paraId="6D146EF8" w14:textId="2D29FC66"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82B03">
              <w:rPr>
                <w:sz w:val="24"/>
              </w:rPr>
              <w:t>N5575</w:t>
            </w:r>
            <w:bookmarkStart w:id="7" w:name="bIssueYear"/>
            <w:bookmarkEnd w:id="7"/>
            <w:r w:rsidR="004315AE">
              <w:rPr>
                <w:sz w:val="24"/>
              </w:rPr>
              <w:t>-20</w:t>
            </w:r>
            <w:r w:rsidR="009F59CB">
              <w:rPr>
                <w:sz w:val="24"/>
              </w:rPr>
              <w:t>18</w:t>
            </w:r>
          </w:p>
          <w:p w14:paraId="43F2065F" w14:textId="77777777" w:rsidR="00C2618F" w:rsidRPr="001838ED" w:rsidRDefault="00C2618F" w:rsidP="001838ED">
            <w:pPr>
              <w:ind w:left="3240"/>
              <w:rPr>
                <w:sz w:val="24"/>
              </w:rPr>
            </w:pPr>
          </w:p>
          <w:p w14:paraId="36EB421B" w14:textId="543FACFC" w:rsidR="00C2618F" w:rsidRPr="001838ED" w:rsidRDefault="00C2618F" w:rsidP="001838ED">
            <w:pPr>
              <w:ind w:left="2880" w:firstLine="720"/>
              <w:rPr>
                <w:sz w:val="24"/>
                <w:szCs w:val="24"/>
              </w:rPr>
            </w:pPr>
            <w:r w:rsidRPr="001838ED">
              <w:rPr>
                <w:sz w:val="24"/>
              </w:rPr>
              <w:t>Expiration Date:</w:t>
            </w:r>
            <w:r w:rsidRPr="001838ED">
              <w:rPr>
                <w:sz w:val="24"/>
              </w:rPr>
              <w:tab/>
            </w:r>
            <w:r w:rsidR="009F59CB">
              <w:rPr>
                <w:sz w:val="24"/>
              </w:rPr>
              <w:t>September 12, 2023</w:t>
            </w:r>
          </w:p>
          <w:p w14:paraId="7A53C63E" w14:textId="77777777" w:rsidR="0025601A" w:rsidRPr="001838ED" w:rsidRDefault="0025601A" w:rsidP="001838ED">
            <w:pPr>
              <w:ind w:left="2880" w:firstLine="360"/>
              <w:rPr>
                <w:sz w:val="24"/>
              </w:rPr>
            </w:pPr>
          </w:p>
          <w:p w14:paraId="7AE940D1" w14:textId="5A9C1A41"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r w:rsidR="009F59CB">
              <w:rPr>
                <w:sz w:val="24"/>
                <w:szCs w:val="24"/>
              </w:rPr>
              <w:t>March 12, 2022 and March 12, 2023</w:t>
            </w:r>
          </w:p>
          <w:p w14:paraId="0050F50E" w14:textId="77777777" w:rsidR="00DF47A8" w:rsidRPr="001838ED" w:rsidRDefault="00DF47A8" w:rsidP="00DF47A8">
            <w:pPr>
              <w:rPr>
                <w:sz w:val="24"/>
              </w:rPr>
            </w:pPr>
            <w:bookmarkStart w:id="9" w:name="bAppDueDate2"/>
            <w:bookmarkEnd w:id="9"/>
          </w:p>
          <w:p w14:paraId="3CD5C6E5"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A6B810E" w14:textId="77777777" w:rsidR="00C2618F" w:rsidRDefault="00C2618F" w:rsidP="00C2618F">
      <w:pPr>
        <w:jc w:val="center"/>
      </w:pPr>
    </w:p>
    <w:tbl>
      <w:tblPr>
        <w:tblW w:w="5119"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375"/>
      </w:tblGrid>
      <w:tr w:rsidR="00C2618F" w14:paraId="3A18CEEA" w14:textId="77777777" w:rsidTr="004315AE">
        <w:trPr>
          <w:jc w:val="center"/>
        </w:trPr>
        <w:tc>
          <w:tcPr>
            <w:tcW w:w="10376" w:type="dxa"/>
            <w:shd w:val="clear" w:color="auto" w:fill="auto"/>
          </w:tcPr>
          <w:p w14:paraId="1942C48A" w14:textId="77777777" w:rsidR="00461E40" w:rsidRPr="006F2C46" w:rsidRDefault="00461E40" w:rsidP="0025601A">
            <w:pPr>
              <w:jc w:val="center"/>
              <w:rPr>
                <w:b/>
                <w:szCs w:val="22"/>
              </w:rPr>
            </w:pPr>
          </w:p>
          <w:p w14:paraId="317A9C6E" w14:textId="77777777" w:rsidR="005D5FBE" w:rsidRDefault="0058429B" w:rsidP="0025601A">
            <w:pPr>
              <w:jc w:val="center"/>
              <w:rPr>
                <w:b/>
                <w:sz w:val="28"/>
                <w:szCs w:val="28"/>
              </w:rPr>
            </w:pPr>
            <w:r>
              <w:rPr>
                <w:b/>
                <w:sz w:val="28"/>
                <w:szCs w:val="28"/>
              </w:rPr>
              <w:t>SOURCE-WIDE PERMIT TO INSTALL</w:t>
            </w:r>
          </w:p>
          <w:p w14:paraId="47CFE793" w14:textId="77777777" w:rsidR="0058429B" w:rsidRPr="005161BF" w:rsidRDefault="0058429B" w:rsidP="0025601A">
            <w:pPr>
              <w:jc w:val="center"/>
              <w:rPr>
                <w:color w:val="FF0000"/>
                <w:sz w:val="24"/>
                <w:szCs w:val="24"/>
              </w:rPr>
            </w:pPr>
          </w:p>
          <w:p w14:paraId="0DF3D469" w14:textId="5A48AEDC"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882B03">
              <w:rPr>
                <w:sz w:val="24"/>
                <w:szCs w:val="24"/>
              </w:rPr>
              <w:t>N5575</w:t>
            </w:r>
            <w:bookmarkStart w:id="11" w:name="bIssueYear2"/>
            <w:bookmarkEnd w:id="11"/>
            <w:r w:rsidR="004315AE">
              <w:rPr>
                <w:sz w:val="24"/>
                <w:szCs w:val="24"/>
              </w:rPr>
              <w:t>-20</w:t>
            </w:r>
            <w:r w:rsidR="009F59CB">
              <w:rPr>
                <w:sz w:val="24"/>
                <w:szCs w:val="24"/>
              </w:rPr>
              <w:t>18</w:t>
            </w:r>
          </w:p>
          <w:p w14:paraId="5E288A19" w14:textId="77777777" w:rsidR="00C2618F" w:rsidRPr="006F2C46" w:rsidRDefault="00C2618F" w:rsidP="0025601A">
            <w:pPr>
              <w:jc w:val="center"/>
              <w:rPr>
                <w:sz w:val="24"/>
                <w:szCs w:val="24"/>
              </w:rPr>
            </w:pPr>
          </w:p>
          <w:p w14:paraId="5446C5A3"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64C6B289" w14:textId="77777777" w:rsidR="004315AE" w:rsidRDefault="004315AE" w:rsidP="00F73D71">
      <w:pPr>
        <w:ind w:left="-180"/>
        <w:rPr>
          <w:szCs w:val="22"/>
        </w:rPr>
      </w:pPr>
    </w:p>
    <w:p w14:paraId="35BC0F35" w14:textId="77777777" w:rsidR="00DC44C7" w:rsidRDefault="00BC48DF" w:rsidP="001C432A">
      <w:pPr>
        <w:ind w:left="-180" w:firstLine="90"/>
        <w:rPr>
          <w:szCs w:val="22"/>
        </w:rPr>
      </w:pPr>
      <w:r>
        <w:rPr>
          <w:szCs w:val="22"/>
        </w:rPr>
        <w:t>Michigan Department of Environmental Quality</w:t>
      </w:r>
    </w:p>
    <w:p w14:paraId="0AA02B24" w14:textId="77777777" w:rsidR="00233961" w:rsidRDefault="00233961" w:rsidP="00F73D71">
      <w:pPr>
        <w:ind w:left="-180"/>
        <w:rPr>
          <w:szCs w:val="22"/>
        </w:rPr>
      </w:pPr>
    </w:p>
    <w:p w14:paraId="3DA3B11C" w14:textId="77777777" w:rsidR="006F2C46" w:rsidRDefault="006F2C46" w:rsidP="00F73D71">
      <w:pPr>
        <w:ind w:left="-180"/>
        <w:rPr>
          <w:szCs w:val="22"/>
        </w:rPr>
      </w:pPr>
    </w:p>
    <w:p w14:paraId="4BCE5F61" w14:textId="77777777" w:rsidR="002332C3" w:rsidRPr="004315AE" w:rsidRDefault="004315AE" w:rsidP="001C432A">
      <w:pPr>
        <w:ind w:left="-180" w:firstLine="90"/>
        <w:rPr>
          <w:szCs w:val="22"/>
        </w:rPr>
      </w:pP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472DEEC5" w14:textId="77777777" w:rsidR="002F4C64" w:rsidRPr="0097673C" w:rsidRDefault="00882B03" w:rsidP="001C432A">
      <w:pPr>
        <w:ind w:hanging="90"/>
        <w:rPr>
          <w:b/>
          <w:sz w:val="18"/>
        </w:rPr>
      </w:pPr>
      <w:bookmarkStart w:id="12" w:name="bDS"/>
      <w:bookmarkEnd w:id="12"/>
      <w:r>
        <w:rPr>
          <w:szCs w:val="22"/>
        </w:rPr>
        <w:t>Mary</w:t>
      </w:r>
      <w:r w:rsidR="004315AE">
        <w:rPr>
          <w:szCs w:val="22"/>
        </w:rPr>
        <w:t xml:space="preserve"> A.</w:t>
      </w:r>
      <w:r>
        <w:rPr>
          <w:szCs w:val="22"/>
        </w:rPr>
        <w:t xml:space="preserve"> Douglas,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482DCFEF" w14:textId="77777777" w:rsidR="002F4C64" w:rsidRDefault="002F4C64" w:rsidP="002F4C64"/>
    <w:p w14:paraId="7DE328C1" w14:textId="1237ED72" w:rsidR="00B40509"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24520602" w:history="1">
        <w:r w:rsidR="00B40509" w:rsidRPr="00D87902">
          <w:rPr>
            <w:rStyle w:val="Hyperlink"/>
            <w:noProof/>
          </w:rPr>
          <w:t>AUTHORITY AND ENFORCEABILITY</w:t>
        </w:r>
        <w:r w:rsidR="00B40509">
          <w:rPr>
            <w:noProof/>
            <w:webHidden/>
          </w:rPr>
          <w:tab/>
        </w:r>
        <w:r w:rsidR="00B40509">
          <w:rPr>
            <w:noProof/>
            <w:webHidden/>
          </w:rPr>
          <w:fldChar w:fldCharType="begin"/>
        </w:r>
        <w:r w:rsidR="00B40509">
          <w:rPr>
            <w:noProof/>
            <w:webHidden/>
          </w:rPr>
          <w:instrText xml:space="preserve"> PAGEREF _Toc524520602 \h </w:instrText>
        </w:r>
        <w:r w:rsidR="00B40509">
          <w:rPr>
            <w:noProof/>
            <w:webHidden/>
          </w:rPr>
        </w:r>
        <w:r w:rsidR="00B40509">
          <w:rPr>
            <w:noProof/>
            <w:webHidden/>
          </w:rPr>
          <w:fldChar w:fldCharType="separate"/>
        </w:r>
        <w:r w:rsidR="000E2279">
          <w:rPr>
            <w:noProof/>
            <w:webHidden/>
          </w:rPr>
          <w:t>3</w:t>
        </w:r>
        <w:r w:rsidR="00B40509">
          <w:rPr>
            <w:noProof/>
            <w:webHidden/>
          </w:rPr>
          <w:fldChar w:fldCharType="end"/>
        </w:r>
      </w:hyperlink>
    </w:p>
    <w:p w14:paraId="0E9F6E06" w14:textId="667E6733" w:rsidR="00B40509" w:rsidRDefault="000E2279">
      <w:pPr>
        <w:pStyle w:val="TOC1"/>
        <w:rPr>
          <w:rFonts w:asciiTheme="minorHAnsi" w:eastAsiaTheme="minorEastAsia" w:hAnsiTheme="minorHAnsi" w:cstheme="minorBidi"/>
          <w:b w:val="0"/>
          <w:noProof/>
        </w:rPr>
      </w:pPr>
      <w:hyperlink w:anchor="_Toc524520603" w:history="1">
        <w:r w:rsidR="00B40509" w:rsidRPr="00D87902">
          <w:rPr>
            <w:rStyle w:val="Hyperlink"/>
            <w:noProof/>
          </w:rPr>
          <w:t>A.  GENERAL CONDITIONS</w:t>
        </w:r>
        <w:r w:rsidR="00B40509">
          <w:rPr>
            <w:noProof/>
            <w:webHidden/>
          </w:rPr>
          <w:tab/>
        </w:r>
        <w:r w:rsidR="00B40509">
          <w:rPr>
            <w:noProof/>
            <w:webHidden/>
          </w:rPr>
          <w:fldChar w:fldCharType="begin"/>
        </w:r>
        <w:r w:rsidR="00B40509">
          <w:rPr>
            <w:noProof/>
            <w:webHidden/>
          </w:rPr>
          <w:instrText xml:space="preserve"> PAGEREF _Toc524520603 \h </w:instrText>
        </w:r>
        <w:r w:rsidR="00B40509">
          <w:rPr>
            <w:noProof/>
            <w:webHidden/>
          </w:rPr>
        </w:r>
        <w:r w:rsidR="00B40509">
          <w:rPr>
            <w:noProof/>
            <w:webHidden/>
          </w:rPr>
          <w:fldChar w:fldCharType="separate"/>
        </w:r>
        <w:r>
          <w:rPr>
            <w:noProof/>
            <w:webHidden/>
          </w:rPr>
          <w:t>4</w:t>
        </w:r>
        <w:r w:rsidR="00B40509">
          <w:rPr>
            <w:noProof/>
            <w:webHidden/>
          </w:rPr>
          <w:fldChar w:fldCharType="end"/>
        </w:r>
      </w:hyperlink>
    </w:p>
    <w:p w14:paraId="154CA40A" w14:textId="24C35C32" w:rsidR="00B40509" w:rsidRDefault="000E2279">
      <w:pPr>
        <w:pStyle w:val="TOC2"/>
        <w:rPr>
          <w:rFonts w:asciiTheme="minorHAnsi" w:eastAsiaTheme="minorEastAsia" w:hAnsiTheme="minorHAnsi" w:cstheme="minorBidi"/>
          <w:noProof/>
        </w:rPr>
      </w:pPr>
      <w:hyperlink w:anchor="_Toc524520604" w:history="1">
        <w:r w:rsidR="00B40509" w:rsidRPr="00D87902">
          <w:rPr>
            <w:rStyle w:val="Hyperlink"/>
            <w:noProof/>
          </w:rPr>
          <w:t>Permit Enforceability</w:t>
        </w:r>
        <w:r w:rsidR="00B40509">
          <w:rPr>
            <w:noProof/>
            <w:webHidden/>
          </w:rPr>
          <w:tab/>
        </w:r>
        <w:r w:rsidR="00B40509">
          <w:rPr>
            <w:noProof/>
            <w:webHidden/>
          </w:rPr>
          <w:fldChar w:fldCharType="begin"/>
        </w:r>
        <w:r w:rsidR="00B40509">
          <w:rPr>
            <w:noProof/>
            <w:webHidden/>
          </w:rPr>
          <w:instrText xml:space="preserve"> PAGEREF _Toc524520604 \h </w:instrText>
        </w:r>
        <w:r w:rsidR="00B40509">
          <w:rPr>
            <w:noProof/>
            <w:webHidden/>
          </w:rPr>
        </w:r>
        <w:r w:rsidR="00B40509">
          <w:rPr>
            <w:noProof/>
            <w:webHidden/>
          </w:rPr>
          <w:fldChar w:fldCharType="separate"/>
        </w:r>
        <w:r>
          <w:rPr>
            <w:noProof/>
            <w:webHidden/>
          </w:rPr>
          <w:t>4</w:t>
        </w:r>
        <w:r w:rsidR="00B40509">
          <w:rPr>
            <w:noProof/>
            <w:webHidden/>
          </w:rPr>
          <w:fldChar w:fldCharType="end"/>
        </w:r>
      </w:hyperlink>
    </w:p>
    <w:p w14:paraId="383DCE87" w14:textId="308006AD" w:rsidR="00B40509" w:rsidRDefault="000E2279">
      <w:pPr>
        <w:pStyle w:val="TOC2"/>
        <w:rPr>
          <w:rFonts w:asciiTheme="minorHAnsi" w:eastAsiaTheme="minorEastAsia" w:hAnsiTheme="minorHAnsi" w:cstheme="minorBidi"/>
          <w:noProof/>
        </w:rPr>
      </w:pPr>
      <w:hyperlink w:anchor="_Toc524520605" w:history="1">
        <w:r w:rsidR="00B40509" w:rsidRPr="00D87902">
          <w:rPr>
            <w:rStyle w:val="Hyperlink"/>
            <w:noProof/>
          </w:rPr>
          <w:t>General Provisions</w:t>
        </w:r>
        <w:r w:rsidR="00B40509">
          <w:rPr>
            <w:noProof/>
            <w:webHidden/>
          </w:rPr>
          <w:tab/>
        </w:r>
        <w:r w:rsidR="00B40509">
          <w:rPr>
            <w:noProof/>
            <w:webHidden/>
          </w:rPr>
          <w:fldChar w:fldCharType="begin"/>
        </w:r>
        <w:r w:rsidR="00B40509">
          <w:rPr>
            <w:noProof/>
            <w:webHidden/>
          </w:rPr>
          <w:instrText xml:space="preserve"> PAGEREF _Toc524520605 \h </w:instrText>
        </w:r>
        <w:r w:rsidR="00B40509">
          <w:rPr>
            <w:noProof/>
            <w:webHidden/>
          </w:rPr>
        </w:r>
        <w:r w:rsidR="00B40509">
          <w:rPr>
            <w:noProof/>
            <w:webHidden/>
          </w:rPr>
          <w:fldChar w:fldCharType="separate"/>
        </w:r>
        <w:r>
          <w:rPr>
            <w:noProof/>
            <w:webHidden/>
          </w:rPr>
          <w:t>4</w:t>
        </w:r>
        <w:r w:rsidR="00B40509">
          <w:rPr>
            <w:noProof/>
            <w:webHidden/>
          </w:rPr>
          <w:fldChar w:fldCharType="end"/>
        </w:r>
      </w:hyperlink>
    </w:p>
    <w:p w14:paraId="3628E20B" w14:textId="4D404DD9" w:rsidR="00B40509" w:rsidRDefault="000E2279">
      <w:pPr>
        <w:pStyle w:val="TOC2"/>
        <w:rPr>
          <w:rFonts w:asciiTheme="minorHAnsi" w:eastAsiaTheme="minorEastAsia" w:hAnsiTheme="minorHAnsi" w:cstheme="minorBidi"/>
          <w:noProof/>
        </w:rPr>
      </w:pPr>
      <w:hyperlink w:anchor="_Toc524520606" w:history="1">
        <w:r w:rsidR="00B40509" w:rsidRPr="00D87902">
          <w:rPr>
            <w:rStyle w:val="Hyperlink"/>
            <w:noProof/>
          </w:rPr>
          <w:t>Equipment &amp; Design</w:t>
        </w:r>
        <w:r w:rsidR="00B40509">
          <w:rPr>
            <w:noProof/>
            <w:webHidden/>
          </w:rPr>
          <w:tab/>
        </w:r>
        <w:r w:rsidR="00B40509">
          <w:rPr>
            <w:noProof/>
            <w:webHidden/>
          </w:rPr>
          <w:fldChar w:fldCharType="begin"/>
        </w:r>
        <w:r w:rsidR="00B40509">
          <w:rPr>
            <w:noProof/>
            <w:webHidden/>
          </w:rPr>
          <w:instrText xml:space="preserve"> PAGEREF _Toc524520606 \h </w:instrText>
        </w:r>
        <w:r w:rsidR="00B40509">
          <w:rPr>
            <w:noProof/>
            <w:webHidden/>
          </w:rPr>
        </w:r>
        <w:r w:rsidR="00B40509">
          <w:rPr>
            <w:noProof/>
            <w:webHidden/>
          </w:rPr>
          <w:fldChar w:fldCharType="separate"/>
        </w:r>
        <w:r>
          <w:rPr>
            <w:noProof/>
            <w:webHidden/>
          </w:rPr>
          <w:t>5</w:t>
        </w:r>
        <w:r w:rsidR="00B40509">
          <w:rPr>
            <w:noProof/>
            <w:webHidden/>
          </w:rPr>
          <w:fldChar w:fldCharType="end"/>
        </w:r>
      </w:hyperlink>
    </w:p>
    <w:p w14:paraId="59748108" w14:textId="4D0A4F34" w:rsidR="00B40509" w:rsidRDefault="000E2279">
      <w:pPr>
        <w:pStyle w:val="TOC2"/>
        <w:rPr>
          <w:rFonts w:asciiTheme="minorHAnsi" w:eastAsiaTheme="minorEastAsia" w:hAnsiTheme="minorHAnsi" w:cstheme="minorBidi"/>
          <w:noProof/>
        </w:rPr>
      </w:pPr>
      <w:hyperlink w:anchor="_Toc524520607" w:history="1">
        <w:r w:rsidR="00B40509" w:rsidRPr="00D87902">
          <w:rPr>
            <w:rStyle w:val="Hyperlink"/>
            <w:noProof/>
          </w:rPr>
          <w:t>Emission Limits</w:t>
        </w:r>
        <w:r w:rsidR="00B40509">
          <w:rPr>
            <w:noProof/>
            <w:webHidden/>
          </w:rPr>
          <w:tab/>
        </w:r>
        <w:r w:rsidR="00B40509">
          <w:rPr>
            <w:noProof/>
            <w:webHidden/>
          </w:rPr>
          <w:fldChar w:fldCharType="begin"/>
        </w:r>
        <w:r w:rsidR="00B40509">
          <w:rPr>
            <w:noProof/>
            <w:webHidden/>
          </w:rPr>
          <w:instrText xml:space="preserve"> PAGEREF _Toc524520607 \h </w:instrText>
        </w:r>
        <w:r w:rsidR="00B40509">
          <w:rPr>
            <w:noProof/>
            <w:webHidden/>
          </w:rPr>
        </w:r>
        <w:r w:rsidR="00B40509">
          <w:rPr>
            <w:noProof/>
            <w:webHidden/>
          </w:rPr>
          <w:fldChar w:fldCharType="separate"/>
        </w:r>
        <w:r>
          <w:rPr>
            <w:noProof/>
            <w:webHidden/>
          </w:rPr>
          <w:t>5</w:t>
        </w:r>
        <w:r w:rsidR="00B40509">
          <w:rPr>
            <w:noProof/>
            <w:webHidden/>
          </w:rPr>
          <w:fldChar w:fldCharType="end"/>
        </w:r>
      </w:hyperlink>
    </w:p>
    <w:p w14:paraId="65870338" w14:textId="0D236A55" w:rsidR="00B40509" w:rsidRDefault="000E2279">
      <w:pPr>
        <w:pStyle w:val="TOC2"/>
        <w:rPr>
          <w:rFonts w:asciiTheme="minorHAnsi" w:eastAsiaTheme="minorEastAsia" w:hAnsiTheme="minorHAnsi" w:cstheme="minorBidi"/>
          <w:noProof/>
        </w:rPr>
      </w:pPr>
      <w:hyperlink w:anchor="_Toc524520608" w:history="1">
        <w:r w:rsidR="00B40509" w:rsidRPr="00D87902">
          <w:rPr>
            <w:rStyle w:val="Hyperlink"/>
            <w:noProof/>
          </w:rPr>
          <w:t>Testing/Sampling</w:t>
        </w:r>
        <w:r w:rsidR="00B40509">
          <w:rPr>
            <w:noProof/>
            <w:webHidden/>
          </w:rPr>
          <w:tab/>
        </w:r>
        <w:r w:rsidR="00B40509">
          <w:rPr>
            <w:noProof/>
            <w:webHidden/>
          </w:rPr>
          <w:fldChar w:fldCharType="begin"/>
        </w:r>
        <w:r w:rsidR="00B40509">
          <w:rPr>
            <w:noProof/>
            <w:webHidden/>
          </w:rPr>
          <w:instrText xml:space="preserve"> PAGEREF _Toc524520608 \h </w:instrText>
        </w:r>
        <w:r w:rsidR="00B40509">
          <w:rPr>
            <w:noProof/>
            <w:webHidden/>
          </w:rPr>
        </w:r>
        <w:r w:rsidR="00B40509">
          <w:rPr>
            <w:noProof/>
            <w:webHidden/>
          </w:rPr>
          <w:fldChar w:fldCharType="separate"/>
        </w:r>
        <w:r>
          <w:rPr>
            <w:noProof/>
            <w:webHidden/>
          </w:rPr>
          <w:t>5</w:t>
        </w:r>
        <w:r w:rsidR="00B40509">
          <w:rPr>
            <w:noProof/>
            <w:webHidden/>
          </w:rPr>
          <w:fldChar w:fldCharType="end"/>
        </w:r>
      </w:hyperlink>
    </w:p>
    <w:p w14:paraId="07936A17" w14:textId="46AF173B" w:rsidR="00B40509" w:rsidRDefault="000E2279">
      <w:pPr>
        <w:pStyle w:val="TOC2"/>
        <w:rPr>
          <w:rFonts w:asciiTheme="minorHAnsi" w:eastAsiaTheme="minorEastAsia" w:hAnsiTheme="minorHAnsi" w:cstheme="minorBidi"/>
          <w:noProof/>
        </w:rPr>
      </w:pPr>
      <w:hyperlink w:anchor="_Toc524520609" w:history="1">
        <w:r w:rsidR="00B40509" w:rsidRPr="00D87902">
          <w:rPr>
            <w:rStyle w:val="Hyperlink"/>
            <w:noProof/>
          </w:rPr>
          <w:t>Monitoring/Recordkeeping</w:t>
        </w:r>
        <w:r w:rsidR="00B40509">
          <w:rPr>
            <w:noProof/>
            <w:webHidden/>
          </w:rPr>
          <w:tab/>
        </w:r>
        <w:r w:rsidR="00B40509">
          <w:rPr>
            <w:noProof/>
            <w:webHidden/>
          </w:rPr>
          <w:fldChar w:fldCharType="begin"/>
        </w:r>
        <w:r w:rsidR="00B40509">
          <w:rPr>
            <w:noProof/>
            <w:webHidden/>
          </w:rPr>
          <w:instrText xml:space="preserve"> PAGEREF _Toc524520609 \h </w:instrText>
        </w:r>
        <w:r w:rsidR="00B40509">
          <w:rPr>
            <w:noProof/>
            <w:webHidden/>
          </w:rPr>
        </w:r>
        <w:r w:rsidR="00B40509">
          <w:rPr>
            <w:noProof/>
            <w:webHidden/>
          </w:rPr>
          <w:fldChar w:fldCharType="separate"/>
        </w:r>
        <w:r>
          <w:rPr>
            <w:noProof/>
            <w:webHidden/>
          </w:rPr>
          <w:t>6</w:t>
        </w:r>
        <w:r w:rsidR="00B40509">
          <w:rPr>
            <w:noProof/>
            <w:webHidden/>
          </w:rPr>
          <w:fldChar w:fldCharType="end"/>
        </w:r>
      </w:hyperlink>
    </w:p>
    <w:p w14:paraId="3D59B9AA" w14:textId="154E3B24" w:rsidR="00B40509" w:rsidRDefault="000E2279">
      <w:pPr>
        <w:pStyle w:val="TOC2"/>
        <w:rPr>
          <w:rFonts w:asciiTheme="minorHAnsi" w:eastAsiaTheme="minorEastAsia" w:hAnsiTheme="minorHAnsi" w:cstheme="minorBidi"/>
          <w:noProof/>
        </w:rPr>
      </w:pPr>
      <w:hyperlink w:anchor="_Toc524520610" w:history="1">
        <w:r w:rsidR="00B40509" w:rsidRPr="00D87902">
          <w:rPr>
            <w:rStyle w:val="Hyperlink"/>
            <w:noProof/>
          </w:rPr>
          <w:t>Certification &amp; Reporting</w:t>
        </w:r>
        <w:r w:rsidR="00B40509">
          <w:rPr>
            <w:noProof/>
            <w:webHidden/>
          </w:rPr>
          <w:tab/>
        </w:r>
        <w:r w:rsidR="00B40509">
          <w:rPr>
            <w:noProof/>
            <w:webHidden/>
          </w:rPr>
          <w:fldChar w:fldCharType="begin"/>
        </w:r>
        <w:r w:rsidR="00B40509">
          <w:rPr>
            <w:noProof/>
            <w:webHidden/>
          </w:rPr>
          <w:instrText xml:space="preserve"> PAGEREF _Toc524520610 \h </w:instrText>
        </w:r>
        <w:r w:rsidR="00B40509">
          <w:rPr>
            <w:noProof/>
            <w:webHidden/>
          </w:rPr>
        </w:r>
        <w:r w:rsidR="00B40509">
          <w:rPr>
            <w:noProof/>
            <w:webHidden/>
          </w:rPr>
          <w:fldChar w:fldCharType="separate"/>
        </w:r>
        <w:r>
          <w:rPr>
            <w:noProof/>
            <w:webHidden/>
          </w:rPr>
          <w:t>6</w:t>
        </w:r>
        <w:r w:rsidR="00B40509">
          <w:rPr>
            <w:noProof/>
            <w:webHidden/>
          </w:rPr>
          <w:fldChar w:fldCharType="end"/>
        </w:r>
      </w:hyperlink>
    </w:p>
    <w:p w14:paraId="36348946" w14:textId="23064FD4" w:rsidR="00B40509" w:rsidRDefault="000E2279">
      <w:pPr>
        <w:pStyle w:val="TOC2"/>
        <w:rPr>
          <w:rFonts w:asciiTheme="minorHAnsi" w:eastAsiaTheme="minorEastAsia" w:hAnsiTheme="minorHAnsi" w:cstheme="minorBidi"/>
          <w:noProof/>
        </w:rPr>
      </w:pPr>
      <w:hyperlink w:anchor="_Toc524520611" w:history="1">
        <w:r w:rsidR="00B40509" w:rsidRPr="00D87902">
          <w:rPr>
            <w:rStyle w:val="Hyperlink"/>
            <w:noProof/>
          </w:rPr>
          <w:t>Permit Shield</w:t>
        </w:r>
        <w:r w:rsidR="00B40509">
          <w:rPr>
            <w:noProof/>
            <w:webHidden/>
          </w:rPr>
          <w:tab/>
        </w:r>
        <w:r w:rsidR="00B40509">
          <w:rPr>
            <w:noProof/>
            <w:webHidden/>
          </w:rPr>
          <w:fldChar w:fldCharType="begin"/>
        </w:r>
        <w:r w:rsidR="00B40509">
          <w:rPr>
            <w:noProof/>
            <w:webHidden/>
          </w:rPr>
          <w:instrText xml:space="preserve"> PAGEREF _Toc524520611 \h </w:instrText>
        </w:r>
        <w:r w:rsidR="00B40509">
          <w:rPr>
            <w:noProof/>
            <w:webHidden/>
          </w:rPr>
        </w:r>
        <w:r w:rsidR="00B40509">
          <w:rPr>
            <w:noProof/>
            <w:webHidden/>
          </w:rPr>
          <w:fldChar w:fldCharType="separate"/>
        </w:r>
        <w:r>
          <w:rPr>
            <w:noProof/>
            <w:webHidden/>
          </w:rPr>
          <w:t>7</w:t>
        </w:r>
        <w:r w:rsidR="00B40509">
          <w:rPr>
            <w:noProof/>
            <w:webHidden/>
          </w:rPr>
          <w:fldChar w:fldCharType="end"/>
        </w:r>
      </w:hyperlink>
    </w:p>
    <w:p w14:paraId="18830618" w14:textId="2D75516A" w:rsidR="00B40509" w:rsidRDefault="000E2279">
      <w:pPr>
        <w:pStyle w:val="TOC2"/>
        <w:rPr>
          <w:rFonts w:asciiTheme="minorHAnsi" w:eastAsiaTheme="minorEastAsia" w:hAnsiTheme="minorHAnsi" w:cstheme="minorBidi"/>
          <w:noProof/>
        </w:rPr>
      </w:pPr>
      <w:hyperlink w:anchor="_Toc524520612" w:history="1">
        <w:r w:rsidR="00B40509" w:rsidRPr="00D87902">
          <w:rPr>
            <w:rStyle w:val="Hyperlink"/>
            <w:noProof/>
          </w:rPr>
          <w:t>Revisions</w:t>
        </w:r>
        <w:r w:rsidR="00B40509">
          <w:rPr>
            <w:noProof/>
            <w:webHidden/>
          </w:rPr>
          <w:tab/>
        </w:r>
        <w:r w:rsidR="00B40509">
          <w:rPr>
            <w:noProof/>
            <w:webHidden/>
          </w:rPr>
          <w:fldChar w:fldCharType="begin"/>
        </w:r>
        <w:r w:rsidR="00B40509">
          <w:rPr>
            <w:noProof/>
            <w:webHidden/>
          </w:rPr>
          <w:instrText xml:space="preserve"> PAGEREF _Toc524520612 \h </w:instrText>
        </w:r>
        <w:r w:rsidR="00B40509">
          <w:rPr>
            <w:noProof/>
            <w:webHidden/>
          </w:rPr>
        </w:r>
        <w:r w:rsidR="00B40509">
          <w:rPr>
            <w:noProof/>
            <w:webHidden/>
          </w:rPr>
          <w:fldChar w:fldCharType="separate"/>
        </w:r>
        <w:r>
          <w:rPr>
            <w:noProof/>
            <w:webHidden/>
          </w:rPr>
          <w:t>8</w:t>
        </w:r>
        <w:r w:rsidR="00B40509">
          <w:rPr>
            <w:noProof/>
            <w:webHidden/>
          </w:rPr>
          <w:fldChar w:fldCharType="end"/>
        </w:r>
      </w:hyperlink>
    </w:p>
    <w:p w14:paraId="758D7B04" w14:textId="705A06AE" w:rsidR="00B40509" w:rsidRDefault="000E2279">
      <w:pPr>
        <w:pStyle w:val="TOC2"/>
        <w:rPr>
          <w:rFonts w:asciiTheme="minorHAnsi" w:eastAsiaTheme="minorEastAsia" w:hAnsiTheme="minorHAnsi" w:cstheme="minorBidi"/>
          <w:noProof/>
        </w:rPr>
      </w:pPr>
      <w:hyperlink w:anchor="_Toc524520613" w:history="1">
        <w:r w:rsidR="00B40509" w:rsidRPr="00D87902">
          <w:rPr>
            <w:rStyle w:val="Hyperlink"/>
            <w:noProof/>
          </w:rPr>
          <w:t>Reopenings</w:t>
        </w:r>
        <w:r w:rsidR="00B40509">
          <w:rPr>
            <w:noProof/>
            <w:webHidden/>
          </w:rPr>
          <w:tab/>
        </w:r>
        <w:r w:rsidR="00B40509">
          <w:rPr>
            <w:noProof/>
            <w:webHidden/>
          </w:rPr>
          <w:fldChar w:fldCharType="begin"/>
        </w:r>
        <w:r w:rsidR="00B40509">
          <w:rPr>
            <w:noProof/>
            <w:webHidden/>
          </w:rPr>
          <w:instrText xml:space="preserve"> PAGEREF _Toc524520613 \h </w:instrText>
        </w:r>
        <w:r w:rsidR="00B40509">
          <w:rPr>
            <w:noProof/>
            <w:webHidden/>
          </w:rPr>
        </w:r>
        <w:r w:rsidR="00B40509">
          <w:rPr>
            <w:noProof/>
            <w:webHidden/>
          </w:rPr>
          <w:fldChar w:fldCharType="separate"/>
        </w:r>
        <w:r>
          <w:rPr>
            <w:noProof/>
            <w:webHidden/>
          </w:rPr>
          <w:t>8</w:t>
        </w:r>
        <w:r w:rsidR="00B40509">
          <w:rPr>
            <w:noProof/>
            <w:webHidden/>
          </w:rPr>
          <w:fldChar w:fldCharType="end"/>
        </w:r>
      </w:hyperlink>
    </w:p>
    <w:p w14:paraId="4FB5406A" w14:textId="6BA7D7FA" w:rsidR="00B40509" w:rsidRDefault="000E2279">
      <w:pPr>
        <w:pStyle w:val="TOC2"/>
        <w:rPr>
          <w:rFonts w:asciiTheme="minorHAnsi" w:eastAsiaTheme="minorEastAsia" w:hAnsiTheme="minorHAnsi" w:cstheme="minorBidi"/>
          <w:noProof/>
        </w:rPr>
      </w:pPr>
      <w:hyperlink w:anchor="_Toc524520614" w:history="1">
        <w:r w:rsidR="00B40509" w:rsidRPr="00D87902">
          <w:rPr>
            <w:rStyle w:val="Hyperlink"/>
            <w:noProof/>
          </w:rPr>
          <w:t>Renewals</w:t>
        </w:r>
        <w:r w:rsidR="00B40509">
          <w:rPr>
            <w:noProof/>
            <w:webHidden/>
          </w:rPr>
          <w:tab/>
        </w:r>
        <w:r w:rsidR="00B40509">
          <w:rPr>
            <w:noProof/>
            <w:webHidden/>
          </w:rPr>
          <w:fldChar w:fldCharType="begin"/>
        </w:r>
        <w:r w:rsidR="00B40509">
          <w:rPr>
            <w:noProof/>
            <w:webHidden/>
          </w:rPr>
          <w:instrText xml:space="preserve"> PAGEREF _Toc524520614 \h </w:instrText>
        </w:r>
        <w:r w:rsidR="00B40509">
          <w:rPr>
            <w:noProof/>
            <w:webHidden/>
          </w:rPr>
        </w:r>
        <w:r w:rsidR="00B40509">
          <w:rPr>
            <w:noProof/>
            <w:webHidden/>
          </w:rPr>
          <w:fldChar w:fldCharType="separate"/>
        </w:r>
        <w:r>
          <w:rPr>
            <w:noProof/>
            <w:webHidden/>
          </w:rPr>
          <w:t>9</w:t>
        </w:r>
        <w:r w:rsidR="00B40509">
          <w:rPr>
            <w:noProof/>
            <w:webHidden/>
          </w:rPr>
          <w:fldChar w:fldCharType="end"/>
        </w:r>
      </w:hyperlink>
    </w:p>
    <w:p w14:paraId="7774F500" w14:textId="5228722B" w:rsidR="00B40509" w:rsidRDefault="000E2279">
      <w:pPr>
        <w:pStyle w:val="TOC2"/>
        <w:rPr>
          <w:rFonts w:asciiTheme="minorHAnsi" w:eastAsiaTheme="minorEastAsia" w:hAnsiTheme="minorHAnsi" w:cstheme="minorBidi"/>
          <w:noProof/>
        </w:rPr>
      </w:pPr>
      <w:hyperlink w:anchor="_Toc524520615" w:history="1">
        <w:r w:rsidR="00B40509" w:rsidRPr="00D87902">
          <w:rPr>
            <w:rStyle w:val="Hyperlink"/>
            <w:bCs/>
            <w:noProof/>
          </w:rPr>
          <w:t>Stratospheric Ozone Protection</w:t>
        </w:r>
        <w:r w:rsidR="00B40509">
          <w:rPr>
            <w:noProof/>
            <w:webHidden/>
          </w:rPr>
          <w:tab/>
        </w:r>
        <w:r w:rsidR="00B40509">
          <w:rPr>
            <w:noProof/>
            <w:webHidden/>
          </w:rPr>
          <w:fldChar w:fldCharType="begin"/>
        </w:r>
        <w:r w:rsidR="00B40509">
          <w:rPr>
            <w:noProof/>
            <w:webHidden/>
          </w:rPr>
          <w:instrText xml:space="preserve"> PAGEREF _Toc524520615 \h </w:instrText>
        </w:r>
        <w:r w:rsidR="00B40509">
          <w:rPr>
            <w:noProof/>
            <w:webHidden/>
          </w:rPr>
        </w:r>
        <w:r w:rsidR="00B40509">
          <w:rPr>
            <w:noProof/>
            <w:webHidden/>
          </w:rPr>
          <w:fldChar w:fldCharType="separate"/>
        </w:r>
        <w:r>
          <w:rPr>
            <w:noProof/>
            <w:webHidden/>
          </w:rPr>
          <w:t>9</w:t>
        </w:r>
        <w:r w:rsidR="00B40509">
          <w:rPr>
            <w:noProof/>
            <w:webHidden/>
          </w:rPr>
          <w:fldChar w:fldCharType="end"/>
        </w:r>
      </w:hyperlink>
    </w:p>
    <w:p w14:paraId="5CE800AD" w14:textId="38E97027" w:rsidR="00B40509" w:rsidRDefault="000E2279">
      <w:pPr>
        <w:pStyle w:val="TOC2"/>
        <w:rPr>
          <w:rFonts w:asciiTheme="minorHAnsi" w:eastAsiaTheme="minorEastAsia" w:hAnsiTheme="minorHAnsi" w:cstheme="minorBidi"/>
          <w:noProof/>
        </w:rPr>
      </w:pPr>
      <w:hyperlink w:anchor="_Toc524520616" w:history="1">
        <w:r w:rsidR="00B40509" w:rsidRPr="00D87902">
          <w:rPr>
            <w:rStyle w:val="Hyperlink"/>
            <w:bCs/>
            <w:noProof/>
          </w:rPr>
          <w:t>Risk Management Plan</w:t>
        </w:r>
        <w:r w:rsidR="00B40509">
          <w:rPr>
            <w:noProof/>
            <w:webHidden/>
          </w:rPr>
          <w:tab/>
        </w:r>
        <w:r w:rsidR="00B40509">
          <w:rPr>
            <w:noProof/>
            <w:webHidden/>
          </w:rPr>
          <w:fldChar w:fldCharType="begin"/>
        </w:r>
        <w:r w:rsidR="00B40509">
          <w:rPr>
            <w:noProof/>
            <w:webHidden/>
          </w:rPr>
          <w:instrText xml:space="preserve"> PAGEREF _Toc524520616 \h </w:instrText>
        </w:r>
        <w:r w:rsidR="00B40509">
          <w:rPr>
            <w:noProof/>
            <w:webHidden/>
          </w:rPr>
        </w:r>
        <w:r w:rsidR="00B40509">
          <w:rPr>
            <w:noProof/>
            <w:webHidden/>
          </w:rPr>
          <w:fldChar w:fldCharType="separate"/>
        </w:r>
        <w:r>
          <w:rPr>
            <w:noProof/>
            <w:webHidden/>
          </w:rPr>
          <w:t>9</w:t>
        </w:r>
        <w:r w:rsidR="00B40509">
          <w:rPr>
            <w:noProof/>
            <w:webHidden/>
          </w:rPr>
          <w:fldChar w:fldCharType="end"/>
        </w:r>
      </w:hyperlink>
    </w:p>
    <w:p w14:paraId="4B6EDA78" w14:textId="4EFA6FDD" w:rsidR="00B40509" w:rsidRDefault="000E2279">
      <w:pPr>
        <w:pStyle w:val="TOC2"/>
        <w:rPr>
          <w:rFonts w:asciiTheme="minorHAnsi" w:eastAsiaTheme="minorEastAsia" w:hAnsiTheme="minorHAnsi" w:cstheme="minorBidi"/>
          <w:noProof/>
        </w:rPr>
      </w:pPr>
      <w:hyperlink w:anchor="_Toc524520617" w:history="1">
        <w:r w:rsidR="00B40509" w:rsidRPr="00D87902">
          <w:rPr>
            <w:rStyle w:val="Hyperlink"/>
            <w:bCs/>
            <w:noProof/>
          </w:rPr>
          <w:t>Emission Trading</w:t>
        </w:r>
        <w:r w:rsidR="00B40509">
          <w:rPr>
            <w:noProof/>
            <w:webHidden/>
          </w:rPr>
          <w:tab/>
        </w:r>
        <w:r w:rsidR="00B40509">
          <w:rPr>
            <w:noProof/>
            <w:webHidden/>
          </w:rPr>
          <w:fldChar w:fldCharType="begin"/>
        </w:r>
        <w:r w:rsidR="00B40509">
          <w:rPr>
            <w:noProof/>
            <w:webHidden/>
          </w:rPr>
          <w:instrText xml:space="preserve"> PAGEREF _Toc524520617 \h </w:instrText>
        </w:r>
        <w:r w:rsidR="00B40509">
          <w:rPr>
            <w:noProof/>
            <w:webHidden/>
          </w:rPr>
        </w:r>
        <w:r w:rsidR="00B40509">
          <w:rPr>
            <w:noProof/>
            <w:webHidden/>
          </w:rPr>
          <w:fldChar w:fldCharType="separate"/>
        </w:r>
        <w:r>
          <w:rPr>
            <w:noProof/>
            <w:webHidden/>
          </w:rPr>
          <w:t>9</w:t>
        </w:r>
        <w:r w:rsidR="00B40509">
          <w:rPr>
            <w:noProof/>
            <w:webHidden/>
          </w:rPr>
          <w:fldChar w:fldCharType="end"/>
        </w:r>
      </w:hyperlink>
    </w:p>
    <w:p w14:paraId="76BFFD77" w14:textId="04936307" w:rsidR="00B40509" w:rsidRDefault="000E2279">
      <w:pPr>
        <w:pStyle w:val="TOC2"/>
        <w:rPr>
          <w:rFonts w:asciiTheme="minorHAnsi" w:eastAsiaTheme="minorEastAsia" w:hAnsiTheme="minorHAnsi" w:cstheme="minorBidi"/>
          <w:noProof/>
        </w:rPr>
      </w:pPr>
      <w:hyperlink w:anchor="_Toc524520618" w:history="1">
        <w:r w:rsidR="00B40509" w:rsidRPr="00D87902">
          <w:rPr>
            <w:rStyle w:val="Hyperlink"/>
            <w:bCs/>
            <w:noProof/>
          </w:rPr>
          <w:t>Permit to Install (PTI)</w:t>
        </w:r>
        <w:r w:rsidR="00B40509">
          <w:rPr>
            <w:noProof/>
            <w:webHidden/>
          </w:rPr>
          <w:tab/>
        </w:r>
        <w:r w:rsidR="00B40509">
          <w:rPr>
            <w:noProof/>
            <w:webHidden/>
          </w:rPr>
          <w:fldChar w:fldCharType="begin"/>
        </w:r>
        <w:r w:rsidR="00B40509">
          <w:rPr>
            <w:noProof/>
            <w:webHidden/>
          </w:rPr>
          <w:instrText xml:space="preserve"> PAGEREF _Toc524520618 \h </w:instrText>
        </w:r>
        <w:r w:rsidR="00B40509">
          <w:rPr>
            <w:noProof/>
            <w:webHidden/>
          </w:rPr>
        </w:r>
        <w:r w:rsidR="00B40509">
          <w:rPr>
            <w:noProof/>
            <w:webHidden/>
          </w:rPr>
          <w:fldChar w:fldCharType="separate"/>
        </w:r>
        <w:r>
          <w:rPr>
            <w:noProof/>
            <w:webHidden/>
          </w:rPr>
          <w:t>10</w:t>
        </w:r>
        <w:r w:rsidR="00B40509">
          <w:rPr>
            <w:noProof/>
            <w:webHidden/>
          </w:rPr>
          <w:fldChar w:fldCharType="end"/>
        </w:r>
      </w:hyperlink>
    </w:p>
    <w:p w14:paraId="3E6BB032" w14:textId="3BEF286C" w:rsidR="00B40509" w:rsidRDefault="000E2279">
      <w:pPr>
        <w:pStyle w:val="TOC1"/>
        <w:rPr>
          <w:rFonts w:asciiTheme="minorHAnsi" w:eastAsiaTheme="minorEastAsia" w:hAnsiTheme="minorHAnsi" w:cstheme="minorBidi"/>
          <w:b w:val="0"/>
          <w:noProof/>
        </w:rPr>
      </w:pPr>
      <w:hyperlink w:anchor="_Toc524520619" w:history="1">
        <w:r w:rsidR="00B40509" w:rsidRPr="00D87902">
          <w:rPr>
            <w:rStyle w:val="Hyperlink"/>
            <w:noProof/>
          </w:rPr>
          <w:t>C.  EMISSION UNIT CONDITIONS</w:t>
        </w:r>
        <w:r w:rsidR="00B40509">
          <w:rPr>
            <w:noProof/>
            <w:webHidden/>
          </w:rPr>
          <w:tab/>
        </w:r>
        <w:r w:rsidR="00B40509">
          <w:rPr>
            <w:noProof/>
            <w:webHidden/>
          </w:rPr>
          <w:fldChar w:fldCharType="begin"/>
        </w:r>
        <w:r w:rsidR="00B40509">
          <w:rPr>
            <w:noProof/>
            <w:webHidden/>
          </w:rPr>
          <w:instrText xml:space="preserve"> PAGEREF _Toc524520619 \h </w:instrText>
        </w:r>
        <w:r w:rsidR="00B40509">
          <w:rPr>
            <w:noProof/>
            <w:webHidden/>
          </w:rPr>
        </w:r>
        <w:r w:rsidR="00B40509">
          <w:rPr>
            <w:noProof/>
            <w:webHidden/>
          </w:rPr>
          <w:fldChar w:fldCharType="separate"/>
        </w:r>
        <w:r>
          <w:rPr>
            <w:noProof/>
            <w:webHidden/>
          </w:rPr>
          <w:t>12</w:t>
        </w:r>
        <w:r w:rsidR="00B40509">
          <w:rPr>
            <w:noProof/>
            <w:webHidden/>
          </w:rPr>
          <w:fldChar w:fldCharType="end"/>
        </w:r>
      </w:hyperlink>
    </w:p>
    <w:p w14:paraId="445352A5" w14:textId="3C5A0AE7" w:rsidR="00B40509" w:rsidRDefault="000E2279">
      <w:pPr>
        <w:pStyle w:val="TOC2"/>
        <w:rPr>
          <w:rFonts w:asciiTheme="minorHAnsi" w:eastAsiaTheme="minorEastAsia" w:hAnsiTheme="minorHAnsi" w:cstheme="minorBidi"/>
          <w:noProof/>
        </w:rPr>
      </w:pPr>
      <w:hyperlink w:anchor="_Toc524520620" w:history="1">
        <w:r w:rsidR="00B40509" w:rsidRPr="00D87902">
          <w:rPr>
            <w:rStyle w:val="Hyperlink"/>
            <w:noProof/>
          </w:rPr>
          <w:t>EMISSION UNIT SUMMARY TABLE</w:t>
        </w:r>
        <w:r w:rsidR="00B40509">
          <w:rPr>
            <w:noProof/>
            <w:webHidden/>
          </w:rPr>
          <w:tab/>
        </w:r>
        <w:r w:rsidR="00B40509">
          <w:rPr>
            <w:noProof/>
            <w:webHidden/>
          </w:rPr>
          <w:fldChar w:fldCharType="begin"/>
        </w:r>
        <w:r w:rsidR="00B40509">
          <w:rPr>
            <w:noProof/>
            <w:webHidden/>
          </w:rPr>
          <w:instrText xml:space="preserve"> PAGEREF _Toc524520620 \h </w:instrText>
        </w:r>
        <w:r w:rsidR="00B40509">
          <w:rPr>
            <w:noProof/>
            <w:webHidden/>
          </w:rPr>
        </w:r>
        <w:r w:rsidR="00B40509">
          <w:rPr>
            <w:noProof/>
            <w:webHidden/>
          </w:rPr>
          <w:fldChar w:fldCharType="separate"/>
        </w:r>
        <w:r>
          <w:rPr>
            <w:noProof/>
            <w:webHidden/>
          </w:rPr>
          <w:t>12</w:t>
        </w:r>
        <w:r w:rsidR="00B40509">
          <w:rPr>
            <w:noProof/>
            <w:webHidden/>
          </w:rPr>
          <w:fldChar w:fldCharType="end"/>
        </w:r>
      </w:hyperlink>
    </w:p>
    <w:p w14:paraId="4B964DAC" w14:textId="560C9CD7" w:rsidR="00B40509" w:rsidRDefault="000E2279">
      <w:pPr>
        <w:pStyle w:val="TOC2"/>
        <w:rPr>
          <w:rFonts w:asciiTheme="minorHAnsi" w:eastAsiaTheme="minorEastAsia" w:hAnsiTheme="minorHAnsi" w:cstheme="minorBidi"/>
          <w:noProof/>
        </w:rPr>
      </w:pPr>
      <w:hyperlink w:anchor="_Toc524520621" w:history="1">
        <w:r w:rsidR="00B40509" w:rsidRPr="00D87902">
          <w:rPr>
            <w:rStyle w:val="Hyperlink"/>
            <w:bCs/>
            <w:noProof/>
          </w:rPr>
          <w:t>EUBG009</w:t>
        </w:r>
        <w:r w:rsidR="00B40509">
          <w:rPr>
            <w:noProof/>
            <w:webHidden/>
          </w:rPr>
          <w:tab/>
        </w:r>
        <w:r w:rsidR="00B40509">
          <w:rPr>
            <w:noProof/>
            <w:webHidden/>
          </w:rPr>
          <w:fldChar w:fldCharType="begin"/>
        </w:r>
        <w:r w:rsidR="00B40509">
          <w:rPr>
            <w:noProof/>
            <w:webHidden/>
          </w:rPr>
          <w:instrText xml:space="preserve"> PAGEREF _Toc524520621 \h </w:instrText>
        </w:r>
        <w:r w:rsidR="00B40509">
          <w:rPr>
            <w:noProof/>
            <w:webHidden/>
          </w:rPr>
        </w:r>
        <w:r w:rsidR="00B40509">
          <w:rPr>
            <w:noProof/>
            <w:webHidden/>
          </w:rPr>
          <w:fldChar w:fldCharType="separate"/>
        </w:r>
        <w:r>
          <w:rPr>
            <w:noProof/>
            <w:webHidden/>
          </w:rPr>
          <w:t>13</w:t>
        </w:r>
        <w:r w:rsidR="00B40509">
          <w:rPr>
            <w:noProof/>
            <w:webHidden/>
          </w:rPr>
          <w:fldChar w:fldCharType="end"/>
        </w:r>
      </w:hyperlink>
    </w:p>
    <w:p w14:paraId="602E8F22" w14:textId="71D1D46C" w:rsidR="00B40509" w:rsidRDefault="000E2279">
      <w:pPr>
        <w:pStyle w:val="TOC2"/>
        <w:rPr>
          <w:rFonts w:asciiTheme="minorHAnsi" w:eastAsiaTheme="minorEastAsia" w:hAnsiTheme="minorHAnsi" w:cstheme="minorBidi"/>
          <w:noProof/>
        </w:rPr>
      </w:pPr>
      <w:hyperlink w:anchor="_Toc524520622" w:history="1">
        <w:r w:rsidR="00B40509" w:rsidRPr="00D87902">
          <w:rPr>
            <w:rStyle w:val="Hyperlink"/>
            <w:bCs/>
            <w:noProof/>
          </w:rPr>
          <w:t>EUBG011</w:t>
        </w:r>
        <w:r w:rsidR="00B40509">
          <w:rPr>
            <w:noProof/>
            <w:webHidden/>
          </w:rPr>
          <w:tab/>
        </w:r>
        <w:r w:rsidR="00B40509">
          <w:rPr>
            <w:noProof/>
            <w:webHidden/>
          </w:rPr>
          <w:fldChar w:fldCharType="begin"/>
        </w:r>
        <w:r w:rsidR="00B40509">
          <w:rPr>
            <w:noProof/>
            <w:webHidden/>
          </w:rPr>
          <w:instrText xml:space="preserve"> PAGEREF _Toc524520622 \h </w:instrText>
        </w:r>
        <w:r w:rsidR="00B40509">
          <w:rPr>
            <w:noProof/>
            <w:webHidden/>
          </w:rPr>
        </w:r>
        <w:r w:rsidR="00B40509">
          <w:rPr>
            <w:noProof/>
            <w:webHidden/>
          </w:rPr>
          <w:fldChar w:fldCharType="separate"/>
        </w:r>
        <w:r>
          <w:rPr>
            <w:noProof/>
            <w:webHidden/>
          </w:rPr>
          <w:t>16</w:t>
        </w:r>
        <w:r w:rsidR="00B40509">
          <w:rPr>
            <w:noProof/>
            <w:webHidden/>
          </w:rPr>
          <w:fldChar w:fldCharType="end"/>
        </w:r>
      </w:hyperlink>
    </w:p>
    <w:p w14:paraId="7535E869" w14:textId="3CC72381" w:rsidR="00B40509" w:rsidRDefault="000E2279">
      <w:pPr>
        <w:pStyle w:val="TOC2"/>
        <w:rPr>
          <w:rFonts w:asciiTheme="minorHAnsi" w:eastAsiaTheme="minorEastAsia" w:hAnsiTheme="minorHAnsi" w:cstheme="minorBidi"/>
          <w:noProof/>
        </w:rPr>
      </w:pPr>
      <w:hyperlink w:anchor="_Toc524520623" w:history="1">
        <w:r w:rsidR="00B40509" w:rsidRPr="00D87902">
          <w:rPr>
            <w:rStyle w:val="Hyperlink"/>
            <w:bCs/>
            <w:noProof/>
          </w:rPr>
          <w:t>EUBG012</w:t>
        </w:r>
        <w:r w:rsidR="00B40509">
          <w:rPr>
            <w:noProof/>
            <w:webHidden/>
          </w:rPr>
          <w:tab/>
        </w:r>
        <w:r w:rsidR="00B40509">
          <w:rPr>
            <w:noProof/>
            <w:webHidden/>
          </w:rPr>
          <w:fldChar w:fldCharType="begin"/>
        </w:r>
        <w:r w:rsidR="00B40509">
          <w:rPr>
            <w:noProof/>
            <w:webHidden/>
          </w:rPr>
          <w:instrText xml:space="preserve"> PAGEREF _Toc524520623 \h </w:instrText>
        </w:r>
        <w:r w:rsidR="00B40509">
          <w:rPr>
            <w:noProof/>
            <w:webHidden/>
          </w:rPr>
        </w:r>
        <w:r w:rsidR="00B40509">
          <w:rPr>
            <w:noProof/>
            <w:webHidden/>
          </w:rPr>
          <w:fldChar w:fldCharType="separate"/>
        </w:r>
        <w:r>
          <w:rPr>
            <w:noProof/>
            <w:webHidden/>
          </w:rPr>
          <w:t>19</w:t>
        </w:r>
        <w:r w:rsidR="00B40509">
          <w:rPr>
            <w:noProof/>
            <w:webHidden/>
          </w:rPr>
          <w:fldChar w:fldCharType="end"/>
        </w:r>
      </w:hyperlink>
    </w:p>
    <w:p w14:paraId="3021F4EA" w14:textId="163A2370" w:rsidR="00B40509" w:rsidRDefault="000E2279">
      <w:pPr>
        <w:pStyle w:val="TOC1"/>
        <w:rPr>
          <w:rFonts w:asciiTheme="minorHAnsi" w:eastAsiaTheme="minorEastAsia" w:hAnsiTheme="minorHAnsi" w:cstheme="minorBidi"/>
          <w:b w:val="0"/>
          <w:noProof/>
        </w:rPr>
      </w:pPr>
      <w:hyperlink w:anchor="_Toc524520624" w:history="1">
        <w:r w:rsidR="00B40509" w:rsidRPr="00D87902">
          <w:rPr>
            <w:rStyle w:val="Hyperlink"/>
            <w:noProof/>
          </w:rPr>
          <w:t>D.  FLEXIBLE GROUP CONDITIONS</w:t>
        </w:r>
        <w:r w:rsidR="00B40509">
          <w:rPr>
            <w:noProof/>
            <w:webHidden/>
          </w:rPr>
          <w:tab/>
        </w:r>
        <w:r w:rsidR="00B40509">
          <w:rPr>
            <w:noProof/>
            <w:webHidden/>
          </w:rPr>
          <w:fldChar w:fldCharType="begin"/>
        </w:r>
        <w:r w:rsidR="00B40509">
          <w:rPr>
            <w:noProof/>
            <w:webHidden/>
          </w:rPr>
          <w:instrText xml:space="preserve"> PAGEREF _Toc524520624 \h </w:instrText>
        </w:r>
        <w:r w:rsidR="00B40509">
          <w:rPr>
            <w:noProof/>
            <w:webHidden/>
          </w:rPr>
        </w:r>
        <w:r w:rsidR="00B40509">
          <w:rPr>
            <w:noProof/>
            <w:webHidden/>
          </w:rPr>
          <w:fldChar w:fldCharType="separate"/>
        </w:r>
        <w:r>
          <w:rPr>
            <w:noProof/>
            <w:webHidden/>
          </w:rPr>
          <w:t>26</w:t>
        </w:r>
        <w:r w:rsidR="00B40509">
          <w:rPr>
            <w:noProof/>
            <w:webHidden/>
          </w:rPr>
          <w:fldChar w:fldCharType="end"/>
        </w:r>
      </w:hyperlink>
    </w:p>
    <w:p w14:paraId="21BD76B9" w14:textId="52517C8F" w:rsidR="00B40509" w:rsidRDefault="000E2279">
      <w:pPr>
        <w:pStyle w:val="TOC2"/>
        <w:rPr>
          <w:rFonts w:asciiTheme="minorHAnsi" w:eastAsiaTheme="minorEastAsia" w:hAnsiTheme="minorHAnsi" w:cstheme="minorBidi"/>
          <w:noProof/>
        </w:rPr>
      </w:pPr>
      <w:hyperlink w:anchor="_Toc524520625" w:history="1">
        <w:r w:rsidR="00B40509" w:rsidRPr="00D87902">
          <w:rPr>
            <w:rStyle w:val="Hyperlink"/>
            <w:bCs/>
            <w:noProof/>
          </w:rPr>
          <w:t>FLEXIBLE GROUP SUMMARY TABLE</w:t>
        </w:r>
        <w:r w:rsidR="00B40509">
          <w:rPr>
            <w:noProof/>
            <w:webHidden/>
          </w:rPr>
          <w:tab/>
        </w:r>
        <w:r w:rsidR="00B40509">
          <w:rPr>
            <w:noProof/>
            <w:webHidden/>
          </w:rPr>
          <w:fldChar w:fldCharType="begin"/>
        </w:r>
        <w:r w:rsidR="00B40509">
          <w:rPr>
            <w:noProof/>
            <w:webHidden/>
          </w:rPr>
          <w:instrText xml:space="preserve"> PAGEREF _Toc524520625 \h </w:instrText>
        </w:r>
        <w:r w:rsidR="00B40509">
          <w:rPr>
            <w:noProof/>
            <w:webHidden/>
          </w:rPr>
        </w:r>
        <w:r w:rsidR="00B40509">
          <w:rPr>
            <w:noProof/>
            <w:webHidden/>
          </w:rPr>
          <w:fldChar w:fldCharType="separate"/>
        </w:r>
        <w:r>
          <w:rPr>
            <w:noProof/>
            <w:webHidden/>
          </w:rPr>
          <w:t>26</w:t>
        </w:r>
        <w:r w:rsidR="00B40509">
          <w:rPr>
            <w:noProof/>
            <w:webHidden/>
          </w:rPr>
          <w:fldChar w:fldCharType="end"/>
        </w:r>
      </w:hyperlink>
    </w:p>
    <w:p w14:paraId="7C805625" w14:textId="5AE8E6FA" w:rsidR="00B40509" w:rsidRDefault="000E2279">
      <w:pPr>
        <w:pStyle w:val="TOC2"/>
        <w:rPr>
          <w:rFonts w:asciiTheme="minorHAnsi" w:eastAsiaTheme="minorEastAsia" w:hAnsiTheme="minorHAnsi" w:cstheme="minorBidi"/>
          <w:noProof/>
        </w:rPr>
      </w:pPr>
      <w:hyperlink w:anchor="_Toc524520626" w:history="1">
        <w:r w:rsidR="00B40509" w:rsidRPr="00D87902">
          <w:rPr>
            <w:rStyle w:val="Hyperlink"/>
            <w:bCs/>
            <w:iCs/>
            <w:noProof/>
          </w:rPr>
          <w:t>FGEQUIPMENT</w:t>
        </w:r>
        <w:r w:rsidR="00B40509">
          <w:rPr>
            <w:noProof/>
            <w:webHidden/>
          </w:rPr>
          <w:tab/>
        </w:r>
        <w:r w:rsidR="00B40509">
          <w:rPr>
            <w:noProof/>
            <w:webHidden/>
          </w:rPr>
          <w:fldChar w:fldCharType="begin"/>
        </w:r>
        <w:r w:rsidR="00B40509">
          <w:rPr>
            <w:noProof/>
            <w:webHidden/>
          </w:rPr>
          <w:instrText xml:space="preserve"> PAGEREF _Toc524520626 \h </w:instrText>
        </w:r>
        <w:r w:rsidR="00B40509">
          <w:rPr>
            <w:noProof/>
            <w:webHidden/>
          </w:rPr>
        </w:r>
        <w:r w:rsidR="00B40509">
          <w:rPr>
            <w:noProof/>
            <w:webHidden/>
          </w:rPr>
          <w:fldChar w:fldCharType="separate"/>
        </w:r>
        <w:r>
          <w:rPr>
            <w:noProof/>
            <w:webHidden/>
          </w:rPr>
          <w:t>27</w:t>
        </w:r>
        <w:r w:rsidR="00B40509">
          <w:rPr>
            <w:noProof/>
            <w:webHidden/>
          </w:rPr>
          <w:fldChar w:fldCharType="end"/>
        </w:r>
      </w:hyperlink>
    </w:p>
    <w:p w14:paraId="6275B975" w14:textId="6345108E" w:rsidR="00B40509" w:rsidRDefault="000E2279">
      <w:pPr>
        <w:pStyle w:val="TOC1"/>
        <w:rPr>
          <w:rFonts w:asciiTheme="minorHAnsi" w:eastAsiaTheme="minorEastAsia" w:hAnsiTheme="minorHAnsi" w:cstheme="minorBidi"/>
          <w:b w:val="0"/>
          <w:noProof/>
        </w:rPr>
      </w:pPr>
      <w:hyperlink w:anchor="_Toc524520627" w:history="1">
        <w:r w:rsidR="00B40509" w:rsidRPr="00D87902">
          <w:rPr>
            <w:rStyle w:val="Hyperlink"/>
            <w:noProof/>
          </w:rPr>
          <w:t>E.  NON-APPLICABLE REQUIREMENTS</w:t>
        </w:r>
        <w:r w:rsidR="00B40509">
          <w:rPr>
            <w:noProof/>
            <w:webHidden/>
          </w:rPr>
          <w:tab/>
        </w:r>
        <w:r w:rsidR="00B40509">
          <w:rPr>
            <w:noProof/>
            <w:webHidden/>
          </w:rPr>
          <w:fldChar w:fldCharType="begin"/>
        </w:r>
        <w:r w:rsidR="00B40509">
          <w:rPr>
            <w:noProof/>
            <w:webHidden/>
          </w:rPr>
          <w:instrText xml:space="preserve"> PAGEREF _Toc524520627 \h </w:instrText>
        </w:r>
        <w:r w:rsidR="00B40509">
          <w:rPr>
            <w:noProof/>
            <w:webHidden/>
          </w:rPr>
        </w:r>
        <w:r w:rsidR="00B40509">
          <w:rPr>
            <w:noProof/>
            <w:webHidden/>
          </w:rPr>
          <w:fldChar w:fldCharType="separate"/>
        </w:r>
        <w:r>
          <w:rPr>
            <w:noProof/>
            <w:webHidden/>
          </w:rPr>
          <w:t>29</w:t>
        </w:r>
        <w:r w:rsidR="00B40509">
          <w:rPr>
            <w:noProof/>
            <w:webHidden/>
          </w:rPr>
          <w:fldChar w:fldCharType="end"/>
        </w:r>
      </w:hyperlink>
    </w:p>
    <w:p w14:paraId="5958AC9F" w14:textId="6541D677" w:rsidR="00B40509" w:rsidRDefault="000E2279">
      <w:pPr>
        <w:pStyle w:val="TOC1"/>
        <w:rPr>
          <w:rFonts w:asciiTheme="minorHAnsi" w:eastAsiaTheme="minorEastAsia" w:hAnsiTheme="minorHAnsi" w:cstheme="minorBidi"/>
          <w:b w:val="0"/>
          <w:noProof/>
        </w:rPr>
      </w:pPr>
      <w:hyperlink w:anchor="_Toc524520628" w:history="1">
        <w:r w:rsidR="00B40509" w:rsidRPr="00D87902">
          <w:rPr>
            <w:rStyle w:val="Hyperlink"/>
            <w:noProof/>
            <w:kern w:val="28"/>
          </w:rPr>
          <w:t>APPENDICES</w:t>
        </w:r>
        <w:r w:rsidR="00B40509">
          <w:rPr>
            <w:noProof/>
            <w:webHidden/>
          </w:rPr>
          <w:tab/>
        </w:r>
        <w:r w:rsidR="00B40509">
          <w:rPr>
            <w:noProof/>
            <w:webHidden/>
          </w:rPr>
          <w:fldChar w:fldCharType="begin"/>
        </w:r>
        <w:r w:rsidR="00B40509">
          <w:rPr>
            <w:noProof/>
            <w:webHidden/>
          </w:rPr>
          <w:instrText xml:space="preserve"> PAGEREF _Toc524520628 \h </w:instrText>
        </w:r>
        <w:r w:rsidR="00B40509">
          <w:rPr>
            <w:noProof/>
            <w:webHidden/>
          </w:rPr>
        </w:r>
        <w:r w:rsidR="00B40509">
          <w:rPr>
            <w:noProof/>
            <w:webHidden/>
          </w:rPr>
          <w:fldChar w:fldCharType="separate"/>
        </w:r>
        <w:r>
          <w:rPr>
            <w:noProof/>
            <w:webHidden/>
          </w:rPr>
          <w:t>30</w:t>
        </w:r>
        <w:r w:rsidR="00B40509">
          <w:rPr>
            <w:noProof/>
            <w:webHidden/>
          </w:rPr>
          <w:fldChar w:fldCharType="end"/>
        </w:r>
      </w:hyperlink>
    </w:p>
    <w:p w14:paraId="39E337EA" w14:textId="4D8FA727" w:rsidR="00B40509" w:rsidRDefault="000E2279">
      <w:pPr>
        <w:pStyle w:val="TOC2"/>
        <w:rPr>
          <w:rFonts w:asciiTheme="minorHAnsi" w:eastAsiaTheme="minorEastAsia" w:hAnsiTheme="minorHAnsi" w:cstheme="minorBidi"/>
          <w:noProof/>
        </w:rPr>
      </w:pPr>
      <w:hyperlink w:anchor="_Toc524520629" w:history="1">
        <w:r w:rsidR="00B40509" w:rsidRPr="00D87902">
          <w:rPr>
            <w:rStyle w:val="Hyperlink"/>
            <w:noProof/>
          </w:rPr>
          <w:t>Appendix 1.  Acronyms and Abbreviations</w:t>
        </w:r>
        <w:r w:rsidR="00B40509">
          <w:rPr>
            <w:noProof/>
            <w:webHidden/>
          </w:rPr>
          <w:tab/>
        </w:r>
        <w:r w:rsidR="00B40509">
          <w:rPr>
            <w:noProof/>
            <w:webHidden/>
          </w:rPr>
          <w:fldChar w:fldCharType="begin"/>
        </w:r>
        <w:r w:rsidR="00B40509">
          <w:rPr>
            <w:noProof/>
            <w:webHidden/>
          </w:rPr>
          <w:instrText xml:space="preserve"> PAGEREF _Toc524520629 \h </w:instrText>
        </w:r>
        <w:r w:rsidR="00B40509">
          <w:rPr>
            <w:noProof/>
            <w:webHidden/>
          </w:rPr>
        </w:r>
        <w:r w:rsidR="00B40509">
          <w:rPr>
            <w:noProof/>
            <w:webHidden/>
          </w:rPr>
          <w:fldChar w:fldCharType="separate"/>
        </w:r>
        <w:r>
          <w:rPr>
            <w:noProof/>
            <w:webHidden/>
          </w:rPr>
          <w:t>30</w:t>
        </w:r>
        <w:r w:rsidR="00B40509">
          <w:rPr>
            <w:noProof/>
            <w:webHidden/>
          </w:rPr>
          <w:fldChar w:fldCharType="end"/>
        </w:r>
      </w:hyperlink>
    </w:p>
    <w:p w14:paraId="5CE4D1EA" w14:textId="44D761B5" w:rsidR="00B40509" w:rsidRDefault="000E2279">
      <w:pPr>
        <w:pStyle w:val="TOC2"/>
        <w:rPr>
          <w:rFonts w:asciiTheme="minorHAnsi" w:eastAsiaTheme="minorEastAsia" w:hAnsiTheme="minorHAnsi" w:cstheme="minorBidi"/>
          <w:noProof/>
        </w:rPr>
      </w:pPr>
      <w:hyperlink w:anchor="_Toc524520630" w:history="1">
        <w:r w:rsidR="00B40509" w:rsidRPr="00D87902">
          <w:rPr>
            <w:rStyle w:val="Hyperlink"/>
            <w:bCs/>
            <w:noProof/>
          </w:rPr>
          <w:t>Appendix 2.  Schedule of Compliance</w:t>
        </w:r>
        <w:r w:rsidR="00B40509">
          <w:rPr>
            <w:noProof/>
            <w:webHidden/>
          </w:rPr>
          <w:tab/>
        </w:r>
        <w:r w:rsidR="00B40509">
          <w:rPr>
            <w:noProof/>
            <w:webHidden/>
          </w:rPr>
          <w:fldChar w:fldCharType="begin"/>
        </w:r>
        <w:r w:rsidR="00B40509">
          <w:rPr>
            <w:noProof/>
            <w:webHidden/>
          </w:rPr>
          <w:instrText xml:space="preserve"> PAGEREF _Toc524520630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5155E9E7" w14:textId="57D8658F" w:rsidR="00B40509" w:rsidRDefault="000E2279">
      <w:pPr>
        <w:pStyle w:val="TOC2"/>
        <w:rPr>
          <w:rFonts w:asciiTheme="minorHAnsi" w:eastAsiaTheme="minorEastAsia" w:hAnsiTheme="minorHAnsi" w:cstheme="minorBidi"/>
          <w:noProof/>
        </w:rPr>
      </w:pPr>
      <w:hyperlink w:anchor="_Toc524520631" w:history="1">
        <w:r w:rsidR="00B40509" w:rsidRPr="00D87902">
          <w:rPr>
            <w:rStyle w:val="Hyperlink"/>
            <w:noProof/>
          </w:rPr>
          <w:t>Appendix 3.  Monitoring Requirements</w:t>
        </w:r>
        <w:r w:rsidR="00B40509">
          <w:rPr>
            <w:noProof/>
            <w:webHidden/>
          </w:rPr>
          <w:tab/>
        </w:r>
        <w:r w:rsidR="00B40509">
          <w:rPr>
            <w:noProof/>
            <w:webHidden/>
          </w:rPr>
          <w:fldChar w:fldCharType="begin"/>
        </w:r>
        <w:r w:rsidR="00B40509">
          <w:rPr>
            <w:noProof/>
            <w:webHidden/>
          </w:rPr>
          <w:instrText xml:space="preserve"> PAGEREF _Toc524520631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67FB3256" w14:textId="270B07BE" w:rsidR="00B40509" w:rsidRDefault="000E2279">
      <w:pPr>
        <w:pStyle w:val="TOC2"/>
        <w:rPr>
          <w:rFonts w:asciiTheme="minorHAnsi" w:eastAsiaTheme="minorEastAsia" w:hAnsiTheme="minorHAnsi" w:cstheme="minorBidi"/>
          <w:noProof/>
        </w:rPr>
      </w:pPr>
      <w:hyperlink w:anchor="_Toc524520632" w:history="1">
        <w:r w:rsidR="00B40509" w:rsidRPr="00D87902">
          <w:rPr>
            <w:rStyle w:val="Hyperlink"/>
            <w:noProof/>
          </w:rPr>
          <w:t>Appendix 4.  Recordkeeping</w:t>
        </w:r>
        <w:r w:rsidR="00B40509">
          <w:rPr>
            <w:noProof/>
            <w:webHidden/>
          </w:rPr>
          <w:tab/>
        </w:r>
        <w:r w:rsidR="00B40509">
          <w:rPr>
            <w:noProof/>
            <w:webHidden/>
          </w:rPr>
          <w:fldChar w:fldCharType="begin"/>
        </w:r>
        <w:r w:rsidR="00B40509">
          <w:rPr>
            <w:noProof/>
            <w:webHidden/>
          </w:rPr>
          <w:instrText xml:space="preserve"> PAGEREF _Toc524520632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2AC6EAE7" w14:textId="1C592530" w:rsidR="00B40509" w:rsidRDefault="000E2279">
      <w:pPr>
        <w:pStyle w:val="TOC2"/>
        <w:rPr>
          <w:rFonts w:asciiTheme="minorHAnsi" w:eastAsiaTheme="minorEastAsia" w:hAnsiTheme="minorHAnsi" w:cstheme="minorBidi"/>
          <w:noProof/>
        </w:rPr>
      </w:pPr>
      <w:hyperlink w:anchor="_Toc524520633" w:history="1">
        <w:r w:rsidR="00B40509" w:rsidRPr="00D87902">
          <w:rPr>
            <w:rStyle w:val="Hyperlink"/>
            <w:noProof/>
          </w:rPr>
          <w:t>Appendix 5.  Testing Procedures</w:t>
        </w:r>
        <w:r w:rsidR="00B40509">
          <w:rPr>
            <w:noProof/>
            <w:webHidden/>
          </w:rPr>
          <w:tab/>
        </w:r>
        <w:r w:rsidR="00B40509">
          <w:rPr>
            <w:noProof/>
            <w:webHidden/>
          </w:rPr>
          <w:fldChar w:fldCharType="begin"/>
        </w:r>
        <w:r w:rsidR="00B40509">
          <w:rPr>
            <w:noProof/>
            <w:webHidden/>
          </w:rPr>
          <w:instrText xml:space="preserve"> PAGEREF _Toc524520633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2C2E7BB5" w14:textId="16BE1393" w:rsidR="00B40509" w:rsidRDefault="000E2279">
      <w:pPr>
        <w:pStyle w:val="TOC2"/>
        <w:rPr>
          <w:rFonts w:asciiTheme="minorHAnsi" w:eastAsiaTheme="minorEastAsia" w:hAnsiTheme="minorHAnsi" w:cstheme="minorBidi"/>
          <w:noProof/>
        </w:rPr>
      </w:pPr>
      <w:hyperlink w:anchor="_Toc524520634" w:history="1">
        <w:r w:rsidR="00B40509" w:rsidRPr="00D87902">
          <w:rPr>
            <w:rStyle w:val="Hyperlink"/>
            <w:noProof/>
          </w:rPr>
          <w:t>Appendix 6.  Permits to Install</w:t>
        </w:r>
        <w:r w:rsidR="00B40509">
          <w:rPr>
            <w:noProof/>
            <w:webHidden/>
          </w:rPr>
          <w:tab/>
        </w:r>
        <w:r w:rsidR="00B40509">
          <w:rPr>
            <w:noProof/>
            <w:webHidden/>
          </w:rPr>
          <w:fldChar w:fldCharType="begin"/>
        </w:r>
        <w:r w:rsidR="00B40509">
          <w:rPr>
            <w:noProof/>
            <w:webHidden/>
          </w:rPr>
          <w:instrText xml:space="preserve"> PAGEREF _Toc524520634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0E4C95CA" w14:textId="7AD44499" w:rsidR="00B40509" w:rsidRDefault="000E2279">
      <w:pPr>
        <w:pStyle w:val="TOC2"/>
        <w:rPr>
          <w:rFonts w:asciiTheme="minorHAnsi" w:eastAsiaTheme="minorEastAsia" w:hAnsiTheme="minorHAnsi" w:cstheme="minorBidi"/>
          <w:noProof/>
        </w:rPr>
      </w:pPr>
      <w:hyperlink w:anchor="_Toc524520635" w:history="1">
        <w:r w:rsidR="00B40509" w:rsidRPr="00D87902">
          <w:rPr>
            <w:rStyle w:val="Hyperlink"/>
            <w:noProof/>
          </w:rPr>
          <w:t>Appendix 7.  Emission Calculations</w:t>
        </w:r>
        <w:r w:rsidR="00B40509">
          <w:rPr>
            <w:noProof/>
            <w:webHidden/>
          </w:rPr>
          <w:tab/>
        </w:r>
        <w:r w:rsidR="00B40509">
          <w:rPr>
            <w:noProof/>
            <w:webHidden/>
          </w:rPr>
          <w:fldChar w:fldCharType="begin"/>
        </w:r>
        <w:r w:rsidR="00B40509">
          <w:rPr>
            <w:noProof/>
            <w:webHidden/>
          </w:rPr>
          <w:instrText xml:space="preserve"> PAGEREF _Toc524520635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2B1B215A" w14:textId="2C4C8FE9" w:rsidR="00B40509" w:rsidRDefault="000E2279">
      <w:pPr>
        <w:pStyle w:val="TOC2"/>
        <w:rPr>
          <w:rFonts w:asciiTheme="minorHAnsi" w:eastAsiaTheme="minorEastAsia" w:hAnsiTheme="minorHAnsi" w:cstheme="minorBidi"/>
          <w:noProof/>
        </w:rPr>
      </w:pPr>
      <w:hyperlink w:anchor="_Toc524520636" w:history="1">
        <w:r w:rsidR="00B40509" w:rsidRPr="00D87902">
          <w:rPr>
            <w:rStyle w:val="Hyperlink"/>
            <w:noProof/>
          </w:rPr>
          <w:t>Appendix 8.  Reporting</w:t>
        </w:r>
        <w:r w:rsidR="00B40509">
          <w:rPr>
            <w:noProof/>
            <w:webHidden/>
          </w:rPr>
          <w:tab/>
        </w:r>
        <w:r w:rsidR="00B40509">
          <w:rPr>
            <w:noProof/>
            <w:webHidden/>
          </w:rPr>
          <w:fldChar w:fldCharType="begin"/>
        </w:r>
        <w:r w:rsidR="00B40509">
          <w:rPr>
            <w:noProof/>
            <w:webHidden/>
          </w:rPr>
          <w:instrText xml:space="preserve"> PAGEREF _Toc524520636 \h </w:instrText>
        </w:r>
        <w:r w:rsidR="00B40509">
          <w:rPr>
            <w:noProof/>
            <w:webHidden/>
          </w:rPr>
        </w:r>
        <w:r w:rsidR="00B40509">
          <w:rPr>
            <w:noProof/>
            <w:webHidden/>
          </w:rPr>
          <w:fldChar w:fldCharType="separate"/>
        </w:r>
        <w:r>
          <w:rPr>
            <w:noProof/>
            <w:webHidden/>
          </w:rPr>
          <w:t>31</w:t>
        </w:r>
        <w:r w:rsidR="00B40509">
          <w:rPr>
            <w:noProof/>
            <w:webHidden/>
          </w:rPr>
          <w:fldChar w:fldCharType="end"/>
        </w:r>
      </w:hyperlink>
    </w:p>
    <w:p w14:paraId="6E12FCCE" w14:textId="72B3FC4E" w:rsidR="00AB2375" w:rsidRPr="006A1190" w:rsidRDefault="0053776A" w:rsidP="002F4C64">
      <w:pPr>
        <w:rPr>
          <w:szCs w:val="22"/>
        </w:rPr>
      </w:pPr>
      <w:r>
        <w:rPr>
          <w:b/>
          <w:szCs w:val="22"/>
        </w:rPr>
        <w:fldChar w:fldCharType="end"/>
      </w:r>
    </w:p>
    <w:p w14:paraId="697960EC" w14:textId="77777777" w:rsidR="00FA25C4" w:rsidRDefault="00C2618F" w:rsidP="00445C28">
      <w:r>
        <w:br w:type="page"/>
      </w:r>
      <w:bookmarkStart w:id="14" w:name="_Toc1453501"/>
    </w:p>
    <w:p w14:paraId="708821C3" w14:textId="77777777" w:rsidR="00C2618F" w:rsidRPr="00961169" w:rsidRDefault="00C2618F" w:rsidP="00CE44D8">
      <w:pPr>
        <w:pStyle w:val="Heading1"/>
      </w:pPr>
      <w:bookmarkStart w:id="15" w:name="_Toc524520602"/>
      <w:r w:rsidRPr="00961169">
        <w:lastRenderedPageBreak/>
        <w:t>A</w:t>
      </w:r>
      <w:r>
        <w:t>UTHORITY AND ENFORCEABILITY</w:t>
      </w:r>
      <w:bookmarkEnd w:id="14"/>
      <w:bookmarkEnd w:id="15"/>
    </w:p>
    <w:p w14:paraId="3184227D" w14:textId="77777777" w:rsidR="00FA25C4" w:rsidRDefault="00FA25C4" w:rsidP="00C2618F">
      <w:pPr>
        <w:jc w:val="both"/>
        <w:rPr>
          <w:szCs w:val="22"/>
        </w:rPr>
      </w:pPr>
    </w:p>
    <w:p w14:paraId="352BD793" w14:textId="77777777" w:rsidR="007718C6" w:rsidRDefault="007718C6" w:rsidP="00C2618F">
      <w:pPr>
        <w:jc w:val="both"/>
        <w:rPr>
          <w:szCs w:val="22"/>
        </w:rPr>
      </w:pPr>
    </w:p>
    <w:p w14:paraId="6DF9E4C9"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1F649E">
        <w:rPr>
          <w:szCs w:val="22"/>
        </w:rPr>
        <w:t>Environment</w:t>
      </w:r>
      <w:r w:rsidR="00BC48DF">
        <w:rPr>
          <w:szCs w:val="22"/>
        </w:rPr>
        <w:t>al Quality</w:t>
      </w:r>
      <w:r w:rsidRPr="006A1190">
        <w:rPr>
          <w:szCs w:val="22"/>
        </w:rPr>
        <w:t xml:space="preserve"> (M</w:t>
      </w:r>
      <w:r w:rsidR="001F649E">
        <w:rPr>
          <w:szCs w:val="22"/>
        </w:rPr>
        <w:t>DE</w:t>
      </w:r>
      <w:r w:rsidR="00BC48DF">
        <w:rPr>
          <w:szCs w:val="22"/>
        </w:rPr>
        <w:t>Q</w:t>
      </w:r>
      <w:r w:rsidRPr="006A1190">
        <w:rPr>
          <w:szCs w:val="22"/>
        </w:rPr>
        <w:t>) or his or her designee.</w:t>
      </w:r>
    </w:p>
    <w:p w14:paraId="26CAF0AD" w14:textId="77777777" w:rsidR="00C2618F" w:rsidRPr="006A1190" w:rsidRDefault="00C2618F" w:rsidP="00C2618F">
      <w:pPr>
        <w:jc w:val="both"/>
        <w:rPr>
          <w:szCs w:val="22"/>
        </w:rPr>
      </w:pPr>
    </w:p>
    <w:p w14:paraId="527FE7D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0FEE6938" w14:textId="77777777" w:rsidR="00C2618F" w:rsidRDefault="00C2618F" w:rsidP="00C2618F">
      <w:pPr>
        <w:jc w:val="both"/>
        <w:rPr>
          <w:szCs w:val="22"/>
        </w:rPr>
      </w:pPr>
    </w:p>
    <w:p w14:paraId="484746B6"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717084E3" w14:textId="77777777" w:rsidR="00C2618F" w:rsidRDefault="00C2618F" w:rsidP="00C2618F">
      <w:pPr>
        <w:jc w:val="both"/>
        <w:rPr>
          <w:szCs w:val="22"/>
        </w:rPr>
      </w:pPr>
    </w:p>
    <w:p w14:paraId="04A6F154"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384D68B" w14:textId="77777777" w:rsidR="00C2618F" w:rsidRDefault="00C2618F" w:rsidP="00C2618F">
      <w:pPr>
        <w:jc w:val="both"/>
        <w:rPr>
          <w:rFonts w:cs="Arial"/>
          <w:szCs w:val="22"/>
        </w:rPr>
      </w:pPr>
    </w:p>
    <w:p w14:paraId="6A2760B8"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03B664F7" w14:textId="77777777" w:rsidR="00C2618F" w:rsidRPr="006A1190" w:rsidRDefault="00C2618F" w:rsidP="00C2618F">
      <w:pPr>
        <w:jc w:val="both"/>
        <w:rPr>
          <w:rFonts w:cs="Arial"/>
          <w:szCs w:val="22"/>
        </w:rPr>
      </w:pPr>
    </w:p>
    <w:p w14:paraId="074BFD59" w14:textId="77777777" w:rsidR="00C2618F" w:rsidRPr="006A1190" w:rsidRDefault="00C2618F" w:rsidP="00C2618F">
      <w:pPr>
        <w:rPr>
          <w:szCs w:val="22"/>
        </w:rPr>
      </w:pPr>
    </w:p>
    <w:p w14:paraId="0942F9DB" w14:textId="77777777" w:rsidR="002B2132" w:rsidRDefault="002B2132" w:rsidP="00C2618F">
      <w:pPr>
        <w:rPr>
          <w:szCs w:val="22"/>
        </w:rPr>
      </w:pPr>
    </w:p>
    <w:p w14:paraId="6977F4B6" w14:textId="77777777" w:rsidR="0081525C" w:rsidRDefault="002B2132" w:rsidP="0081525C">
      <w:bookmarkStart w:id="16" w:name="_Toc1453503"/>
      <w:r>
        <w:br w:type="page"/>
      </w:r>
    </w:p>
    <w:p w14:paraId="39F3E620" w14:textId="77777777" w:rsidR="005420E5" w:rsidRDefault="005E5399" w:rsidP="00CE44D8">
      <w:pPr>
        <w:pStyle w:val="Heading1"/>
      </w:pPr>
      <w:bookmarkStart w:id="17" w:name="_Toc524520603"/>
      <w:r>
        <w:t xml:space="preserve">A.  GENERAL </w:t>
      </w:r>
      <w:bookmarkEnd w:id="16"/>
      <w:r w:rsidR="00E9713D">
        <w:t>CONDITIONS</w:t>
      </w:r>
      <w:bookmarkEnd w:id="17"/>
    </w:p>
    <w:p w14:paraId="5CD024B4" w14:textId="77777777" w:rsidR="00E9713D" w:rsidRPr="00E9713D" w:rsidRDefault="00E9713D" w:rsidP="00E9713D"/>
    <w:p w14:paraId="381CE761" w14:textId="77777777" w:rsidR="00D160DB" w:rsidRPr="0075518C" w:rsidRDefault="002B2132" w:rsidP="0017445C">
      <w:pPr>
        <w:pStyle w:val="Heading2"/>
        <w:numPr>
          <w:ilvl w:val="0"/>
          <w:numId w:val="0"/>
        </w:numPr>
        <w:jc w:val="left"/>
        <w:rPr>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524520604"/>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7E553D9" w14:textId="77777777" w:rsidR="00D160DB" w:rsidRPr="00DF6609" w:rsidRDefault="00D160DB" w:rsidP="00D160DB">
      <w:pPr>
        <w:jc w:val="both"/>
        <w:rPr>
          <w:rFonts w:cs="Arial"/>
          <w:sz w:val="20"/>
        </w:rPr>
      </w:pPr>
    </w:p>
    <w:p w14:paraId="43CE7CFB"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39D7828" w14:textId="77777777" w:rsidR="00A018D7" w:rsidRPr="00F21983" w:rsidRDefault="00A018D7" w:rsidP="00854153">
      <w:pPr>
        <w:jc w:val="both"/>
        <w:rPr>
          <w:rFonts w:cs="Arial"/>
          <w:sz w:val="20"/>
        </w:rPr>
      </w:pPr>
    </w:p>
    <w:p w14:paraId="2B17819B"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FD3E070" w14:textId="77777777" w:rsidR="00F6033B" w:rsidRDefault="00F6033B" w:rsidP="0012743F">
      <w:pPr>
        <w:pStyle w:val="ListParagraph"/>
        <w:ind w:left="0"/>
        <w:rPr>
          <w:rFonts w:cs="Arial"/>
          <w:sz w:val="20"/>
        </w:rPr>
      </w:pPr>
    </w:p>
    <w:p w14:paraId="3E560D5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649B419" w14:textId="77777777" w:rsidR="00D41714" w:rsidRPr="0075518C" w:rsidRDefault="00D41714" w:rsidP="0075518C">
      <w:pPr>
        <w:pStyle w:val="Heading2"/>
        <w:tabs>
          <w:tab w:val="clear" w:pos="360"/>
          <w:tab w:val="num" w:pos="0"/>
        </w:tabs>
        <w:ind w:left="0" w:firstLine="0"/>
        <w:jc w:val="left"/>
        <w:rPr>
          <w:sz w:val="22"/>
          <w:szCs w:val="22"/>
        </w:rPr>
      </w:pPr>
      <w:bookmarkStart w:id="38" w:name="_Toc457189942"/>
      <w:bookmarkStart w:id="39" w:name="_Toc1453505"/>
      <w:bookmarkStart w:id="40" w:name="_Toc524520605"/>
      <w:r w:rsidRPr="0075518C">
        <w:rPr>
          <w:sz w:val="22"/>
          <w:szCs w:val="22"/>
        </w:rPr>
        <w:t xml:space="preserve">General </w:t>
      </w:r>
      <w:bookmarkEnd w:id="38"/>
      <w:bookmarkEnd w:id="39"/>
      <w:r w:rsidR="00E9713D" w:rsidRPr="0075518C">
        <w:rPr>
          <w:sz w:val="22"/>
          <w:szCs w:val="22"/>
        </w:rPr>
        <w:t>Provisions</w:t>
      </w:r>
      <w:bookmarkEnd w:id="40"/>
    </w:p>
    <w:p w14:paraId="548EC420" w14:textId="77777777" w:rsidR="00AB10F1" w:rsidRPr="00DF6609" w:rsidRDefault="00AB10F1" w:rsidP="00AB10F1">
      <w:pPr>
        <w:jc w:val="both"/>
        <w:rPr>
          <w:rFonts w:cs="Arial"/>
          <w:sz w:val="20"/>
        </w:rPr>
      </w:pPr>
    </w:p>
    <w:p w14:paraId="0406DD70"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669D50D" w14:textId="77777777" w:rsidR="00AB10F1" w:rsidRPr="00F21983" w:rsidRDefault="00AB10F1" w:rsidP="00AB10F1">
      <w:pPr>
        <w:jc w:val="both"/>
        <w:rPr>
          <w:rFonts w:cs="Arial"/>
          <w:sz w:val="20"/>
        </w:rPr>
      </w:pPr>
    </w:p>
    <w:p w14:paraId="751F128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4160DAC" w14:textId="77777777" w:rsidR="00AB10F1" w:rsidRPr="00F21983" w:rsidRDefault="00AB10F1" w:rsidP="00AB10F1">
      <w:pPr>
        <w:jc w:val="both"/>
        <w:rPr>
          <w:rFonts w:cs="Arial"/>
          <w:sz w:val="20"/>
        </w:rPr>
      </w:pPr>
    </w:p>
    <w:p w14:paraId="1D17507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Pr="00F21983">
        <w:rPr>
          <w:rFonts w:cs="Arial"/>
          <w:sz w:val="20"/>
        </w:rPr>
        <w:t xml:space="preserve">.  </w:t>
      </w:r>
      <w:r w:rsidRPr="00F21983">
        <w:rPr>
          <w:rFonts w:cs="Arial"/>
          <w:b/>
          <w:sz w:val="20"/>
        </w:rPr>
        <w:t>(R 336.1213(1)(c))</w:t>
      </w:r>
    </w:p>
    <w:p w14:paraId="22776616" w14:textId="77777777" w:rsidR="008D6E4D" w:rsidRPr="00F21983" w:rsidRDefault="008D6E4D" w:rsidP="00AB10F1">
      <w:pPr>
        <w:jc w:val="both"/>
        <w:rPr>
          <w:rFonts w:cs="Arial"/>
          <w:sz w:val="20"/>
        </w:rPr>
      </w:pPr>
    </w:p>
    <w:p w14:paraId="599426F1"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23A6DA4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3115AEB"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BD9C3E2"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C3C9F2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CB1694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D210D7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080EFA1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419DB028"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97BB9E8" w14:textId="77777777" w:rsidR="008D6E4D" w:rsidRPr="00F21983" w:rsidRDefault="008D6E4D" w:rsidP="00AB10F1">
      <w:pPr>
        <w:jc w:val="both"/>
        <w:rPr>
          <w:rFonts w:cs="Arial"/>
          <w:sz w:val="20"/>
        </w:rPr>
      </w:pPr>
    </w:p>
    <w:p w14:paraId="7A97EF24"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31BE2D91" w14:textId="77777777" w:rsidR="008D6E4D" w:rsidRPr="00F21983" w:rsidRDefault="008D6E4D" w:rsidP="00AB10F1">
      <w:pPr>
        <w:jc w:val="both"/>
        <w:rPr>
          <w:rFonts w:cs="Arial"/>
          <w:sz w:val="20"/>
        </w:rPr>
      </w:pPr>
    </w:p>
    <w:p w14:paraId="67E6E652"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01EBF0B" w14:textId="77777777" w:rsidR="00DA6C16" w:rsidRPr="00F21983" w:rsidRDefault="00DA6C16" w:rsidP="00DA6C16">
      <w:pPr>
        <w:jc w:val="both"/>
        <w:rPr>
          <w:rFonts w:cs="Arial"/>
          <w:sz w:val="20"/>
        </w:rPr>
      </w:pPr>
    </w:p>
    <w:p w14:paraId="5693C80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E6CEBB6" w14:textId="77777777" w:rsidR="008D6E4D" w:rsidRPr="00F21983" w:rsidRDefault="008D6E4D" w:rsidP="00AB10F1">
      <w:pPr>
        <w:jc w:val="both"/>
        <w:rPr>
          <w:rFonts w:cs="Arial"/>
          <w:sz w:val="20"/>
        </w:rPr>
      </w:pPr>
    </w:p>
    <w:p w14:paraId="339B900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1F1B143" w14:textId="77777777" w:rsidR="001D288F" w:rsidRPr="0075518C" w:rsidRDefault="001D288F" w:rsidP="0075518C">
      <w:pPr>
        <w:pStyle w:val="Heading2"/>
        <w:tabs>
          <w:tab w:val="clear" w:pos="360"/>
          <w:tab w:val="num" w:pos="0"/>
        </w:tabs>
        <w:ind w:left="0" w:firstLine="0"/>
        <w:jc w:val="left"/>
        <w:rPr>
          <w:sz w:val="22"/>
          <w:szCs w:val="22"/>
        </w:rPr>
      </w:pPr>
      <w:bookmarkStart w:id="41" w:name="_Toc524520606"/>
      <w:r w:rsidRPr="0075518C">
        <w:rPr>
          <w:sz w:val="22"/>
          <w:szCs w:val="22"/>
        </w:rPr>
        <w:t>Equipment &amp; Design</w:t>
      </w:r>
      <w:bookmarkEnd w:id="41"/>
    </w:p>
    <w:p w14:paraId="602A4B2D" w14:textId="77777777" w:rsidR="00A675AC" w:rsidRPr="00DF6609" w:rsidRDefault="00A675AC" w:rsidP="00AB10F1">
      <w:pPr>
        <w:jc w:val="both"/>
        <w:rPr>
          <w:rFonts w:cs="Arial"/>
          <w:sz w:val="20"/>
        </w:rPr>
      </w:pPr>
    </w:p>
    <w:p w14:paraId="5192F6A8"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0E0D67CC" w14:textId="77777777" w:rsidR="00DC22AE" w:rsidRPr="00F21983" w:rsidRDefault="00DC22AE" w:rsidP="00AB10F1">
      <w:pPr>
        <w:jc w:val="both"/>
        <w:rPr>
          <w:rFonts w:cs="Arial"/>
          <w:sz w:val="20"/>
        </w:rPr>
      </w:pPr>
    </w:p>
    <w:p w14:paraId="3353ABA4"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2BEC84B3" w14:textId="77777777" w:rsidR="001D288F" w:rsidRPr="0075518C" w:rsidRDefault="001D288F" w:rsidP="0075518C">
      <w:pPr>
        <w:pStyle w:val="Heading2"/>
        <w:tabs>
          <w:tab w:val="clear" w:pos="360"/>
          <w:tab w:val="num" w:pos="0"/>
        </w:tabs>
        <w:ind w:left="0" w:firstLine="0"/>
        <w:jc w:val="left"/>
        <w:rPr>
          <w:sz w:val="22"/>
          <w:szCs w:val="22"/>
        </w:rPr>
      </w:pPr>
      <w:bookmarkStart w:id="42" w:name="_Toc524520607"/>
      <w:r w:rsidRPr="0075518C">
        <w:rPr>
          <w:sz w:val="22"/>
          <w:szCs w:val="22"/>
        </w:rPr>
        <w:t>Emission Limits</w:t>
      </w:r>
      <w:bookmarkEnd w:id="42"/>
    </w:p>
    <w:p w14:paraId="2BABA3DD" w14:textId="77777777" w:rsidR="002E3875" w:rsidRPr="00F21983" w:rsidRDefault="002E3875" w:rsidP="00AB10F1">
      <w:pPr>
        <w:jc w:val="both"/>
        <w:rPr>
          <w:rFonts w:cs="Arial"/>
          <w:sz w:val="20"/>
        </w:rPr>
      </w:pPr>
    </w:p>
    <w:p w14:paraId="72BA3125"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7E32BB">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BFC4CC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491B581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39107CA5" w14:textId="77777777" w:rsidR="007E32BB" w:rsidRDefault="007E32BB" w:rsidP="0012743F">
      <w:pPr>
        <w:jc w:val="both"/>
        <w:rPr>
          <w:rFonts w:cs="Arial"/>
          <w:sz w:val="20"/>
        </w:rPr>
      </w:pPr>
    </w:p>
    <w:p w14:paraId="488AA88C"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A70DE33" w14:textId="77777777" w:rsidR="00FB53C0" w:rsidRPr="00F21983" w:rsidRDefault="00FB53C0" w:rsidP="00AB10F1">
      <w:pPr>
        <w:jc w:val="both"/>
        <w:rPr>
          <w:rFonts w:cs="Arial"/>
          <w:sz w:val="20"/>
        </w:rPr>
      </w:pPr>
    </w:p>
    <w:p w14:paraId="27090E1D"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216F423B"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44CA72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4BB55537" w14:textId="77777777" w:rsidR="00ED74CC" w:rsidRPr="0075518C" w:rsidRDefault="00ED74CC" w:rsidP="0075518C">
      <w:pPr>
        <w:pStyle w:val="Heading2"/>
        <w:tabs>
          <w:tab w:val="clear" w:pos="360"/>
          <w:tab w:val="num" w:pos="0"/>
        </w:tabs>
        <w:ind w:left="0" w:firstLine="0"/>
        <w:jc w:val="left"/>
        <w:rPr>
          <w:sz w:val="22"/>
          <w:szCs w:val="22"/>
        </w:rPr>
      </w:pPr>
      <w:bookmarkStart w:id="43" w:name="_Toc524520608"/>
      <w:r w:rsidRPr="0075518C">
        <w:rPr>
          <w:sz w:val="22"/>
          <w:szCs w:val="22"/>
        </w:rPr>
        <w:t>Testing/Sampling</w:t>
      </w:r>
      <w:bookmarkEnd w:id="43"/>
    </w:p>
    <w:p w14:paraId="0692F4DA" w14:textId="77777777" w:rsidR="00FB53C0" w:rsidRPr="00F21983" w:rsidRDefault="00FB53C0" w:rsidP="00AB10F1">
      <w:pPr>
        <w:jc w:val="both"/>
        <w:rPr>
          <w:rFonts w:cs="Arial"/>
          <w:sz w:val="20"/>
        </w:rPr>
      </w:pPr>
    </w:p>
    <w:p w14:paraId="4EC808D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B07078D" w14:textId="77777777" w:rsidR="00ED74CC" w:rsidRPr="00F21983" w:rsidRDefault="00ED74CC" w:rsidP="00AB10F1">
      <w:pPr>
        <w:jc w:val="both"/>
        <w:rPr>
          <w:rFonts w:cs="Arial"/>
          <w:sz w:val="20"/>
        </w:rPr>
      </w:pPr>
    </w:p>
    <w:p w14:paraId="07B98CF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746159A9" w14:textId="77777777" w:rsidR="00ED74CC" w:rsidRPr="00F21983" w:rsidRDefault="00ED74CC" w:rsidP="00BA5CC0">
      <w:pPr>
        <w:jc w:val="both"/>
        <w:rPr>
          <w:rFonts w:cs="Arial"/>
          <w:sz w:val="20"/>
        </w:rPr>
      </w:pPr>
    </w:p>
    <w:p w14:paraId="55B98D3F"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A6C969B" w14:textId="77777777" w:rsidR="00D41714" w:rsidRDefault="00774B98" w:rsidP="00ED74CC">
      <w:pPr>
        <w:jc w:val="both"/>
        <w:rPr>
          <w:rFonts w:cs="Arial"/>
          <w:sz w:val="20"/>
        </w:rPr>
      </w:pPr>
      <w:r>
        <w:rPr>
          <w:rFonts w:cs="Arial"/>
          <w:sz w:val="20"/>
        </w:rPr>
        <w:br w:type="page"/>
      </w:r>
    </w:p>
    <w:p w14:paraId="42DAA7A7" w14:textId="77777777" w:rsidR="00B8547B" w:rsidRPr="0075518C" w:rsidRDefault="00B8547B" w:rsidP="0075518C">
      <w:pPr>
        <w:pStyle w:val="Heading2"/>
        <w:tabs>
          <w:tab w:val="clear" w:pos="360"/>
          <w:tab w:val="num" w:pos="0"/>
        </w:tabs>
        <w:ind w:left="0" w:firstLine="0"/>
        <w:jc w:val="left"/>
        <w:rPr>
          <w:sz w:val="22"/>
          <w:szCs w:val="22"/>
        </w:rPr>
      </w:pPr>
      <w:bookmarkStart w:id="44" w:name="_Toc524520609"/>
      <w:r w:rsidRPr="0075518C">
        <w:rPr>
          <w:sz w:val="22"/>
          <w:szCs w:val="22"/>
        </w:rPr>
        <w:t>Monitoring/Recordkeeping</w:t>
      </w:r>
      <w:bookmarkEnd w:id="44"/>
    </w:p>
    <w:p w14:paraId="595E885C" w14:textId="77777777" w:rsidR="00D41714" w:rsidRPr="00DF6609" w:rsidRDefault="00D41714" w:rsidP="00D41714">
      <w:pPr>
        <w:numPr>
          <w:ilvl w:val="12"/>
          <w:numId w:val="0"/>
        </w:numPr>
        <w:ind w:left="432" w:hanging="432"/>
        <w:jc w:val="both"/>
        <w:rPr>
          <w:rFonts w:cs="Arial"/>
          <w:sz w:val="20"/>
        </w:rPr>
      </w:pPr>
    </w:p>
    <w:p w14:paraId="1AA21155"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E37ABF">
        <w:rPr>
          <w:rFonts w:cs="Arial"/>
          <w:sz w:val="20"/>
        </w:rPr>
        <w:t>:</w:t>
      </w:r>
      <w:r w:rsidRPr="00F21983">
        <w:rPr>
          <w:rFonts w:cs="Arial"/>
          <w:sz w:val="20"/>
        </w:rPr>
        <w:t xml:space="preserve">  </w:t>
      </w:r>
      <w:r w:rsidRPr="00F21983">
        <w:rPr>
          <w:rFonts w:cs="Arial"/>
          <w:b/>
          <w:sz w:val="20"/>
        </w:rPr>
        <w:t>(R 336.1213(3)(b))</w:t>
      </w:r>
    </w:p>
    <w:p w14:paraId="567FB089"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BA45C9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B822C55"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BEB9A5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188DA16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C75A824"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18C017A4" w14:textId="77777777" w:rsidR="00B8547B" w:rsidRPr="00DF6609" w:rsidRDefault="00B8547B" w:rsidP="00D41714">
      <w:pPr>
        <w:numPr>
          <w:ilvl w:val="12"/>
          <w:numId w:val="0"/>
        </w:numPr>
        <w:ind w:left="432" w:hanging="432"/>
        <w:jc w:val="both"/>
        <w:rPr>
          <w:rFonts w:cs="Arial"/>
          <w:sz w:val="20"/>
        </w:rPr>
      </w:pPr>
    </w:p>
    <w:p w14:paraId="1C57A8A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9EDB960" w14:textId="77777777" w:rsidR="006D2EFC" w:rsidRPr="0075518C" w:rsidRDefault="006D2EFC" w:rsidP="0075518C">
      <w:pPr>
        <w:pStyle w:val="Heading2"/>
        <w:tabs>
          <w:tab w:val="clear" w:pos="360"/>
          <w:tab w:val="num" w:pos="0"/>
        </w:tabs>
        <w:ind w:left="0" w:firstLine="0"/>
        <w:jc w:val="left"/>
        <w:rPr>
          <w:sz w:val="22"/>
          <w:szCs w:val="22"/>
        </w:rPr>
      </w:pPr>
      <w:bookmarkStart w:id="45" w:name="_Toc524520610"/>
      <w:r w:rsidRPr="0075518C">
        <w:rPr>
          <w:sz w:val="22"/>
          <w:szCs w:val="22"/>
        </w:rPr>
        <w:t>Certification</w:t>
      </w:r>
      <w:r w:rsidR="00A92A65" w:rsidRPr="0075518C">
        <w:rPr>
          <w:sz w:val="22"/>
          <w:szCs w:val="22"/>
        </w:rPr>
        <w:t xml:space="preserve"> &amp; Reporting</w:t>
      </w:r>
      <w:bookmarkEnd w:id="45"/>
    </w:p>
    <w:p w14:paraId="5FED863E" w14:textId="77777777" w:rsidR="006D2EFC" w:rsidRPr="00F21983" w:rsidRDefault="006D2EFC" w:rsidP="00D41714">
      <w:pPr>
        <w:numPr>
          <w:ilvl w:val="12"/>
          <w:numId w:val="0"/>
        </w:numPr>
        <w:ind w:left="432" w:hanging="432"/>
        <w:jc w:val="both"/>
        <w:rPr>
          <w:rFonts w:cs="Arial"/>
          <w:sz w:val="20"/>
        </w:rPr>
      </w:pPr>
    </w:p>
    <w:p w14:paraId="3643E7B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661D4699" w14:textId="77777777" w:rsidR="00C36162" w:rsidRPr="00F21983" w:rsidRDefault="00C36162" w:rsidP="00D41714">
      <w:pPr>
        <w:numPr>
          <w:ilvl w:val="12"/>
          <w:numId w:val="0"/>
        </w:numPr>
        <w:ind w:left="432" w:hanging="432"/>
        <w:jc w:val="both"/>
        <w:rPr>
          <w:rFonts w:cs="Arial"/>
          <w:sz w:val="20"/>
        </w:rPr>
      </w:pPr>
    </w:p>
    <w:p w14:paraId="0C2A43BC"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4C754934" w14:textId="77777777" w:rsidR="00C36162" w:rsidRPr="00F21983" w:rsidRDefault="00C36162" w:rsidP="00C36162">
      <w:pPr>
        <w:numPr>
          <w:ilvl w:val="12"/>
          <w:numId w:val="0"/>
        </w:numPr>
        <w:ind w:left="432" w:hanging="432"/>
        <w:jc w:val="both"/>
        <w:rPr>
          <w:rFonts w:cs="Arial"/>
          <w:sz w:val="20"/>
        </w:rPr>
      </w:pPr>
    </w:p>
    <w:p w14:paraId="4A863BC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AB07D71" w14:textId="77777777" w:rsidR="00C36162" w:rsidRPr="00F21983" w:rsidRDefault="00C36162" w:rsidP="00D41714">
      <w:pPr>
        <w:numPr>
          <w:ilvl w:val="12"/>
          <w:numId w:val="0"/>
        </w:numPr>
        <w:ind w:left="432" w:hanging="432"/>
        <w:jc w:val="both"/>
        <w:rPr>
          <w:rFonts w:cs="Arial"/>
          <w:sz w:val="20"/>
        </w:rPr>
      </w:pPr>
    </w:p>
    <w:p w14:paraId="7FC90F58"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E37ABF">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F5EA51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4CF15D5E"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297C772"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3CB5A9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5B60696A"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1CB8F7D4"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F083E3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A4747F3" w14:textId="77777777" w:rsidR="00C36162" w:rsidRPr="00F21983" w:rsidRDefault="00C36162" w:rsidP="00D41714">
      <w:pPr>
        <w:numPr>
          <w:ilvl w:val="12"/>
          <w:numId w:val="0"/>
        </w:numPr>
        <w:ind w:left="432" w:hanging="432"/>
        <w:jc w:val="both"/>
        <w:rPr>
          <w:rFonts w:cs="Arial"/>
          <w:sz w:val="20"/>
        </w:rPr>
      </w:pPr>
    </w:p>
    <w:p w14:paraId="1BA0273F"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A0E5A00" w14:textId="77777777" w:rsidR="00B4545F" w:rsidRPr="00F21983" w:rsidRDefault="00B4545F" w:rsidP="00BA5CC0">
      <w:pPr>
        <w:numPr>
          <w:ilvl w:val="12"/>
          <w:numId w:val="0"/>
        </w:numPr>
        <w:jc w:val="both"/>
        <w:rPr>
          <w:rFonts w:cs="Arial"/>
          <w:sz w:val="20"/>
        </w:rPr>
      </w:pPr>
    </w:p>
    <w:p w14:paraId="439FA218"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5E1A425E" w14:textId="77777777" w:rsidR="00A92A65" w:rsidRPr="00F21983" w:rsidRDefault="00A92A65" w:rsidP="00BA5CC0">
      <w:pPr>
        <w:numPr>
          <w:ilvl w:val="12"/>
          <w:numId w:val="0"/>
        </w:numPr>
        <w:jc w:val="both"/>
        <w:rPr>
          <w:rFonts w:cs="Arial"/>
          <w:sz w:val="20"/>
        </w:rPr>
      </w:pPr>
    </w:p>
    <w:p w14:paraId="3070ED3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7748FB05" w14:textId="77777777" w:rsidR="0006736C" w:rsidRPr="0075518C" w:rsidRDefault="0006736C" w:rsidP="0075518C">
      <w:pPr>
        <w:pStyle w:val="Heading2"/>
        <w:tabs>
          <w:tab w:val="clear" w:pos="360"/>
          <w:tab w:val="num" w:pos="0"/>
        </w:tabs>
        <w:ind w:left="0" w:firstLine="0"/>
        <w:jc w:val="left"/>
        <w:rPr>
          <w:sz w:val="22"/>
          <w:szCs w:val="22"/>
        </w:rPr>
      </w:pPr>
      <w:bookmarkStart w:id="46" w:name="_Toc524520611"/>
      <w:r w:rsidRPr="0075518C">
        <w:rPr>
          <w:sz w:val="22"/>
          <w:szCs w:val="22"/>
        </w:rPr>
        <w:t>Permit Shield</w:t>
      </w:r>
      <w:bookmarkEnd w:id="46"/>
    </w:p>
    <w:p w14:paraId="45D2D6D1" w14:textId="77777777" w:rsidR="001F3E8E" w:rsidRPr="00DF6609" w:rsidRDefault="001F3E8E" w:rsidP="00D41714">
      <w:pPr>
        <w:numPr>
          <w:ilvl w:val="12"/>
          <w:numId w:val="0"/>
        </w:numPr>
        <w:ind w:left="432" w:hanging="432"/>
        <w:jc w:val="both"/>
        <w:rPr>
          <w:rFonts w:cs="Arial"/>
          <w:sz w:val="20"/>
        </w:rPr>
      </w:pPr>
    </w:p>
    <w:p w14:paraId="4487EE43"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as of the date of ROP issuance, if either of the following provisions is satisfied</w:t>
      </w:r>
      <w:r w:rsidR="00E37ABF">
        <w:rPr>
          <w:rFonts w:cs="Arial"/>
          <w:sz w:val="20"/>
        </w:rPr>
        <w:t>:</w:t>
      </w:r>
      <w:r w:rsidR="00C947DC">
        <w:rPr>
          <w:rFonts w:cs="Arial"/>
          <w:sz w:val="20"/>
        </w:rPr>
        <w:t xml:space="preserve">  </w:t>
      </w:r>
      <w:r w:rsidRPr="00F21983">
        <w:rPr>
          <w:rFonts w:cs="Arial"/>
          <w:b/>
          <w:sz w:val="20"/>
        </w:rPr>
        <w:t>(R 336.1213(6)(a)(i)</w:t>
      </w:r>
      <w:r w:rsidR="005E3E6D">
        <w:rPr>
          <w:rFonts w:cs="Arial"/>
          <w:b/>
          <w:sz w:val="20"/>
        </w:rPr>
        <w:t>, R 336.1213(6)(a)(ii))</w:t>
      </w:r>
    </w:p>
    <w:p w14:paraId="2DCC4E1E"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1DD9D3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DE4B897" w14:textId="77777777" w:rsidR="0006736C" w:rsidRPr="00F21983" w:rsidRDefault="0006736C" w:rsidP="0006736C">
      <w:pPr>
        <w:numPr>
          <w:ilvl w:val="12"/>
          <w:numId w:val="0"/>
        </w:numPr>
        <w:ind w:left="432" w:hanging="432"/>
        <w:jc w:val="both"/>
        <w:rPr>
          <w:rFonts w:cs="Arial"/>
          <w:sz w:val="20"/>
        </w:rPr>
      </w:pPr>
    </w:p>
    <w:p w14:paraId="4A8A7DD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3E0AFDEB" w14:textId="77777777" w:rsidR="0006736C" w:rsidRPr="00F21983" w:rsidRDefault="0006736C" w:rsidP="0006736C">
      <w:pPr>
        <w:numPr>
          <w:ilvl w:val="12"/>
          <w:numId w:val="0"/>
        </w:numPr>
        <w:ind w:left="432" w:hanging="432"/>
        <w:jc w:val="both"/>
        <w:rPr>
          <w:rFonts w:cs="Arial"/>
          <w:sz w:val="20"/>
        </w:rPr>
      </w:pPr>
    </w:p>
    <w:p w14:paraId="46BC0586"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62CC7C3"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6EF854C3"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47D89D4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5C165793" w14:textId="77777777" w:rsidR="0006736C" w:rsidRPr="005E3E6D" w:rsidRDefault="00E735E6" w:rsidP="0012743F">
      <w:pPr>
        <w:jc w:val="both"/>
        <w:rPr>
          <w:rFonts w:cs="Arial"/>
          <w:sz w:val="20"/>
        </w:rPr>
      </w:pPr>
      <w:r>
        <w:rPr>
          <w:rFonts w:cs="Arial"/>
          <w:b/>
          <w:sz w:val="20"/>
        </w:rPr>
        <w:br w:type="page"/>
      </w:r>
    </w:p>
    <w:p w14:paraId="602A97BD"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D0C18BB" w14:textId="77777777" w:rsidR="0006736C" w:rsidRPr="00F21983" w:rsidRDefault="0006736C" w:rsidP="0006736C">
      <w:pPr>
        <w:numPr>
          <w:ilvl w:val="12"/>
          <w:numId w:val="0"/>
        </w:numPr>
        <w:ind w:left="432" w:hanging="432"/>
        <w:jc w:val="both"/>
        <w:rPr>
          <w:rFonts w:cs="Arial"/>
          <w:sz w:val="20"/>
        </w:rPr>
      </w:pPr>
    </w:p>
    <w:p w14:paraId="341DAD6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193133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2556FBD"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2AC6D3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BE6C2B9"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EC93B0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8EB47B3" w14:textId="77777777" w:rsidR="0006736C" w:rsidRPr="00F21983" w:rsidRDefault="0006736C" w:rsidP="0006736C">
      <w:pPr>
        <w:numPr>
          <w:ilvl w:val="12"/>
          <w:numId w:val="0"/>
        </w:numPr>
        <w:ind w:left="432" w:hanging="432"/>
        <w:jc w:val="both"/>
        <w:rPr>
          <w:rFonts w:cs="Arial"/>
          <w:sz w:val="20"/>
        </w:rPr>
      </w:pPr>
    </w:p>
    <w:p w14:paraId="252A8009"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A7EA339" w14:textId="77777777" w:rsidR="00770D74" w:rsidRPr="0075518C" w:rsidRDefault="005D48FB" w:rsidP="0075518C">
      <w:pPr>
        <w:pStyle w:val="Heading2"/>
        <w:tabs>
          <w:tab w:val="clear" w:pos="360"/>
          <w:tab w:val="num" w:pos="0"/>
        </w:tabs>
        <w:ind w:left="0" w:firstLine="0"/>
        <w:jc w:val="left"/>
        <w:rPr>
          <w:sz w:val="22"/>
          <w:szCs w:val="22"/>
        </w:rPr>
      </w:pPr>
      <w:bookmarkStart w:id="47" w:name="_Toc524520612"/>
      <w:r w:rsidRPr="0075518C">
        <w:rPr>
          <w:sz w:val="22"/>
          <w:szCs w:val="22"/>
        </w:rPr>
        <w:t>Revisions</w:t>
      </w:r>
      <w:bookmarkEnd w:id="47"/>
    </w:p>
    <w:p w14:paraId="1748A643" w14:textId="77777777" w:rsidR="005D48FB" w:rsidRPr="00F21983" w:rsidRDefault="005D48FB" w:rsidP="00D41714">
      <w:pPr>
        <w:numPr>
          <w:ilvl w:val="12"/>
          <w:numId w:val="0"/>
        </w:numPr>
        <w:ind w:left="432" w:hanging="432"/>
        <w:jc w:val="both"/>
        <w:rPr>
          <w:rFonts w:cs="Arial"/>
          <w:sz w:val="20"/>
        </w:rPr>
      </w:pPr>
    </w:p>
    <w:p w14:paraId="591F2909"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B76302A" w14:textId="77777777" w:rsidR="00A1146D" w:rsidRPr="00F21983" w:rsidRDefault="00A1146D" w:rsidP="00C44C61">
      <w:pPr>
        <w:jc w:val="both"/>
        <w:rPr>
          <w:rFonts w:cs="Arial"/>
          <w:spacing w:val="-3"/>
          <w:sz w:val="20"/>
        </w:rPr>
      </w:pPr>
    </w:p>
    <w:p w14:paraId="2022725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488EDC2" w14:textId="77777777" w:rsidR="00D41714" w:rsidRPr="00F21983" w:rsidRDefault="00D41714" w:rsidP="00C44C61">
      <w:pPr>
        <w:numPr>
          <w:ilvl w:val="12"/>
          <w:numId w:val="0"/>
        </w:numPr>
        <w:jc w:val="both"/>
        <w:rPr>
          <w:rFonts w:cs="Arial"/>
          <w:sz w:val="20"/>
        </w:rPr>
      </w:pPr>
    </w:p>
    <w:p w14:paraId="7416253B"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09F4F02" w14:textId="77777777" w:rsidR="002806DC" w:rsidRPr="00FF072F" w:rsidRDefault="002806DC" w:rsidP="00C44C61">
      <w:pPr>
        <w:autoSpaceDE w:val="0"/>
        <w:autoSpaceDN w:val="0"/>
        <w:adjustRightInd w:val="0"/>
        <w:jc w:val="both"/>
        <w:rPr>
          <w:rFonts w:cs="Arial"/>
          <w:sz w:val="20"/>
        </w:rPr>
      </w:pPr>
    </w:p>
    <w:p w14:paraId="4AA6BBE5"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7983148F" w14:textId="77777777" w:rsidR="004649EF" w:rsidRPr="0075518C" w:rsidRDefault="004649EF" w:rsidP="0075518C">
      <w:pPr>
        <w:pStyle w:val="Heading2"/>
        <w:tabs>
          <w:tab w:val="clear" w:pos="360"/>
          <w:tab w:val="num" w:pos="0"/>
        </w:tabs>
        <w:ind w:left="0" w:firstLine="0"/>
        <w:jc w:val="left"/>
        <w:rPr>
          <w:sz w:val="22"/>
          <w:szCs w:val="22"/>
        </w:rPr>
      </w:pPr>
      <w:bookmarkStart w:id="48" w:name="_Toc524520613"/>
      <w:r w:rsidRPr="0075518C">
        <w:rPr>
          <w:sz w:val="22"/>
          <w:szCs w:val="22"/>
        </w:rPr>
        <w:t>Reopenings</w:t>
      </w:r>
      <w:bookmarkEnd w:id="48"/>
    </w:p>
    <w:p w14:paraId="34B8A005" w14:textId="77777777" w:rsidR="004649EF" w:rsidRPr="00752D7A" w:rsidRDefault="004649EF" w:rsidP="00DC22AE">
      <w:pPr>
        <w:jc w:val="both"/>
        <w:rPr>
          <w:rFonts w:cs="Arial"/>
          <w:szCs w:val="22"/>
        </w:rPr>
      </w:pPr>
    </w:p>
    <w:p w14:paraId="29DFB337"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5EAFED4"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233EC72F"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A6C2A7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2A51F1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73A7BB94" w14:textId="77777777" w:rsidR="004649EF" w:rsidRPr="00F21983" w:rsidRDefault="00C17B92" w:rsidP="00DC22AE">
      <w:pPr>
        <w:jc w:val="both"/>
        <w:rPr>
          <w:rFonts w:cs="Arial"/>
          <w:sz w:val="20"/>
        </w:rPr>
      </w:pPr>
      <w:r>
        <w:rPr>
          <w:rFonts w:cs="Arial"/>
          <w:sz w:val="20"/>
        </w:rPr>
        <w:br w:type="page"/>
      </w:r>
    </w:p>
    <w:p w14:paraId="04D41C5F" w14:textId="77777777" w:rsidR="00B348FA" w:rsidRPr="0075518C" w:rsidRDefault="00B348FA" w:rsidP="0075518C">
      <w:pPr>
        <w:pStyle w:val="Heading2"/>
        <w:tabs>
          <w:tab w:val="clear" w:pos="360"/>
          <w:tab w:val="num" w:pos="0"/>
        </w:tabs>
        <w:ind w:left="0" w:firstLine="0"/>
        <w:jc w:val="left"/>
        <w:rPr>
          <w:sz w:val="22"/>
          <w:szCs w:val="22"/>
        </w:rPr>
      </w:pPr>
      <w:bookmarkStart w:id="49" w:name="_Toc524520614"/>
      <w:r w:rsidRPr="0075518C">
        <w:rPr>
          <w:sz w:val="22"/>
          <w:szCs w:val="22"/>
        </w:rPr>
        <w:t>Renewals</w:t>
      </w:r>
      <w:bookmarkEnd w:id="49"/>
    </w:p>
    <w:p w14:paraId="585128E0" w14:textId="77777777" w:rsidR="004649EF" w:rsidRPr="005E3E6D" w:rsidRDefault="004649EF" w:rsidP="00DC22AE">
      <w:pPr>
        <w:jc w:val="both"/>
        <w:rPr>
          <w:rFonts w:cs="Arial"/>
          <w:sz w:val="20"/>
        </w:rPr>
      </w:pPr>
    </w:p>
    <w:p w14:paraId="3C99F457"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793F74B6" w14:textId="77777777" w:rsidR="00CE1923" w:rsidRPr="0075518C" w:rsidRDefault="00D41714" w:rsidP="0075518C">
      <w:pPr>
        <w:pStyle w:val="Heading2"/>
        <w:numPr>
          <w:ilvl w:val="0"/>
          <w:numId w:val="0"/>
        </w:numPr>
        <w:jc w:val="left"/>
        <w:rPr>
          <w:bCs/>
          <w:sz w:val="22"/>
        </w:rPr>
      </w:pPr>
      <w:bookmarkStart w:id="50" w:name="_Toc457189946"/>
      <w:bookmarkStart w:id="51" w:name="_Toc1453509"/>
      <w:bookmarkStart w:id="52" w:name="_Toc524520615"/>
      <w:r w:rsidRPr="0075518C">
        <w:rPr>
          <w:bCs/>
          <w:sz w:val="22"/>
        </w:rPr>
        <w:t>Stratospheric Ozone Protection</w:t>
      </w:r>
      <w:bookmarkEnd w:id="50"/>
      <w:bookmarkEnd w:id="51"/>
      <w:bookmarkEnd w:id="52"/>
    </w:p>
    <w:p w14:paraId="126D526C" w14:textId="77777777" w:rsidR="00CE1923" w:rsidRPr="00F21983" w:rsidRDefault="00CE1923" w:rsidP="004F09CF">
      <w:pPr>
        <w:jc w:val="both"/>
        <w:rPr>
          <w:sz w:val="20"/>
        </w:rPr>
      </w:pPr>
    </w:p>
    <w:p w14:paraId="06FFA6B8"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8AB9E23" w14:textId="77777777" w:rsidR="00395F98" w:rsidRPr="00F21983" w:rsidRDefault="00395F98" w:rsidP="00395F98">
      <w:pPr>
        <w:rPr>
          <w:sz w:val="20"/>
        </w:rPr>
      </w:pPr>
    </w:p>
    <w:p w14:paraId="0ADE6E86" w14:textId="77777777" w:rsidR="00D41714" w:rsidRPr="00F21983" w:rsidRDefault="00D41714" w:rsidP="00C44C61">
      <w:pPr>
        <w:numPr>
          <w:ilvl w:val="0"/>
          <w:numId w:val="20"/>
        </w:numPr>
        <w:jc w:val="both"/>
        <w:rPr>
          <w:rFonts w:cs="Arial"/>
          <w:sz w:val="20"/>
        </w:rPr>
      </w:pPr>
      <w:r w:rsidRPr="00F21983">
        <w:rPr>
          <w:rFonts w:cs="Arial"/>
          <w:sz w:val="20"/>
        </w:rPr>
        <w:t>If the permittee is subject to 40 CFR Part 82</w:t>
      </w:r>
      <w:r w:rsidR="00A51EE7">
        <w:rPr>
          <w:rFonts w:cs="Arial"/>
          <w:sz w:val="20"/>
        </w:rPr>
        <w:t>,</w:t>
      </w:r>
      <w:r w:rsidRPr="00F21983">
        <w:rPr>
          <w:rFonts w:cs="Arial"/>
          <w:sz w:val="20"/>
        </w:rPr>
        <w:t xml:space="preserve"> and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242BAF0" w14:textId="77777777" w:rsidR="00D41714" w:rsidRDefault="00D41714" w:rsidP="0075518C">
      <w:pPr>
        <w:pStyle w:val="Heading2"/>
        <w:numPr>
          <w:ilvl w:val="0"/>
          <w:numId w:val="0"/>
        </w:numPr>
        <w:jc w:val="left"/>
        <w:rPr>
          <w:bCs/>
          <w:sz w:val="22"/>
        </w:rPr>
      </w:pPr>
      <w:bookmarkStart w:id="53" w:name="_Toc457189947"/>
      <w:bookmarkStart w:id="54" w:name="_Toc1453510"/>
      <w:bookmarkStart w:id="55" w:name="_Toc524520616"/>
      <w:r w:rsidRPr="0075518C">
        <w:rPr>
          <w:bCs/>
          <w:sz w:val="22"/>
        </w:rPr>
        <w:t>Risk Management Plan</w:t>
      </w:r>
      <w:bookmarkEnd w:id="53"/>
      <w:bookmarkEnd w:id="54"/>
      <w:bookmarkEnd w:id="55"/>
    </w:p>
    <w:p w14:paraId="250A3BC4" w14:textId="77777777" w:rsidR="0075518C" w:rsidRPr="0075518C" w:rsidRDefault="0075518C" w:rsidP="004F09CF">
      <w:pPr>
        <w:jc w:val="both"/>
      </w:pPr>
    </w:p>
    <w:p w14:paraId="14A398F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6330B9A9" w14:textId="77777777" w:rsidR="00D41714" w:rsidRPr="00F21983" w:rsidRDefault="00D41714" w:rsidP="00D41714">
      <w:pPr>
        <w:numPr>
          <w:ilvl w:val="12"/>
          <w:numId w:val="0"/>
        </w:numPr>
        <w:ind w:left="432" w:hanging="432"/>
        <w:jc w:val="both"/>
        <w:rPr>
          <w:rFonts w:cs="Arial"/>
          <w:sz w:val="20"/>
        </w:rPr>
      </w:pPr>
    </w:p>
    <w:p w14:paraId="5F4F787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6CE2310"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2D23D383"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27612F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6C38247" w14:textId="77777777" w:rsidR="00D41714" w:rsidRPr="00F21983" w:rsidRDefault="00D41714" w:rsidP="00D41714">
      <w:pPr>
        <w:numPr>
          <w:ilvl w:val="12"/>
          <w:numId w:val="0"/>
        </w:numPr>
        <w:ind w:left="432" w:hanging="432"/>
        <w:jc w:val="both"/>
        <w:rPr>
          <w:rFonts w:cs="Arial"/>
          <w:sz w:val="20"/>
        </w:rPr>
      </w:pPr>
    </w:p>
    <w:p w14:paraId="656995C3"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EA34DFB" w14:textId="77777777" w:rsidR="00D41714" w:rsidRPr="00F21983" w:rsidRDefault="00D41714" w:rsidP="00D41714">
      <w:pPr>
        <w:numPr>
          <w:ilvl w:val="12"/>
          <w:numId w:val="0"/>
        </w:numPr>
        <w:ind w:left="432" w:hanging="432"/>
        <w:jc w:val="both"/>
        <w:rPr>
          <w:rFonts w:cs="Arial"/>
          <w:sz w:val="20"/>
        </w:rPr>
      </w:pPr>
    </w:p>
    <w:p w14:paraId="79F35E7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87CC61E" w14:textId="77777777" w:rsidR="00F557DA" w:rsidRPr="0075518C" w:rsidRDefault="00F557DA" w:rsidP="0075518C">
      <w:pPr>
        <w:pStyle w:val="Heading2"/>
        <w:numPr>
          <w:ilvl w:val="0"/>
          <w:numId w:val="0"/>
        </w:numPr>
        <w:jc w:val="left"/>
        <w:rPr>
          <w:bCs/>
          <w:sz w:val="22"/>
        </w:rPr>
      </w:pPr>
      <w:bookmarkStart w:id="56" w:name="_Toc524520617"/>
      <w:r w:rsidRPr="0075518C">
        <w:rPr>
          <w:bCs/>
          <w:sz w:val="22"/>
        </w:rPr>
        <w:t>Emission Trading</w:t>
      </w:r>
      <w:bookmarkEnd w:id="56"/>
    </w:p>
    <w:p w14:paraId="35C9252C" w14:textId="77777777" w:rsidR="00F557DA" w:rsidRPr="007713F1" w:rsidRDefault="00F557DA" w:rsidP="00D41714">
      <w:pPr>
        <w:numPr>
          <w:ilvl w:val="12"/>
          <w:numId w:val="0"/>
        </w:numPr>
        <w:ind w:left="432" w:hanging="432"/>
        <w:rPr>
          <w:rFonts w:cs="Arial"/>
          <w:sz w:val="20"/>
        </w:rPr>
      </w:pPr>
    </w:p>
    <w:p w14:paraId="00A3CC46"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6E05141" w14:textId="77777777" w:rsidR="00393A6F" w:rsidRPr="00DF6609" w:rsidRDefault="00C17B92" w:rsidP="00393A6F">
      <w:pPr>
        <w:rPr>
          <w:sz w:val="20"/>
        </w:rPr>
      </w:pPr>
      <w:bookmarkStart w:id="57" w:name="_Toc1453511"/>
      <w:r>
        <w:rPr>
          <w:sz w:val="20"/>
        </w:rPr>
        <w:br w:type="page"/>
      </w:r>
    </w:p>
    <w:p w14:paraId="0699EA75" w14:textId="77777777" w:rsidR="00A775C6" w:rsidRPr="0075518C" w:rsidRDefault="00A775C6" w:rsidP="0075518C">
      <w:pPr>
        <w:pStyle w:val="Heading2"/>
        <w:numPr>
          <w:ilvl w:val="0"/>
          <w:numId w:val="0"/>
        </w:numPr>
        <w:jc w:val="left"/>
        <w:rPr>
          <w:bCs/>
          <w:sz w:val="22"/>
        </w:rPr>
      </w:pPr>
      <w:bookmarkStart w:id="58" w:name="_Toc524520618"/>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59C44030" w14:textId="77777777" w:rsidR="006F555B" w:rsidRPr="00DF6609" w:rsidRDefault="006F555B" w:rsidP="00D41714">
      <w:pPr>
        <w:rPr>
          <w:rFonts w:cs="Arial"/>
          <w:sz w:val="20"/>
        </w:rPr>
      </w:pPr>
    </w:p>
    <w:p w14:paraId="58DF640A"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0D0DB9B0" w14:textId="77777777" w:rsidR="00105176" w:rsidRPr="00F21983" w:rsidRDefault="00105176" w:rsidP="00105176">
      <w:pPr>
        <w:jc w:val="both"/>
        <w:rPr>
          <w:rFonts w:cs="Arial"/>
          <w:sz w:val="20"/>
        </w:rPr>
      </w:pPr>
    </w:p>
    <w:p w14:paraId="6299578C"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2FC0820F" w14:textId="77777777" w:rsidR="00105176" w:rsidRDefault="00105176" w:rsidP="00105176">
      <w:pPr>
        <w:jc w:val="both"/>
        <w:rPr>
          <w:rFonts w:cs="Arial"/>
          <w:sz w:val="20"/>
        </w:rPr>
      </w:pPr>
    </w:p>
    <w:p w14:paraId="074A380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C48DF">
        <w:rPr>
          <w:rFonts w:cs="Arial"/>
          <w:sz w:val="20"/>
        </w:rPr>
        <w:t>MDEQ</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553BEA1" w14:textId="77777777" w:rsidR="00775BB9" w:rsidRPr="00DF6609" w:rsidRDefault="00775BB9" w:rsidP="00D41714">
      <w:pPr>
        <w:rPr>
          <w:rFonts w:cs="Arial"/>
          <w:sz w:val="20"/>
        </w:rPr>
      </w:pPr>
    </w:p>
    <w:p w14:paraId="38C503C6"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C48DF">
        <w:rPr>
          <w:rFonts w:cs="Arial"/>
          <w:sz w:val="20"/>
        </w:rPr>
        <w:t>MDEQ</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792EA23C" w14:textId="77777777" w:rsidR="00A775C6" w:rsidRPr="007713F1" w:rsidRDefault="00A775C6" w:rsidP="00D41714">
      <w:pPr>
        <w:rPr>
          <w:rFonts w:cs="Arial"/>
          <w:sz w:val="20"/>
        </w:rPr>
      </w:pPr>
    </w:p>
    <w:p w14:paraId="0D12D9CD" w14:textId="77777777" w:rsidR="001F649E" w:rsidRPr="007713F1" w:rsidRDefault="001F649E" w:rsidP="00D41714">
      <w:pPr>
        <w:rPr>
          <w:rFonts w:cs="Arial"/>
          <w:sz w:val="20"/>
        </w:rPr>
      </w:pPr>
    </w:p>
    <w:p w14:paraId="273A46A5"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01B4F22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5B9625C"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03FF27C3" w14:textId="77777777" w:rsidR="000B3A18" w:rsidRPr="009B2FEE" w:rsidRDefault="000B3A18" w:rsidP="000B3A18">
      <w:pPr>
        <w:jc w:val="both"/>
        <w:rPr>
          <w:szCs w:val="22"/>
        </w:rPr>
      </w:pPr>
    </w:p>
    <w:p w14:paraId="6EA52121" w14:textId="77777777" w:rsidR="00E735E6" w:rsidRPr="004C7900" w:rsidRDefault="008055D8" w:rsidP="008B5251">
      <w:pPr>
        <w:jc w:val="both"/>
        <w:rPr>
          <w:sz w:val="20"/>
        </w:rPr>
      </w:pPr>
      <w:r>
        <w:rPr>
          <w:rFonts w:ascii="Arial Black" w:hAnsi="Arial Black"/>
          <w:b/>
          <w:szCs w:val="22"/>
        </w:rPr>
        <w:br w:type="page"/>
      </w:r>
    </w:p>
    <w:p w14:paraId="4FF4DF28" w14:textId="77777777" w:rsidR="008B5251" w:rsidRDefault="008B5251" w:rsidP="008B5251">
      <w:pPr>
        <w:jc w:val="center"/>
        <w:rPr>
          <w:b/>
          <w:sz w:val="28"/>
          <w:szCs w:val="28"/>
        </w:rPr>
      </w:pPr>
      <w:bookmarkStart w:id="59" w:name="_Toc852394"/>
      <w:bookmarkStart w:id="60" w:name="_Toc852725"/>
      <w:bookmarkStart w:id="61" w:name="_Toc1453512"/>
    </w:p>
    <w:p w14:paraId="0021D83A" w14:textId="77777777" w:rsidR="0098346A" w:rsidRPr="008B5251" w:rsidRDefault="0098346A" w:rsidP="008B5251">
      <w:pPr>
        <w:jc w:val="center"/>
        <w:rPr>
          <w:b/>
          <w:sz w:val="28"/>
          <w:szCs w:val="28"/>
        </w:rPr>
      </w:pPr>
      <w:r w:rsidRPr="008B5251">
        <w:rPr>
          <w:b/>
          <w:sz w:val="28"/>
          <w:szCs w:val="28"/>
        </w:rPr>
        <w:t xml:space="preserve">B.  </w:t>
      </w:r>
      <w:r w:rsidR="003C2679" w:rsidRPr="008B5251">
        <w:rPr>
          <w:b/>
          <w:sz w:val="28"/>
          <w:szCs w:val="28"/>
        </w:rPr>
        <w:t>SOURCE-WIDE</w:t>
      </w:r>
      <w:r w:rsidRPr="008B5251">
        <w:rPr>
          <w:b/>
          <w:sz w:val="28"/>
          <w:szCs w:val="28"/>
        </w:rPr>
        <w:t xml:space="preserve"> </w:t>
      </w:r>
      <w:bookmarkEnd w:id="59"/>
      <w:bookmarkEnd w:id="60"/>
      <w:bookmarkEnd w:id="61"/>
      <w:r w:rsidR="005A53BF" w:rsidRPr="008B5251">
        <w:rPr>
          <w:b/>
          <w:sz w:val="28"/>
          <w:szCs w:val="28"/>
        </w:rPr>
        <w:t>CONDITIONS</w:t>
      </w:r>
    </w:p>
    <w:p w14:paraId="2D70E29E" w14:textId="77777777" w:rsidR="008B5251" w:rsidRPr="00F21983" w:rsidRDefault="008B5251" w:rsidP="0098346A">
      <w:pPr>
        <w:jc w:val="both"/>
        <w:rPr>
          <w:sz w:val="20"/>
        </w:rPr>
      </w:pPr>
    </w:p>
    <w:p w14:paraId="5EB28E0E"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0300A254" w14:textId="77777777" w:rsidR="003C2679" w:rsidRPr="00F21983" w:rsidRDefault="003C2679" w:rsidP="0098346A">
      <w:pPr>
        <w:jc w:val="both"/>
        <w:rPr>
          <w:sz w:val="20"/>
        </w:rPr>
      </w:pPr>
    </w:p>
    <w:p w14:paraId="4A6031ED"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676840E4" w14:textId="77777777" w:rsidR="00875F04" w:rsidRDefault="00875F04" w:rsidP="0098346A">
      <w:pPr>
        <w:jc w:val="both"/>
        <w:rPr>
          <w:sz w:val="20"/>
        </w:rPr>
      </w:pPr>
    </w:p>
    <w:p w14:paraId="258E5BF9" w14:textId="77777777" w:rsidR="0098346A" w:rsidRPr="0007030E" w:rsidRDefault="0098346A" w:rsidP="0098346A"/>
    <w:p w14:paraId="616B1D92" w14:textId="77777777" w:rsidR="0098346A" w:rsidRPr="007713F1" w:rsidRDefault="001C614B" w:rsidP="0007030E">
      <w:r>
        <w:br w:type="page"/>
      </w:r>
    </w:p>
    <w:p w14:paraId="655A5A21" w14:textId="77777777" w:rsidR="00E14632" w:rsidRDefault="00ED0AFD" w:rsidP="00CE44D8">
      <w:pPr>
        <w:pStyle w:val="Heading1"/>
      </w:pPr>
      <w:bookmarkStart w:id="62" w:name="_Toc524520619"/>
      <w:bookmarkStart w:id="63" w:name="_Toc852397"/>
      <w:bookmarkStart w:id="64" w:name="_Toc852728"/>
      <w:bookmarkStart w:id="65" w:name="_Toc1453515"/>
      <w:r>
        <w:t xml:space="preserve">C.  </w:t>
      </w:r>
      <w:r w:rsidR="0002792B">
        <w:t xml:space="preserve">EMISSION UNIT </w:t>
      </w:r>
      <w:bookmarkStart w:id="66" w:name="_Toc2571645"/>
      <w:r w:rsidR="00456F47">
        <w:t>CONDITIONS</w:t>
      </w:r>
      <w:bookmarkEnd w:id="62"/>
    </w:p>
    <w:p w14:paraId="56409A00" w14:textId="77777777" w:rsidR="00E14632" w:rsidRPr="00FE0AD0" w:rsidRDefault="00E14632" w:rsidP="00E14632">
      <w:pPr>
        <w:jc w:val="both"/>
        <w:rPr>
          <w:sz w:val="20"/>
        </w:rPr>
      </w:pPr>
    </w:p>
    <w:p w14:paraId="0760CF11"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s for each emission unit in addition to the General Conditions in Part A and any other terms and conditions contained in this ROP.</w:t>
      </w:r>
    </w:p>
    <w:p w14:paraId="27F46338" w14:textId="77777777" w:rsidR="009602B7" w:rsidRPr="00FE0AD0" w:rsidRDefault="009602B7" w:rsidP="00E14632">
      <w:pPr>
        <w:jc w:val="both"/>
        <w:rPr>
          <w:sz w:val="20"/>
        </w:rPr>
      </w:pPr>
    </w:p>
    <w:p w14:paraId="658F1CFB"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s specific to individual emission units, this section will be left blank.</w:t>
      </w:r>
    </w:p>
    <w:p w14:paraId="3E57A785" w14:textId="77777777" w:rsidR="00E14632" w:rsidRPr="002B5ED5"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524520620"/>
      <w:r w:rsidRPr="002B5ED5">
        <w:rPr>
          <w:sz w:val="22"/>
          <w:szCs w:val="22"/>
        </w:rPr>
        <w:t>EMISSION UNIT SUMMARY TABLE</w:t>
      </w:r>
      <w:bookmarkEnd w:id="67"/>
      <w:bookmarkEnd w:id="68"/>
      <w:bookmarkEnd w:id="69"/>
      <w:bookmarkEnd w:id="70"/>
    </w:p>
    <w:p w14:paraId="43C26718" w14:textId="77777777" w:rsidR="00E14632" w:rsidRDefault="00736BDB" w:rsidP="00736BDB">
      <w:pPr>
        <w:jc w:val="center"/>
      </w:pPr>
      <w:r w:rsidRPr="00F35ADC">
        <w:rPr>
          <w:sz w:val="20"/>
        </w:rPr>
        <w:t>The descriptions provided below are for informational purposes and do not constitute enforceable conditions.</w:t>
      </w:r>
    </w:p>
    <w:p w14:paraId="13F9CC07"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2C530513" w14:textId="77777777">
        <w:trPr>
          <w:cantSplit/>
          <w:tblHeader/>
        </w:trPr>
        <w:tc>
          <w:tcPr>
            <w:tcW w:w="2160" w:type="dxa"/>
            <w:tcBorders>
              <w:top w:val="double" w:sz="6" w:space="0" w:color="auto"/>
              <w:bottom w:val="double" w:sz="4" w:space="0" w:color="auto"/>
            </w:tcBorders>
            <w:shd w:val="pct10" w:color="auto" w:fill="auto"/>
          </w:tcPr>
          <w:p w14:paraId="7114E6E1"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9EA4ABC"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C41F80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49D4BCF8" w14:textId="77777777" w:rsidR="00E14632" w:rsidRPr="00BB5D62" w:rsidRDefault="00E14632" w:rsidP="00C6273C">
            <w:pPr>
              <w:jc w:val="center"/>
              <w:rPr>
                <w:rFonts w:cs="Arial"/>
                <w:b/>
                <w:sz w:val="20"/>
              </w:rPr>
            </w:pPr>
            <w:r w:rsidRPr="00BB5D62">
              <w:rPr>
                <w:rFonts w:cs="Arial"/>
                <w:b/>
                <w:sz w:val="20"/>
              </w:rPr>
              <w:t>Installation</w:t>
            </w:r>
          </w:p>
          <w:p w14:paraId="0162582E" w14:textId="77777777" w:rsidR="00E14632" w:rsidRDefault="00E14632" w:rsidP="00C6273C">
            <w:pPr>
              <w:jc w:val="center"/>
              <w:rPr>
                <w:rFonts w:cs="Arial"/>
                <w:b/>
                <w:sz w:val="20"/>
              </w:rPr>
            </w:pPr>
            <w:r w:rsidRPr="00BB5D62">
              <w:rPr>
                <w:rFonts w:cs="Arial"/>
                <w:b/>
                <w:sz w:val="20"/>
              </w:rPr>
              <w:t>Date</w:t>
            </w:r>
            <w:r>
              <w:rPr>
                <w:rFonts w:cs="Arial"/>
                <w:b/>
                <w:sz w:val="20"/>
              </w:rPr>
              <w:t>/</w:t>
            </w:r>
          </w:p>
          <w:p w14:paraId="34DD8745"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319B428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2F8D5CE7" w14:textId="77777777">
        <w:trPr>
          <w:cantSplit/>
        </w:trPr>
        <w:tc>
          <w:tcPr>
            <w:tcW w:w="2160" w:type="dxa"/>
            <w:tcBorders>
              <w:top w:val="nil"/>
            </w:tcBorders>
          </w:tcPr>
          <w:p w14:paraId="07F68090" w14:textId="77777777" w:rsidR="008B5251" w:rsidRDefault="008B5251" w:rsidP="008B5251">
            <w:pPr>
              <w:rPr>
                <w:rFonts w:cs="Arial"/>
                <w:sz w:val="20"/>
              </w:rPr>
            </w:pPr>
            <w:r>
              <w:rPr>
                <w:rFonts w:cs="Arial"/>
                <w:sz w:val="20"/>
              </w:rPr>
              <w:t>EUBG001</w:t>
            </w:r>
          </w:p>
          <w:p w14:paraId="16AEB732" w14:textId="69C8E7A2" w:rsidR="008B5251" w:rsidRPr="00F96083" w:rsidRDefault="008B5251" w:rsidP="008B5251">
            <w:pPr>
              <w:rPr>
                <w:rFonts w:cs="Arial"/>
                <w:sz w:val="20"/>
              </w:rPr>
            </w:pPr>
          </w:p>
          <w:p w14:paraId="5CA38D98" w14:textId="3EB2B376" w:rsidR="00E14632" w:rsidRPr="00BB5D62" w:rsidRDefault="00E14632" w:rsidP="008B5251">
            <w:pPr>
              <w:rPr>
                <w:rFonts w:cs="Arial"/>
                <w:sz w:val="20"/>
              </w:rPr>
            </w:pPr>
          </w:p>
        </w:tc>
        <w:tc>
          <w:tcPr>
            <w:tcW w:w="4320" w:type="dxa"/>
            <w:tcBorders>
              <w:top w:val="nil"/>
            </w:tcBorders>
          </w:tcPr>
          <w:p w14:paraId="097BE873" w14:textId="689B8151" w:rsidR="00E14632" w:rsidRPr="00BB5D62" w:rsidRDefault="00635CC6" w:rsidP="00AA46E9">
            <w:pPr>
              <w:rPr>
                <w:rFonts w:cs="Arial"/>
                <w:sz w:val="20"/>
              </w:rPr>
            </w:pPr>
            <w:r w:rsidRPr="00F96083">
              <w:rPr>
                <w:rFonts w:cs="Arial"/>
                <w:sz w:val="20"/>
              </w:rPr>
              <w:t xml:space="preserve">Clark </w:t>
            </w:r>
            <w:r>
              <w:rPr>
                <w:rFonts w:cs="Arial"/>
                <w:sz w:val="20"/>
              </w:rPr>
              <w:t>m</w:t>
            </w:r>
            <w:r w:rsidRPr="00F96083">
              <w:rPr>
                <w:rFonts w:cs="Arial"/>
                <w:sz w:val="20"/>
              </w:rPr>
              <w:t>odel HBA6T; 1550 HP natural gas fired reciprocating internal combustion compressor engine.</w:t>
            </w:r>
          </w:p>
        </w:tc>
        <w:tc>
          <w:tcPr>
            <w:tcW w:w="1890" w:type="dxa"/>
            <w:tcBorders>
              <w:top w:val="nil"/>
            </w:tcBorders>
          </w:tcPr>
          <w:p w14:paraId="71912A4A" w14:textId="77777777" w:rsidR="00E14632" w:rsidRPr="00ED0849" w:rsidRDefault="00635CC6" w:rsidP="008F6D06">
            <w:pPr>
              <w:jc w:val="center"/>
              <w:rPr>
                <w:rFonts w:cs="Arial"/>
                <w:color w:val="FF0000"/>
                <w:sz w:val="20"/>
              </w:rPr>
            </w:pPr>
            <w:r>
              <w:rPr>
                <w:rFonts w:cs="Arial"/>
                <w:sz w:val="20"/>
              </w:rPr>
              <w:t>01-01-</w:t>
            </w:r>
            <w:r w:rsidR="006549C9">
              <w:rPr>
                <w:rFonts w:cs="Arial"/>
                <w:sz w:val="20"/>
              </w:rPr>
              <w:t>19</w:t>
            </w:r>
            <w:r w:rsidRPr="00F96083">
              <w:rPr>
                <w:rFonts w:cs="Arial"/>
                <w:sz w:val="20"/>
              </w:rPr>
              <w:t>50/NA</w:t>
            </w:r>
          </w:p>
        </w:tc>
        <w:tc>
          <w:tcPr>
            <w:tcW w:w="2070" w:type="dxa"/>
            <w:tcBorders>
              <w:top w:val="nil"/>
            </w:tcBorders>
          </w:tcPr>
          <w:p w14:paraId="691040A8" w14:textId="77777777" w:rsidR="00E14632" w:rsidRPr="00BB5D62" w:rsidRDefault="00635CC6" w:rsidP="00AA46E9">
            <w:pPr>
              <w:rPr>
                <w:rFonts w:cs="Arial"/>
                <w:sz w:val="20"/>
              </w:rPr>
            </w:pPr>
            <w:r>
              <w:rPr>
                <w:rFonts w:cs="Arial"/>
                <w:sz w:val="20"/>
              </w:rPr>
              <w:t>FG</w:t>
            </w:r>
            <w:r w:rsidRPr="00F96083">
              <w:rPr>
                <w:rFonts w:cs="Arial"/>
                <w:sz w:val="20"/>
              </w:rPr>
              <w:t>EQUIPMENT</w:t>
            </w:r>
          </w:p>
        </w:tc>
      </w:tr>
      <w:tr w:rsidR="00135A89" w14:paraId="60A69812" w14:textId="77777777">
        <w:trPr>
          <w:cantSplit/>
        </w:trPr>
        <w:tc>
          <w:tcPr>
            <w:tcW w:w="2160" w:type="dxa"/>
            <w:tcBorders>
              <w:top w:val="nil"/>
            </w:tcBorders>
          </w:tcPr>
          <w:p w14:paraId="69C071B7" w14:textId="76D41F2B" w:rsidR="00135A89" w:rsidRDefault="00135A89" w:rsidP="00135A89">
            <w:pPr>
              <w:rPr>
                <w:rFonts w:cs="Arial"/>
                <w:sz w:val="20"/>
              </w:rPr>
            </w:pPr>
            <w:r w:rsidRPr="00F96083">
              <w:rPr>
                <w:rFonts w:cs="Arial"/>
                <w:sz w:val="20"/>
              </w:rPr>
              <w:t>EUBG002</w:t>
            </w:r>
          </w:p>
        </w:tc>
        <w:tc>
          <w:tcPr>
            <w:tcW w:w="4320" w:type="dxa"/>
            <w:tcBorders>
              <w:top w:val="nil"/>
            </w:tcBorders>
          </w:tcPr>
          <w:p w14:paraId="16D77B2F" w14:textId="586AD2DF" w:rsidR="00135A89" w:rsidRPr="00F96083" w:rsidRDefault="00135A89" w:rsidP="00135A89">
            <w:pPr>
              <w:rPr>
                <w:rFonts w:cs="Arial"/>
                <w:sz w:val="20"/>
              </w:rPr>
            </w:pPr>
            <w:r w:rsidRPr="00F96083">
              <w:rPr>
                <w:rFonts w:cs="Arial"/>
                <w:sz w:val="20"/>
              </w:rPr>
              <w:t xml:space="preserve">Clark </w:t>
            </w:r>
            <w:r>
              <w:rPr>
                <w:rFonts w:cs="Arial"/>
                <w:sz w:val="20"/>
              </w:rPr>
              <w:t>m</w:t>
            </w:r>
            <w:r w:rsidRPr="00F96083">
              <w:rPr>
                <w:rFonts w:cs="Arial"/>
                <w:sz w:val="20"/>
              </w:rPr>
              <w:t>odel HBA6T; 1550 HP natural gas fired reciprocating internal combustion compressor engine.</w:t>
            </w:r>
          </w:p>
        </w:tc>
        <w:tc>
          <w:tcPr>
            <w:tcW w:w="1890" w:type="dxa"/>
            <w:tcBorders>
              <w:top w:val="nil"/>
            </w:tcBorders>
          </w:tcPr>
          <w:p w14:paraId="639D7DA8" w14:textId="7992B5FE" w:rsidR="00135A89" w:rsidRDefault="00135A89" w:rsidP="00135A89">
            <w:pPr>
              <w:jc w:val="center"/>
              <w:rPr>
                <w:rFonts w:cs="Arial"/>
                <w:sz w:val="20"/>
              </w:rPr>
            </w:pPr>
            <w:r w:rsidRPr="00947CCC">
              <w:rPr>
                <w:rFonts w:cs="Arial"/>
                <w:sz w:val="20"/>
              </w:rPr>
              <w:t>01-01-1950/NA</w:t>
            </w:r>
          </w:p>
        </w:tc>
        <w:tc>
          <w:tcPr>
            <w:tcW w:w="2070" w:type="dxa"/>
            <w:tcBorders>
              <w:top w:val="nil"/>
            </w:tcBorders>
          </w:tcPr>
          <w:p w14:paraId="2BEA9017" w14:textId="28ED180C" w:rsidR="00135A89" w:rsidRDefault="00135A89" w:rsidP="00135A89">
            <w:pPr>
              <w:rPr>
                <w:rFonts w:cs="Arial"/>
                <w:sz w:val="20"/>
              </w:rPr>
            </w:pPr>
            <w:r w:rsidRPr="007D00BC">
              <w:rPr>
                <w:rFonts w:cs="Arial"/>
                <w:sz w:val="20"/>
              </w:rPr>
              <w:t>FGEQUIPMENT</w:t>
            </w:r>
          </w:p>
        </w:tc>
      </w:tr>
      <w:tr w:rsidR="00135A89" w14:paraId="0F192B75" w14:textId="77777777">
        <w:trPr>
          <w:cantSplit/>
        </w:trPr>
        <w:tc>
          <w:tcPr>
            <w:tcW w:w="2160" w:type="dxa"/>
            <w:tcBorders>
              <w:top w:val="nil"/>
            </w:tcBorders>
          </w:tcPr>
          <w:p w14:paraId="5CDFBB38" w14:textId="4107CC11" w:rsidR="00135A89" w:rsidRDefault="00135A89" w:rsidP="00135A89">
            <w:pPr>
              <w:rPr>
                <w:rFonts w:cs="Arial"/>
                <w:sz w:val="20"/>
              </w:rPr>
            </w:pPr>
            <w:r>
              <w:rPr>
                <w:rFonts w:cs="Arial"/>
                <w:sz w:val="20"/>
              </w:rPr>
              <w:t>EUBG003</w:t>
            </w:r>
          </w:p>
        </w:tc>
        <w:tc>
          <w:tcPr>
            <w:tcW w:w="4320" w:type="dxa"/>
            <w:tcBorders>
              <w:top w:val="nil"/>
            </w:tcBorders>
          </w:tcPr>
          <w:p w14:paraId="0E1E411E" w14:textId="152887A9" w:rsidR="00135A89" w:rsidRPr="00F96083" w:rsidRDefault="00135A89" w:rsidP="00135A89">
            <w:pPr>
              <w:rPr>
                <w:rFonts w:cs="Arial"/>
                <w:sz w:val="20"/>
              </w:rPr>
            </w:pPr>
            <w:r w:rsidRPr="00F96083">
              <w:rPr>
                <w:rFonts w:cs="Arial"/>
                <w:sz w:val="20"/>
              </w:rPr>
              <w:t xml:space="preserve">Clark </w:t>
            </w:r>
            <w:r>
              <w:rPr>
                <w:rFonts w:cs="Arial"/>
                <w:sz w:val="20"/>
              </w:rPr>
              <w:t>m</w:t>
            </w:r>
            <w:r w:rsidRPr="00F96083">
              <w:rPr>
                <w:rFonts w:cs="Arial"/>
                <w:sz w:val="20"/>
              </w:rPr>
              <w:t>odel HBA6T; 1550 HP natural gas fired reciprocating internal combustion compressor engine.</w:t>
            </w:r>
          </w:p>
        </w:tc>
        <w:tc>
          <w:tcPr>
            <w:tcW w:w="1890" w:type="dxa"/>
            <w:tcBorders>
              <w:top w:val="nil"/>
            </w:tcBorders>
          </w:tcPr>
          <w:p w14:paraId="39B4D359" w14:textId="0C5CB7C7" w:rsidR="00135A89" w:rsidRDefault="00135A89" w:rsidP="00135A89">
            <w:pPr>
              <w:jc w:val="center"/>
              <w:rPr>
                <w:rFonts w:cs="Arial"/>
                <w:sz w:val="20"/>
              </w:rPr>
            </w:pPr>
            <w:r w:rsidRPr="00947CCC">
              <w:rPr>
                <w:rFonts w:cs="Arial"/>
                <w:sz w:val="20"/>
              </w:rPr>
              <w:t>01-01-1950/NA</w:t>
            </w:r>
          </w:p>
        </w:tc>
        <w:tc>
          <w:tcPr>
            <w:tcW w:w="2070" w:type="dxa"/>
            <w:tcBorders>
              <w:top w:val="nil"/>
            </w:tcBorders>
          </w:tcPr>
          <w:p w14:paraId="691CC0B1" w14:textId="2AC044E0" w:rsidR="00135A89" w:rsidRDefault="00135A89" w:rsidP="00135A89">
            <w:pPr>
              <w:rPr>
                <w:rFonts w:cs="Arial"/>
                <w:sz w:val="20"/>
              </w:rPr>
            </w:pPr>
            <w:r w:rsidRPr="007D00BC">
              <w:rPr>
                <w:rFonts w:cs="Arial"/>
                <w:sz w:val="20"/>
              </w:rPr>
              <w:t>FGEQUIPMENT</w:t>
            </w:r>
          </w:p>
        </w:tc>
      </w:tr>
      <w:tr w:rsidR="00135A89" w14:paraId="5CF22F30" w14:textId="77777777">
        <w:trPr>
          <w:cantSplit/>
        </w:trPr>
        <w:tc>
          <w:tcPr>
            <w:tcW w:w="2160" w:type="dxa"/>
            <w:tcBorders>
              <w:top w:val="nil"/>
            </w:tcBorders>
          </w:tcPr>
          <w:p w14:paraId="7C057D13" w14:textId="3A77AF64" w:rsidR="00135A89" w:rsidRDefault="00135A89" w:rsidP="00135A89">
            <w:pPr>
              <w:rPr>
                <w:rFonts w:cs="Arial"/>
                <w:sz w:val="20"/>
              </w:rPr>
            </w:pPr>
            <w:r w:rsidRPr="00F96083">
              <w:rPr>
                <w:rFonts w:cs="Arial"/>
                <w:sz w:val="20"/>
              </w:rPr>
              <w:t>EUBG004</w:t>
            </w:r>
          </w:p>
        </w:tc>
        <w:tc>
          <w:tcPr>
            <w:tcW w:w="4320" w:type="dxa"/>
            <w:tcBorders>
              <w:top w:val="nil"/>
            </w:tcBorders>
          </w:tcPr>
          <w:p w14:paraId="799C2D1F" w14:textId="4EE91F48" w:rsidR="00135A89" w:rsidRPr="00F96083" w:rsidRDefault="00135A89" w:rsidP="00135A89">
            <w:pPr>
              <w:rPr>
                <w:rFonts w:cs="Arial"/>
                <w:sz w:val="20"/>
              </w:rPr>
            </w:pPr>
            <w:r w:rsidRPr="00F96083">
              <w:rPr>
                <w:rFonts w:cs="Arial"/>
                <w:sz w:val="20"/>
              </w:rPr>
              <w:t xml:space="preserve">Clark </w:t>
            </w:r>
            <w:r>
              <w:rPr>
                <w:rFonts w:cs="Arial"/>
                <w:sz w:val="20"/>
              </w:rPr>
              <w:t>m</w:t>
            </w:r>
            <w:r w:rsidRPr="00F96083">
              <w:rPr>
                <w:rFonts w:cs="Arial"/>
                <w:sz w:val="20"/>
              </w:rPr>
              <w:t>odel HBA6T; 1550 HP natural gas fired reciprocating internal combustion compressor engine.</w:t>
            </w:r>
          </w:p>
        </w:tc>
        <w:tc>
          <w:tcPr>
            <w:tcW w:w="1890" w:type="dxa"/>
            <w:tcBorders>
              <w:top w:val="nil"/>
            </w:tcBorders>
          </w:tcPr>
          <w:p w14:paraId="777BFBC3" w14:textId="5C031359" w:rsidR="00135A89" w:rsidRDefault="00135A89" w:rsidP="00135A89">
            <w:pPr>
              <w:jc w:val="center"/>
              <w:rPr>
                <w:rFonts w:cs="Arial"/>
                <w:sz w:val="20"/>
              </w:rPr>
            </w:pPr>
            <w:r w:rsidRPr="00947CCC">
              <w:rPr>
                <w:rFonts w:cs="Arial"/>
                <w:sz w:val="20"/>
              </w:rPr>
              <w:t>01-01-1950/NA</w:t>
            </w:r>
          </w:p>
        </w:tc>
        <w:tc>
          <w:tcPr>
            <w:tcW w:w="2070" w:type="dxa"/>
            <w:tcBorders>
              <w:top w:val="nil"/>
            </w:tcBorders>
          </w:tcPr>
          <w:p w14:paraId="6A7671A1" w14:textId="2D1F07EA" w:rsidR="00135A89" w:rsidRDefault="00135A89" w:rsidP="00135A89">
            <w:pPr>
              <w:rPr>
                <w:rFonts w:cs="Arial"/>
                <w:sz w:val="20"/>
              </w:rPr>
            </w:pPr>
            <w:r w:rsidRPr="007D00BC">
              <w:rPr>
                <w:rFonts w:cs="Arial"/>
                <w:sz w:val="20"/>
              </w:rPr>
              <w:t>FGEQUIPMENT</w:t>
            </w:r>
          </w:p>
        </w:tc>
      </w:tr>
      <w:tr w:rsidR="00135A89" w14:paraId="4D06B59C" w14:textId="77777777">
        <w:trPr>
          <w:cantSplit/>
        </w:trPr>
        <w:tc>
          <w:tcPr>
            <w:tcW w:w="2160" w:type="dxa"/>
            <w:tcBorders>
              <w:top w:val="nil"/>
            </w:tcBorders>
          </w:tcPr>
          <w:p w14:paraId="6A6977FF" w14:textId="6BA3764F" w:rsidR="00135A89" w:rsidRDefault="00135A89" w:rsidP="00135A89">
            <w:pPr>
              <w:rPr>
                <w:rFonts w:cs="Arial"/>
                <w:sz w:val="20"/>
              </w:rPr>
            </w:pPr>
            <w:r w:rsidRPr="00F96083">
              <w:rPr>
                <w:rFonts w:cs="Arial"/>
                <w:sz w:val="20"/>
              </w:rPr>
              <w:t>EUBG005</w:t>
            </w:r>
          </w:p>
        </w:tc>
        <w:tc>
          <w:tcPr>
            <w:tcW w:w="4320" w:type="dxa"/>
            <w:tcBorders>
              <w:top w:val="nil"/>
            </w:tcBorders>
          </w:tcPr>
          <w:p w14:paraId="6B2D519E" w14:textId="6061F288" w:rsidR="00135A89" w:rsidRPr="00F96083" w:rsidRDefault="00135A89" w:rsidP="00135A89">
            <w:pPr>
              <w:rPr>
                <w:rFonts w:cs="Arial"/>
                <w:sz w:val="20"/>
              </w:rPr>
            </w:pPr>
            <w:r w:rsidRPr="00F96083">
              <w:rPr>
                <w:rFonts w:cs="Arial"/>
                <w:sz w:val="20"/>
              </w:rPr>
              <w:t xml:space="preserve">Clark </w:t>
            </w:r>
            <w:r>
              <w:rPr>
                <w:rFonts w:cs="Arial"/>
                <w:sz w:val="20"/>
              </w:rPr>
              <w:t>m</w:t>
            </w:r>
            <w:r w:rsidRPr="00F96083">
              <w:rPr>
                <w:rFonts w:cs="Arial"/>
                <w:sz w:val="20"/>
              </w:rPr>
              <w:t>odel HBA6T; 1550 HP natural gas fired reciprocating internal combustion compressor engine.</w:t>
            </w:r>
          </w:p>
        </w:tc>
        <w:tc>
          <w:tcPr>
            <w:tcW w:w="1890" w:type="dxa"/>
            <w:tcBorders>
              <w:top w:val="nil"/>
            </w:tcBorders>
          </w:tcPr>
          <w:p w14:paraId="44A10E63" w14:textId="7D0A3729" w:rsidR="00135A89" w:rsidRDefault="00135A89" w:rsidP="00135A89">
            <w:pPr>
              <w:jc w:val="center"/>
              <w:rPr>
                <w:rFonts w:cs="Arial"/>
                <w:sz w:val="20"/>
              </w:rPr>
            </w:pPr>
            <w:r w:rsidRPr="00947CCC">
              <w:rPr>
                <w:rFonts w:cs="Arial"/>
                <w:sz w:val="20"/>
              </w:rPr>
              <w:t>01-01-1950/NA</w:t>
            </w:r>
          </w:p>
        </w:tc>
        <w:tc>
          <w:tcPr>
            <w:tcW w:w="2070" w:type="dxa"/>
            <w:tcBorders>
              <w:top w:val="nil"/>
            </w:tcBorders>
          </w:tcPr>
          <w:p w14:paraId="71B1CCB2" w14:textId="1A7F5AE0" w:rsidR="00135A89" w:rsidRDefault="00135A89" w:rsidP="00135A89">
            <w:pPr>
              <w:rPr>
                <w:rFonts w:cs="Arial"/>
                <w:sz w:val="20"/>
              </w:rPr>
            </w:pPr>
            <w:r w:rsidRPr="007D00BC">
              <w:rPr>
                <w:rFonts w:cs="Arial"/>
                <w:sz w:val="20"/>
              </w:rPr>
              <w:t>FGEQUIPMENT</w:t>
            </w:r>
          </w:p>
        </w:tc>
      </w:tr>
      <w:tr w:rsidR="00635CC6" w14:paraId="79E3D16E" w14:textId="77777777">
        <w:trPr>
          <w:cantSplit/>
        </w:trPr>
        <w:tc>
          <w:tcPr>
            <w:tcW w:w="2160" w:type="dxa"/>
          </w:tcPr>
          <w:p w14:paraId="595270D1" w14:textId="5D4C97FA" w:rsidR="00635CC6" w:rsidRPr="00BB5D62" w:rsidRDefault="00635CC6" w:rsidP="00635CC6">
            <w:pPr>
              <w:rPr>
                <w:rFonts w:cs="Arial"/>
                <w:sz w:val="20"/>
              </w:rPr>
            </w:pPr>
            <w:r w:rsidRPr="00F96083">
              <w:rPr>
                <w:rFonts w:cs="Arial"/>
                <w:sz w:val="20"/>
              </w:rPr>
              <w:t>EUBG006</w:t>
            </w:r>
          </w:p>
        </w:tc>
        <w:tc>
          <w:tcPr>
            <w:tcW w:w="4320" w:type="dxa"/>
          </w:tcPr>
          <w:p w14:paraId="4ABEF192" w14:textId="5E6F4B34" w:rsidR="00635CC6" w:rsidRPr="00F96083" w:rsidRDefault="00635CC6" w:rsidP="00AA46E9">
            <w:pPr>
              <w:rPr>
                <w:rFonts w:cs="Arial"/>
                <w:sz w:val="20"/>
              </w:rPr>
            </w:pPr>
            <w:r w:rsidRPr="00F96083">
              <w:rPr>
                <w:rFonts w:cs="Arial"/>
                <w:sz w:val="20"/>
              </w:rPr>
              <w:t xml:space="preserve">Solar model Saturn-SC; 1125 HP natural gas fired turbine.  </w:t>
            </w:r>
          </w:p>
        </w:tc>
        <w:tc>
          <w:tcPr>
            <w:tcW w:w="1890" w:type="dxa"/>
          </w:tcPr>
          <w:p w14:paraId="1A463A3E" w14:textId="77777777" w:rsidR="00635CC6" w:rsidRPr="00BB5D62" w:rsidRDefault="00635CC6" w:rsidP="00635CC6">
            <w:pPr>
              <w:jc w:val="center"/>
              <w:rPr>
                <w:rFonts w:cs="Arial"/>
                <w:sz w:val="20"/>
              </w:rPr>
            </w:pPr>
            <w:r w:rsidRPr="00F96083">
              <w:rPr>
                <w:rFonts w:cs="Arial"/>
                <w:sz w:val="20"/>
              </w:rPr>
              <w:t>08-01-</w:t>
            </w:r>
            <w:r w:rsidR="006549C9">
              <w:rPr>
                <w:rFonts w:cs="Arial"/>
                <w:sz w:val="20"/>
              </w:rPr>
              <w:t>19</w:t>
            </w:r>
            <w:r w:rsidRPr="00F96083">
              <w:rPr>
                <w:rFonts w:cs="Arial"/>
                <w:sz w:val="20"/>
              </w:rPr>
              <w:t>67/NA</w:t>
            </w:r>
          </w:p>
        </w:tc>
        <w:tc>
          <w:tcPr>
            <w:tcW w:w="2070" w:type="dxa"/>
          </w:tcPr>
          <w:p w14:paraId="13352BF3" w14:textId="77777777" w:rsidR="00635CC6" w:rsidRPr="00BB5D62" w:rsidRDefault="00635CC6" w:rsidP="00AA46E9">
            <w:pPr>
              <w:rPr>
                <w:rFonts w:cs="Arial"/>
                <w:sz w:val="20"/>
              </w:rPr>
            </w:pPr>
            <w:r>
              <w:rPr>
                <w:rFonts w:cs="Arial"/>
                <w:sz w:val="20"/>
              </w:rPr>
              <w:t>FG</w:t>
            </w:r>
            <w:r w:rsidRPr="00F96083">
              <w:rPr>
                <w:rFonts w:cs="Arial"/>
                <w:sz w:val="20"/>
              </w:rPr>
              <w:t>EQUIPMENT</w:t>
            </w:r>
          </w:p>
        </w:tc>
      </w:tr>
      <w:tr w:rsidR="00135A89" w14:paraId="0C4D8F2D" w14:textId="77777777">
        <w:trPr>
          <w:cantSplit/>
        </w:trPr>
        <w:tc>
          <w:tcPr>
            <w:tcW w:w="2160" w:type="dxa"/>
          </w:tcPr>
          <w:p w14:paraId="22E7DE9C" w14:textId="7A553D23" w:rsidR="00135A89" w:rsidRPr="00F96083" w:rsidRDefault="00135A89" w:rsidP="00635CC6">
            <w:pPr>
              <w:rPr>
                <w:rFonts w:cs="Arial"/>
                <w:sz w:val="20"/>
              </w:rPr>
            </w:pPr>
            <w:r w:rsidRPr="00F96083">
              <w:rPr>
                <w:rFonts w:cs="Arial"/>
                <w:sz w:val="20"/>
              </w:rPr>
              <w:t>EUBG007</w:t>
            </w:r>
          </w:p>
        </w:tc>
        <w:tc>
          <w:tcPr>
            <w:tcW w:w="4320" w:type="dxa"/>
          </w:tcPr>
          <w:p w14:paraId="3453C05E" w14:textId="21941E1E" w:rsidR="00135A89" w:rsidRPr="00F96083" w:rsidRDefault="00135A89" w:rsidP="00AA46E9">
            <w:pPr>
              <w:rPr>
                <w:rFonts w:cs="Arial"/>
                <w:sz w:val="20"/>
              </w:rPr>
            </w:pPr>
            <w:r w:rsidRPr="00F96083">
              <w:rPr>
                <w:rFonts w:cs="Arial"/>
                <w:sz w:val="20"/>
              </w:rPr>
              <w:t xml:space="preserve">Solar model Saturn-SC; 1125 HP natural gas fired turbine.  </w:t>
            </w:r>
          </w:p>
        </w:tc>
        <w:tc>
          <w:tcPr>
            <w:tcW w:w="1890" w:type="dxa"/>
          </w:tcPr>
          <w:p w14:paraId="0C07AABF" w14:textId="5B485860" w:rsidR="00135A89" w:rsidRPr="00F96083" w:rsidRDefault="00135A89" w:rsidP="00635CC6">
            <w:pPr>
              <w:jc w:val="center"/>
              <w:rPr>
                <w:rFonts w:cs="Arial"/>
                <w:sz w:val="20"/>
              </w:rPr>
            </w:pPr>
            <w:r w:rsidRPr="00F96083">
              <w:rPr>
                <w:rFonts w:cs="Arial"/>
                <w:sz w:val="20"/>
              </w:rPr>
              <w:t>08-01-</w:t>
            </w:r>
            <w:r>
              <w:rPr>
                <w:rFonts w:cs="Arial"/>
                <w:sz w:val="20"/>
              </w:rPr>
              <w:t>19</w:t>
            </w:r>
            <w:r w:rsidRPr="00F96083">
              <w:rPr>
                <w:rFonts w:cs="Arial"/>
                <w:sz w:val="20"/>
              </w:rPr>
              <w:t>67/NA</w:t>
            </w:r>
          </w:p>
        </w:tc>
        <w:tc>
          <w:tcPr>
            <w:tcW w:w="2070" w:type="dxa"/>
          </w:tcPr>
          <w:p w14:paraId="1D2E17A3" w14:textId="3D1FD725" w:rsidR="00135A89" w:rsidRDefault="00135A89" w:rsidP="00AA46E9">
            <w:pPr>
              <w:rPr>
                <w:rFonts w:cs="Arial"/>
                <w:sz w:val="20"/>
              </w:rPr>
            </w:pPr>
            <w:r>
              <w:rPr>
                <w:rFonts w:cs="Arial"/>
                <w:sz w:val="20"/>
              </w:rPr>
              <w:t>FG</w:t>
            </w:r>
            <w:r w:rsidRPr="00F96083">
              <w:rPr>
                <w:rFonts w:cs="Arial"/>
                <w:sz w:val="20"/>
              </w:rPr>
              <w:t>EQUIPMENT</w:t>
            </w:r>
          </w:p>
        </w:tc>
      </w:tr>
      <w:tr w:rsidR="00635CC6" w14:paraId="54D63243" w14:textId="77777777">
        <w:trPr>
          <w:cantSplit/>
        </w:trPr>
        <w:tc>
          <w:tcPr>
            <w:tcW w:w="2160" w:type="dxa"/>
          </w:tcPr>
          <w:p w14:paraId="33E66618" w14:textId="77777777" w:rsidR="00635CC6" w:rsidRPr="00BB5D62" w:rsidRDefault="00635CC6" w:rsidP="00635CC6">
            <w:pPr>
              <w:rPr>
                <w:rFonts w:cs="Arial"/>
                <w:sz w:val="20"/>
              </w:rPr>
            </w:pPr>
            <w:r w:rsidRPr="00F96083">
              <w:rPr>
                <w:rFonts w:cs="Arial"/>
                <w:sz w:val="20"/>
              </w:rPr>
              <w:t>EUBG008</w:t>
            </w:r>
          </w:p>
        </w:tc>
        <w:tc>
          <w:tcPr>
            <w:tcW w:w="4320" w:type="dxa"/>
          </w:tcPr>
          <w:p w14:paraId="28E76762" w14:textId="77777777" w:rsidR="00635CC6" w:rsidRPr="00BB5D62" w:rsidRDefault="00635CC6" w:rsidP="00AA46E9">
            <w:pPr>
              <w:rPr>
                <w:rFonts w:cs="Arial"/>
                <w:sz w:val="20"/>
              </w:rPr>
            </w:pPr>
            <w:r w:rsidRPr="00F96083">
              <w:rPr>
                <w:rFonts w:cs="Arial"/>
                <w:sz w:val="20"/>
              </w:rPr>
              <w:t>Solar model Saturn-SC; 1125 HP natural gas fired turbine.  Installed under exemption.</w:t>
            </w:r>
          </w:p>
        </w:tc>
        <w:tc>
          <w:tcPr>
            <w:tcW w:w="1890" w:type="dxa"/>
          </w:tcPr>
          <w:p w14:paraId="5075EB13" w14:textId="77777777" w:rsidR="00635CC6" w:rsidRPr="00BB5D62" w:rsidRDefault="00635CC6" w:rsidP="00635CC6">
            <w:pPr>
              <w:jc w:val="center"/>
              <w:rPr>
                <w:rFonts w:cs="Arial"/>
                <w:sz w:val="20"/>
              </w:rPr>
            </w:pPr>
            <w:r w:rsidRPr="00F96083">
              <w:rPr>
                <w:rFonts w:cs="Arial"/>
                <w:sz w:val="20"/>
              </w:rPr>
              <w:t>08-01-</w:t>
            </w:r>
            <w:r w:rsidR="006549C9">
              <w:rPr>
                <w:rFonts w:cs="Arial"/>
                <w:sz w:val="20"/>
              </w:rPr>
              <w:t>19</w:t>
            </w:r>
            <w:r w:rsidRPr="00F96083">
              <w:rPr>
                <w:rFonts w:cs="Arial"/>
                <w:sz w:val="20"/>
              </w:rPr>
              <w:t>68/NA</w:t>
            </w:r>
          </w:p>
        </w:tc>
        <w:tc>
          <w:tcPr>
            <w:tcW w:w="2070" w:type="dxa"/>
          </w:tcPr>
          <w:p w14:paraId="56C814E3" w14:textId="77777777" w:rsidR="00635CC6" w:rsidRPr="00BB5D62" w:rsidRDefault="00635CC6" w:rsidP="00AA46E9">
            <w:pPr>
              <w:rPr>
                <w:rFonts w:cs="Arial"/>
                <w:sz w:val="20"/>
              </w:rPr>
            </w:pPr>
            <w:r>
              <w:rPr>
                <w:rFonts w:cs="Arial"/>
                <w:sz w:val="20"/>
              </w:rPr>
              <w:t>FG</w:t>
            </w:r>
            <w:r w:rsidRPr="00F96083">
              <w:rPr>
                <w:rFonts w:cs="Arial"/>
                <w:sz w:val="20"/>
              </w:rPr>
              <w:t>EQUIPMENT</w:t>
            </w:r>
          </w:p>
        </w:tc>
      </w:tr>
      <w:tr w:rsidR="00635CC6" w14:paraId="5365A2C3" w14:textId="77777777">
        <w:trPr>
          <w:cantSplit/>
        </w:trPr>
        <w:tc>
          <w:tcPr>
            <w:tcW w:w="2160" w:type="dxa"/>
          </w:tcPr>
          <w:p w14:paraId="38532076" w14:textId="77777777" w:rsidR="00635CC6" w:rsidRPr="00BB5D62" w:rsidRDefault="00635CC6" w:rsidP="00635CC6">
            <w:pPr>
              <w:rPr>
                <w:rFonts w:cs="Arial"/>
                <w:sz w:val="20"/>
              </w:rPr>
            </w:pPr>
            <w:r w:rsidRPr="00F96083">
              <w:rPr>
                <w:rFonts w:cs="Arial"/>
                <w:sz w:val="20"/>
              </w:rPr>
              <w:t>EUBG009</w:t>
            </w:r>
          </w:p>
        </w:tc>
        <w:tc>
          <w:tcPr>
            <w:tcW w:w="4320" w:type="dxa"/>
          </w:tcPr>
          <w:p w14:paraId="68112CD3" w14:textId="77777777" w:rsidR="00635CC6" w:rsidRPr="00BB5D62" w:rsidRDefault="00635CC6" w:rsidP="00AA46E9">
            <w:pPr>
              <w:rPr>
                <w:rFonts w:cs="Arial"/>
                <w:sz w:val="20"/>
              </w:rPr>
            </w:pPr>
            <w:smartTag w:uri="urn:schemas-microsoft-com:office:smarttags" w:element="place">
              <w:r w:rsidRPr="00F96083">
                <w:rPr>
                  <w:rFonts w:cs="Arial"/>
                  <w:sz w:val="20"/>
                </w:rPr>
                <w:t>Clark</w:t>
              </w:r>
            </w:smartTag>
            <w:r w:rsidRPr="00F96083">
              <w:rPr>
                <w:rFonts w:cs="Arial"/>
                <w:sz w:val="20"/>
              </w:rPr>
              <w:t xml:space="preserve"> model TCVC20M; 12,000 HP natural gas fired reciprocating internal combustion compressor engine.  Installed under exemption.</w:t>
            </w:r>
          </w:p>
        </w:tc>
        <w:tc>
          <w:tcPr>
            <w:tcW w:w="1890" w:type="dxa"/>
          </w:tcPr>
          <w:p w14:paraId="4F86E3F9" w14:textId="77777777" w:rsidR="00635CC6" w:rsidRPr="00635CC6" w:rsidRDefault="00635CC6" w:rsidP="00635CC6">
            <w:pPr>
              <w:jc w:val="center"/>
              <w:rPr>
                <w:rFonts w:cs="Arial"/>
                <w:sz w:val="20"/>
              </w:rPr>
            </w:pPr>
            <w:r>
              <w:rPr>
                <w:rFonts w:cs="Arial"/>
                <w:sz w:val="20"/>
              </w:rPr>
              <w:t>01-01-</w:t>
            </w:r>
            <w:r w:rsidR="006549C9">
              <w:rPr>
                <w:rFonts w:cs="Arial"/>
                <w:sz w:val="20"/>
              </w:rPr>
              <w:t>19</w:t>
            </w:r>
            <w:r w:rsidRPr="00F96083">
              <w:rPr>
                <w:rFonts w:cs="Arial"/>
                <w:sz w:val="20"/>
              </w:rPr>
              <w:t>73/NA*</w:t>
            </w:r>
            <w:r>
              <w:rPr>
                <w:rFonts w:cs="Arial"/>
                <w:sz w:val="20"/>
              </w:rPr>
              <w:tab/>
            </w:r>
          </w:p>
        </w:tc>
        <w:tc>
          <w:tcPr>
            <w:tcW w:w="2070" w:type="dxa"/>
          </w:tcPr>
          <w:p w14:paraId="04E4AA4B" w14:textId="77777777" w:rsidR="00635CC6" w:rsidRPr="00BB5D62" w:rsidRDefault="00635CC6" w:rsidP="00AA46E9">
            <w:pPr>
              <w:rPr>
                <w:rFonts w:cs="Arial"/>
                <w:sz w:val="20"/>
              </w:rPr>
            </w:pPr>
            <w:r w:rsidRPr="00F96083">
              <w:rPr>
                <w:rFonts w:cs="Arial"/>
                <w:sz w:val="20"/>
              </w:rPr>
              <w:t>NA</w:t>
            </w:r>
          </w:p>
        </w:tc>
      </w:tr>
      <w:tr w:rsidR="00635CC6" w14:paraId="776A9B33" w14:textId="77777777">
        <w:trPr>
          <w:cantSplit/>
        </w:trPr>
        <w:tc>
          <w:tcPr>
            <w:tcW w:w="2160" w:type="dxa"/>
          </w:tcPr>
          <w:p w14:paraId="7D21F06C" w14:textId="77777777" w:rsidR="00635CC6" w:rsidRPr="00BB5D62" w:rsidRDefault="00635CC6" w:rsidP="00635CC6">
            <w:pPr>
              <w:rPr>
                <w:rFonts w:cs="Arial"/>
                <w:sz w:val="20"/>
              </w:rPr>
            </w:pPr>
            <w:r>
              <w:rPr>
                <w:rFonts w:cs="Arial"/>
                <w:sz w:val="20"/>
              </w:rPr>
              <w:t>EUBG011</w:t>
            </w:r>
          </w:p>
        </w:tc>
        <w:tc>
          <w:tcPr>
            <w:tcW w:w="4320" w:type="dxa"/>
          </w:tcPr>
          <w:p w14:paraId="1A115A6B" w14:textId="77777777" w:rsidR="00635CC6" w:rsidRPr="00BB5D62" w:rsidRDefault="00635CC6" w:rsidP="00AA46E9">
            <w:pPr>
              <w:rPr>
                <w:rFonts w:cs="Arial"/>
                <w:sz w:val="20"/>
              </w:rPr>
            </w:pPr>
            <w:r>
              <w:rPr>
                <w:rFonts w:cs="Arial"/>
                <w:sz w:val="20"/>
              </w:rPr>
              <w:t>Waukesha model H24GL HCR; 585 HP natural gas fired emergency generator.  Installed under exemption.</w:t>
            </w:r>
          </w:p>
        </w:tc>
        <w:tc>
          <w:tcPr>
            <w:tcW w:w="1890" w:type="dxa"/>
          </w:tcPr>
          <w:p w14:paraId="26C68607" w14:textId="77777777" w:rsidR="00635CC6" w:rsidRPr="00BB5D62" w:rsidRDefault="00635CC6" w:rsidP="00635CC6">
            <w:pPr>
              <w:jc w:val="center"/>
              <w:rPr>
                <w:rFonts w:cs="Arial"/>
                <w:sz w:val="20"/>
              </w:rPr>
            </w:pPr>
            <w:r>
              <w:rPr>
                <w:rFonts w:cs="Arial"/>
                <w:sz w:val="20"/>
              </w:rPr>
              <w:t>09-01-</w:t>
            </w:r>
            <w:r w:rsidR="006549C9">
              <w:rPr>
                <w:rFonts w:cs="Arial"/>
                <w:sz w:val="20"/>
              </w:rPr>
              <w:t>20</w:t>
            </w:r>
            <w:r>
              <w:rPr>
                <w:rFonts w:cs="Arial"/>
                <w:sz w:val="20"/>
              </w:rPr>
              <w:t>07/NA</w:t>
            </w:r>
          </w:p>
        </w:tc>
        <w:tc>
          <w:tcPr>
            <w:tcW w:w="2070" w:type="dxa"/>
          </w:tcPr>
          <w:p w14:paraId="29107523" w14:textId="77777777" w:rsidR="00635CC6" w:rsidRPr="00BB5D62" w:rsidRDefault="00635CC6" w:rsidP="00AA46E9">
            <w:pPr>
              <w:rPr>
                <w:rFonts w:cs="Arial"/>
                <w:sz w:val="20"/>
              </w:rPr>
            </w:pPr>
            <w:r>
              <w:rPr>
                <w:rFonts w:cs="Arial"/>
                <w:sz w:val="20"/>
              </w:rPr>
              <w:t>NA</w:t>
            </w:r>
          </w:p>
        </w:tc>
      </w:tr>
      <w:tr w:rsidR="00635CC6" w14:paraId="591E257B" w14:textId="77777777">
        <w:trPr>
          <w:cantSplit/>
        </w:trPr>
        <w:tc>
          <w:tcPr>
            <w:tcW w:w="2160" w:type="dxa"/>
          </w:tcPr>
          <w:p w14:paraId="4FD0EB69" w14:textId="77777777" w:rsidR="00635CC6" w:rsidRPr="00BB5D62" w:rsidRDefault="00635CC6" w:rsidP="00635CC6">
            <w:pPr>
              <w:rPr>
                <w:rFonts w:cs="Arial"/>
                <w:sz w:val="20"/>
              </w:rPr>
            </w:pPr>
            <w:r>
              <w:rPr>
                <w:rFonts w:cs="Arial"/>
                <w:sz w:val="20"/>
              </w:rPr>
              <w:t>EUBG012</w:t>
            </w:r>
          </w:p>
        </w:tc>
        <w:tc>
          <w:tcPr>
            <w:tcW w:w="4320" w:type="dxa"/>
          </w:tcPr>
          <w:p w14:paraId="1CE40CF7" w14:textId="77777777" w:rsidR="00635CC6" w:rsidRPr="00BB5D62" w:rsidRDefault="00635CC6" w:rsidP="00AA46E9">
            <w:pPr>
              <w:rPr>
                <w:rFonts w:cs="Arial"/>
                <w:sz w:val="20"/>
              </w:rPr>
            </w:pPr>
            <w:r>
              <w:rPr>
                <w:rFonts w:cs="Arial"/>
                <w:sz w:val="20"/>
              </w:rPr>
              <w:t xml:space="preserve">Kewanee model </w:t>
            </w:r>
            <w:proofErr w:type="spellStart"/>
            <w:r>
              <w:rPr>
                <w:rFonts w:cs="Arial"/>
                <w:sz w:val="20"/>
              </w:rPr>
              <w:t>L3S</w:t>
            </w:r>
            <w:proofErr w:type="spellEnd"/>
            <w:r>
              <w:rPr>
                <w:rFonts w:cs="Arial"/>
                <w:sz w:val="20"/>
              </w:rPr>
              <w:t>-150-G; 5.021 MMBtu-hr natural gas fired boiler.</w:t>
            </w:r>
          </w:p>
        </w:tc>
        <w:tc>
          <w:tcPr>
            <w:tcW w:w="1890" w:type="dxa"/>
          </w:tcPr>
          <w:p w14:paraId="73D20FD5" w14:textId="77777777" w:rsidR="00635CC6" w:rsidRPr="00BB5D62" w:rsidRDefault="00635CC6" w:rsidP="00635CC6">
            <w:pPr>
              <w:jc w:val="center"/>
              <w:rPr>
                <w:rFonts w:cs="Arial"/>
                <w:sz w:val="20"/>
              </w:rPr>
            </w:pPr>
            <w:r>
              <w:rPr>
                <w:rFonts w:cs="Arial"/>
                <w:sz w:val="20"/>
              </w:rPr>
              <w:t>01-01-</w:t>
            </w:r>
            <w:r w:rsidR="006549C9">
              <w:rPr>
                <w:rFonts w:cs="Arial"/>
                <w:sz w:val="20"/>
              </w:rPr>
              <w:t>19</w:t>
            </w:r>
            <w:r>
              <w:rPr>
                <w:rFonts w:cs="Arial"/>
                <w:sz w:val="20"/>
              </w:rPr>
              <w:t>72/NA</w:t>
            </w:r>
          </w:p>
        </w:tc>
        <w:tc>
          <w:tcPr>
            <w:tcW w:w="2070" w:type="dxa"/>
          </w:tcPr>
          <w:p w14:paraId="5CB64FBE" w14:textId="77777777" w:rsidR="00635CC6" w:rsidRPr="00BB5D62" w:rsidRDefault="00635CC6" w:rsidP="00AA46E9">
            <w:pPr>
              <w:rPr>
                <w:rFonts w:cs="Arial"/>
                <w:sz w:val="20"/>
              </w:rPr>
            </w:pPr>
            <w:r>
              <w:rPr>
                <w:rFonts w:cs="Arial"/>
                <w:sz w:val="20"/>
              </w:rPr>
              <w:t>NA</w:t>
            </w:r>
          </w:p>
        </w:tc>
      </w:tr>
    </w:tbl>
    <w:p w14:paraId="7490CA61" w14:textId="77777777" w:rsidR="00B639B1" w:rsidRPr="004B4509" w:rsidRDefault="00635CC6" w:rsidP="002916F7">
      <w:pPr>
        <w:rPr>
          <w:sz w:val="20"/>
        </w:rPr>
      </w:pPr>
      <w:r w:rsidRPr="00F96083">
        <w:rPr>
          <w:sz w:val="20"/>
        </w:rPr>
        <w:t>*Facility was permitted to install a modified fuel injection system in 2003 to improve combustion and lower NOx emissions.</w:t>
      </w:r>
    </w:p>
    <w:p w14:paraId="71B0DE40" w14:textId="77777777" w:rsidR="00D72D77" w:rsidRDefault="00D72D77" w:rsidP="004B4509">
      <w:pPr>
        <w:rPr>
          <w:sz w:val="20"/>
        </w:rPr>
      </w:pPr>
    </w:p>
    <w:p w14:paraId="77CE243C" w14:textId="77777777" w:rsidR="00635CC6" w:rsidRDefault="00635CC6" w:rsidP="004B4509">
      <w:pPr>
        <w:rPr>
          <w:sz w:val="20"/>
        </w:rPr>
      </w:pPr>
    </w:p>
    <w:p w14:paraId="3A50F96D" w14:textId="098D8036" w:rsidR="004C69F6" w:rsidRDefault="004C69F6" w:rsidP="004B4509">
      <w:pPr>
        <w:rPr>
          <w:sz w:val="20"/>
        </w:rPr>
      </w:pPr>
    </w:p>
    <w:p w14:paraId="147C3BF6" w14:textId="7D150383" w:rsidR="00135A89" w:rsidRDefault="00135A89" w:rsidP="004B4509">
      <w:pPr>
        <w:rPr>
          <w:sz w:val="20"/>
        </w:rPr>
      </w:pPr>
    </w:p>
    <w:p w14:paraId="2A34ACCE" w14:textId="77777777" w:rsidR="00135A89" w:rsidRDefault="00135A89" w:rsidP="004B4509">
      <w:pPr>
        <w:rPr>
          <w:sz w:val="20"/>
        </w:rPr>
      </w:pPr>
    </w:p>
    <w:p w14:paraId="4F7D9D18" w14:textId="77777777" w:rsidR="004C69F6" w:rsidRDefault="004C69F6" w:rsidP="004B4509">
      <w:pPr>
        <w:rPr>
          <w:sz w:val="20"/>
        </w:rPr>
      </w:pPr>
    </w:p>
    <w:p w14:paraId="21007B09" w14:textId="77777777" w:rsidR="00AE1D84" w:rsidRDefault="00AE1D84" w:rsidP="004B4509">
      <w:pPr>
        <w:rPr>
          <w:sz w:val="20"/>
        </w:rPr>
      </w:pPr>
    </w:p>
    <w:p w14:paraId="2A7CCF87"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524520621"/>
      <w:r w:rsidRPr="00C43734">
        <w:rPr>
          <w:bCs/>
          <w:szCs w:val="28"/>
        </w:rPr>
        <w:t>E</w:t>
      </w:r>
      <w:bookmarkEnd w:id="71"/>
      <w:r w:rsidR="00A90665">
        <w:rPr>
          <w:bCs/>
          <w:szCs w:val="28"/>
        </w:rPr>
        <w:t>UBG009</w:t>
      </w:r>
      <w:bookmarkEnd w:id="72"/>
    </w:p>
    <w:p w14:paraId="11323DEB"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F7E2BF9" w14:textId="77777777" w:rsidR="00AE1D84" w:rsidRPr="0019740E" w:rsidRDefault="00AE1D84" w:rsidP="00F62984">
      <w:pPr>
        <w:rPr>
          <w:sz w:val="20"/>
        </w:rPr>
      </w:pPr>
    </w:p>
    <w:p w14:paraId="3669D3DD" w14:textId="77777777" w:rsidR="00AE1D84" w:rsidRDefault="00AE1D84" w:rsidP="00F62984">
      <w:pPr>
        <w:jc w:val="both"/>
        <w:rPr>
          <w:b/>
          <w:u w:val="single"/>
        </w:rPr>
      </w:pPr>
      <w:r>
        <w:rPr>
          <w:b/>
          <w:u w:val="single"/>
        </w:rPr>
        <w:t>DESCRIPTION</w:t>
      </w:r>
    </w:p>
    <w:p w14:paraId="14F1880D" w14:textId="77777777" w:rsidR="00AE1D84" w:rsidRDefault="00AE1D84" w:rsidP="00F62984">
      <w:pPr>
        <w:jc w:val="both"/>
        <w:rPr>
          <w:sz w:val="20"/>
        </w:rPr>
      </w:pPr>
    </w:p>
    <w:p w14:paraId="10FD0822" w14:textId="77777777" w:rsidR="00AF24BB" w:rsidRDefault="00AF24BB" w:rsidP="00A90665">
      <w:pPr>
        <w:jc w:val="both"/>
        <w:rPr>
          <w:b/>
          <w:sz w:val="20"/>
          <w:u w:val="single"/>
        </w:rPr>
      </w:pPr>
      <w:r w:rsidRPr="00F96083">
        <w:rPr>
          <w:rFonts w:cs="Arial"/>
          <w:sz w:val="20"/>
        </w:rPr>
        <w:t>Clark model TCVC20M; 12,000 HP natural gas fired reciprocating internal combustion compressor engine.  Installed under exemption.</w:t>
      </w:r>
    </w:p>
    <w:p w14:paraId="562DB6AC" w14:textId="77777777" w:rsidR="00AE1D84" w:rsidRPr="0019740E" w:rsidRDefault="00AE1D84" w:rsidP="00F62984">
      <w:pPr>
        <w:jc w:val="both"/>
        <w:rPr>
          <w:sz w:val="20"/>
        </w:rPr>
      </w:pPr>
    </w:p>
    <w:p w14:paraId="32C5D8C6" w14:textId="77777777" w:rsidR="00AE1D84" w:rsidRPr="002D2E55" w:rsidRDefault="00AE1D84" w:rsidP="00F62984">
      <w:pPr>
        <w:jc w:val="both"/>
        <w:rPr>
          <w:sz w:val="20"/>
        </w:rPr>
      </w:pPr>
      <w:r w:rsidRPr="00FE0AD0">
        <w:rPr>
          <w:b/>
          <w:sz w:val="20"/>
        </w:rPr>
        <w:t>Flexible Group ID</w:t>
      </w:r>
      <w:r>
        <w:rPr>
          <w:b/>
          <w:sz w:val="20"/>
        </w:rPr>
        <w:t>:</w:t>
      </w:r>
      <w:r w:rsidR="00A90665">
        <w:rPr>
          <w:sz w:val="20"/>
        </w:rPr>
        <w:t xml:space="preserve"> NA</w:t>
      </w:r>
    </w:p>
    <w:p w14:paraId="6B19FA2B" w14:textId="77777777" w:rsidR="00AE1D84" w:rsidRPr="0019740E" w:rsidRDefault="00AE1D84" w:rsidP="00F62984">
      <w:pPr>
        <w:tabs>
          <w:tab w:val="left" w:pos="6328"/>
        </w:tabs>
        <w:jc w:val="both"/>
        <w:rPr>
          <w:sz w:val="20"/>
        </w:rPr>
      </w:pPr>
    </w:p>
    <w:p w14:paraId="5E9F4672" w14:textId="77777777" w:rsidR="00AE1D84" w:rsidRDefault="00AE1D84" w:rsidP="00F62984">
      <w:pPr>
        <w:jc w:val="both"/>
        <w:rPr>
          <w:b/>
          <w:u w:val="single"/>
        </w:rPr>
      </w:pPr>
      <w:r>
        <w:rPr>
          <w:b/>
          <w:u w:val="single"/>
        </w:rPr>
        <w:t>POLLUTION CONTROL EQUIPMENT</w:t>
      </w:r>
    </w:p>
    <w:p w14:paraId="1F5E62F3" w14:textId="77777777" w:rsidR="00AE1D84" w:rsidRDefault="00AE1D84" w:rsidP="00F62984">
      <w:pPr>
        <w:jc w:val="both"/>
      </w:pPr>
    </w:p>
    <w:p w14:paraId="0306CE76" w14:textId="77777777" w:rsidR="00A90665" w:rsidRPr="00A90665" w:rsidRDefault="00A90665" w:rsidP="00F62984">
      <w:pPr>
        <w:jc w:val="both"/>
        <w:rPr>
          <w:sz w:val="20"/>
        </w:rPr>
      </w:pPr>
      <w:r>
        <w:rPr>
          <w:sz w:val="20"/>
        </w:rPr>
        <w:t>NA</w:t>
      </w:r>
    </w:p>
    <w:p w14:paraId="372B319A" w14:textId="77777777" w:rsidR="00AE1D84" w:rsidRPr="00906ACF" w:rsidRDefault="00AE1D84" w:rsidP="00F62984">
      <w:pPr>
        <w:jc w:val="both"/>
        <w:rPr>
          <w:sz w:val="20"/>
        </w:rPr>
      </w:pPr>
    </w:p>
    <w:p w14:paraId="0F1AA549" w14:textId="77777777" w:rsidR="00AE1D84" w:rsidRPr="00F01FE1" w:rsidRDefault="00AE1D84" w:rsidP="00F62984">
      <w:pPr>
        <w:jc w:val="both"/>
        <w:rPr>
          <w:b/>
          <w:sz w:val="20"/>
          <w:u w:val="single"/>
        </w:rPr>
      </w:pPr>
      <w:r>
        <w:rPr>
          <w:b/>
        </w:rPr>
        <w:t xml:space="preserve">I.  </w:t>
      </w:r>
      <w:r>
        <w:rPr>
          <w:b/>
          <w:u w:val="single"/>
        </w:rPr>
        <w:t>EMISSION LIMIT(S)</w:t>
      </w:r>
    </w:p>
    <w:p w14:paraId="0C439ED0"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56140FAE"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9305B5F"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F2DFBC3"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52206724" w14:textId="77777777"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021C14C"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0145B1" w14:textId="77777777" w:rsidR="00AE1D84" w:rsidRDefault="00AE1D84" w:rsidP="00F62984">
            <w:pPr>
              <w:jc w:val="center"/>
              <w:rPr>
                <w:b/>
                <w:sz w:val="20"/>
              </w:rPr>
            </w:pPr>
            <w:r>
              <w:rPr>
                <w:b/>
                <w:sz w:val="20"/>
              </w:rPr>
              <w:t>Monitoring/</w:t>
            </w:r>
          </w:p>
          <w:p w14:paraId="4DDB8346"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947E47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517663A4" w14:textId="77777777">
        <w:trPr>
          <w:cantSplit/>
        </w:trPr>
        <w:tc>
          <w:tcPr>
            <w:tcW w:w="1627" w:type="dxa"/>
            <w:tcBorders>
              <w:top w:val="single" w:sz="4" w:space="0" w:color="auto"/>
              <w:left w:val="single" w:sz="4" w:space="0" w:color="auto"/>
              <w:bottom w:val="single" w:sz="4" w:space="0" w:color="auto"/>
              <w:right w:val="single" w:sz="4" w:space="0" w:color="auto"/>
            </w:tcBorders>
          </w:tcPr>
          <w:p w14:paraId="5AAA6272" w14:textId="77777777" w:rsidR="00AE1D84" w:rsidRPr="00095B77" w:rsidRDefault="00A90665" w:rsidP="0033265F">
            <w:pPr>
              <w:numPr>
                <w:ilvl w:val="0"/>
                <w:numId w:val="27"/>
              </w:numPr>
              <w:ind w:left="360"/>
              <w:rPr>
                <w:sz w:val="20"/>
              </w:rPr>
            </w:pPr>
            <w:r>
              <w:rPr>
                <w:sz w:val="20"/>
              </w:rPr>
              <w:t>NOx (Oxides of Nitrogen)</w:t>
            </w:r>
          </w:p>
        </w:tc>
        <w:tc>
          <w:tcPr>
            <w:tcW w:w="1440" w:type="dxa"/>
            <w:tcBorders>
              <w:top w:val="single" w:sz="4" w:space="0" w:color="auto"/>
              <w:left w:val="single" w:sz="4" w:space="0" w:color="auto"/>
              <w:bottom w:val="single" w:sz="4" w:space="0" w:color="auto"/>
              <w:right w:val="single" w:sz="4" w:space="0" w:color="auto"/>
            </w:tcBorders>
          </w:tcPr>
          <w:p w14:paraId="558FA041" w14:textId="77777777" w:rsidR="00A90665" w:rsidRDefault="00A90665" w:rsidP="00A90665">
            <w:pPr>
              <w:jc w:val="center"/>
              <w:rPr>
                <w:sz w:val="20"/>
              </w:rPr>
            </w:pPr>
            <w:r>
              <w:rPr>
                <w:sz w:val="20"/>
              </w:rPr>
              <w:t>174.6 pph</w:t>
            </w:r>
            <w:r>
              <w:rPr>
                <w:sz w:val="20"/>
                <w:vertAlign w:val="superscript"/>
              </w:rPr>
              <w:t>2</w:t>
            </w:r>
            <w:r w:rsidR="00390A50">
              <w:rPr>
                <w:sz w:val="20"/>
                <w:vertAlign w:val="superscript"/>
              </w:rPr>
              <w:t>,3</w:t>
            </w:r>
          </w:p>
          <w:p w14:paraId="0203CC96" w14:textId="77777777" w:rsidR="00AE1D84" w:rsidRPr="00BD3DE3" w:rsidRDefault="00AE1D84" w:rsidP="00F62984">
            <w:pPr>
              <w:jc w:val="center"/>
              <w:rPr>
                <w:sz w:val="20"/>
              </w:rPr>
            </w:pPr>
          </w:p>
        </w:tc>
        <w:tc>
          <w:tcPr>
            <w:tcW w:w="2246" w:type="dxa"/>
            <w:tcBorders>
              <w:top w:val="single" w:sz="4" w:space="0" w:color="auto"/>
              <w:left w:val="single" w:sz="4" w:space="0" w:color="auto"/>
              <w:bottom w:val="single" w:sz="4" w:space="0" w:color="auto"/>
              <w:right w:val="single" w:sz="4" w:space="0" w:color="auto"/>
            </w:tcBorders>
          </w:tcPr>
          <w:p w14:paraId="66CC4A57" w14:textId="77777777" w:rsidR="00AE1D84" w:rsidRPr="00BD3DE3" w:rsidRDefault="00A90665" w:rsidP="00F62984">
            <w:pPr>
              <w:jc w:val="center"/>
              <w:rPr>
                <w:sz w:val="20"/>
              </w:rPr>
            </w:pPr>
            <w:r>
              <w:rPr>
                <w:sz w:val="20"/>
              </w:rPr>
              <w:t xml:space="preserve">Pounds per </w:t>
            </w:r>
            <w:r w:rsidR="002527A5">
              <w:rPr>
                <w:sz w:val="20"/>
              </w:rPr>
              <w:t>h</w:t>
            </w:r>
            <w:r>
              <w:rPr>
                <w:sz w:val="20"/>
              </w:rPr>
              <w:t>our.  This limit applies during the non-ozone control period of October 1 through April 30 of each calendar year.</w:t>
            </w:r>
          </w:p>
        </w:tc>
        <w:tc>
          <w:tcPr>
            <w:tcW w:w="1890" w:type="dxa"/>
            <w:tcBorders>
              <w:top w:val="single" w:sz="4" w:space="0" w:color="auto"/>
              <w:left w:val="single" w:sz="4" w:space="0" w:color="auto"/>
              <w:bottom w:val="single" w:sz="4" w:space="0" w:color="auto"/>
              <w:right w:val="single" w:sz="4" w:space="0" w:color="auto"/>
            </w:tcBorders>
          </w:tcPr>
          <w:p w14:paraId="464CE01F" w14:textId="77777777" w:rsidR="00AE1D84" w:rsidRPr="00BD3DE3" w:rsidRDefault="00A90665" w:rsidP="00F62984">
            <w:pPr>
              <w:jc w:val="center"/>
              <w:rPr>
                <w:sz w:val="20"/>
              </w:rPr>
            </w:pPr>
            <w:r>
              <w:rPr>
                <w:sz w:val="20"/>
              </w:rPr>
              <w:t>EUB</w:t>
            </w:r>
            <w:r w:rsidR="0033265F">
              <w:rPr>
                <w:sz w:val="20"/>
              </w:rPr>
              <w:t>G</w:t>
            </w:r>
            <w:r>
              <w:rPr>
                <w:sz w:val="20"/>
              </w:rPr>
              <w:t>009</w:t>
            </w:r>
          </w:p>
        </w:tc>
        <w:tc>
          <w:tcPr>
            <w:tcW w:w="1530" w:type="dxa"/>
            <w:tcBorders>
              <w:top w:val="single" w:sz="4" w:space="0" w:color="auto"/>
              <w:left w:val="single" w:sz="4" w:space="0" w:color="auto"/>
              <w:bottom w:val="single" w:sz="4" w:space="0" w:color="auto"/>
              <w:right w:val="single" w:sz="4" w:space="0" w:color="auto"/>
            </w:tcBorders>
          </w:tcPr>
          <w:p w14:paraId="0E3EE10D" w14:textId="77777777" w:rsidR="007A25D1" w:rsidRDefault="00A90665" w:rsidP="00F62984">
            <w:pPr>
              <w:jc w:val="center"/>
              <w:rPr>
                <w:sz w:val="20"/>
              </w:rPr>
            </w:pPr>
            <w:r>
              <w:rPr>
                <w:sz w:val="20"/>
              </w:rPr>
              <w:t>SC</w:t>
            </w:r>
            <w:r w:rsidR="00670CDC">
              <w:rPr>
                <w:sz w:val="20"/>
              </w:rPr>
              <w:t xml:space="preserve"> V.1</w:t>
            </w:r>
          </w:p>
          <w:p w14:paraId="1D4C76C2" w14:textId="77777777" w:rsidR="007A25D1" w:rsidRDefault="007A25D1" w:rsidP="00F62984">
            <w:pPr>
              <w:jc w:val="center"/>
              <w:rPr>
                <w:sz w:val="20"/>
              </w:rPr>
            </w:pPr>
            <w:r>
              <w:rPr>
                <w:sz w:val="20"/>
              </w:rPr>
              <w:t>SC</w:t>
            </w:r>
            <w:r w:rsidR="00670CDC">
              <w:rPr>
                <w:sz w:val="20"/>
              </w:rPr>
              <w:t xml:space="preserve"> VI.1</w:t>
            </w:r>
          </w:p>
          <w:p w14:paraId="1974AB73" w14:textId="77777777" w:rsidR="00AE1D84" w:rsidRPr="00BD3DE3" w:rsidRDefault="007A25D1" w:rsidP="00F62984">
            <w:pPr>
              <w:jc w:val="center"/>
              <w:rPr>
                <w:sz w:val="20"/>
              </w:rPr>
            </w:pPr>
            <w:r>
              <w:rPr>
                <w:sz w:val="20"/>
              </w:rPr>
              <w:t xml:space="preserve">SC </w:t>
            </w:r>
            <w:r w:rsidR="00670CDC">
              <w:rPr>
                <w:sz w:val="20"/>
              </w:rPr>
              <w:t>VI.2</w:t>
            </w:r>
          </w:p>
        </w:tc>
        <w:tc>
          <w:tcPr>
            <w:tcW w:w="1530" w:type="dxa"/>
            <w:tcBorders>
              <w:top w:val="single" w:sz="4" w:space="0" w:color="auto"/>
              <w:left w:val="single" w:sz="4" w:space="0" w:color="auto"/>
              <w:bottom w:val="single" w:sz="4" w:space="0" w:color="auto"/>
              <w:right w:val="single" w:sz="4" w:space="0" w:color="auto"/>
            </w:tcBorders>
          </w:tcPr>
          <w:p w14:paraId="2BE20C62" w14:textId="6EA4ED9E" w:rsidR="00670CDC" w:rsidRDefault="00670CDC" w:rsidP="00670CDC">
            <w:pPr>
              <w:jc w:val="center"/>
              <w:rPr>
                <w:b/>
                <w:sz w:val="20"/>
              </w:rPr>
            </w:pPr>
            <w:r>
              <w:rPr>
                <w:b/>
                <w:sz w:val="20"/>
              </w:rPr>
              <w:t>40 CFR 52.21</w:t>
            </w:r>
          </w:p>
          <w:p w14:paraId="1A01C885" w14:textId="77777777" w:rsidR="00AE1D84" w:rsidRPr="00BD3DE3" w:rsidRDefault="00670CDC" w:rsidP="00670CDC">
            <w:pPr>
              <w:jc w:val="center"/>
              <w:rPr>
                <w:sz w:val="20"/>
              </w:rPr>
            </w:pPr>
            <w:r>
              <w:rPr>
                <w:b/>
                <w:sz w:val="20"/>
              </w:rPr>
              <w:t>R 336.1213(3)</w:t>
            </w:r>
          </w:p>
        </w:tc>
      </w:tr>
      <w:tr w:rsidR="00A90665" w14:paraId="097CE517"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5D975CD" w14:textId="77777777" w:rsidR="00A90665" w:rsidRPr="00095B77" w:rsidRDefault="00A90665" w:rsidP="0033265F">
            <w:pPr>
              <w:numPr>
                <w:ilvl w:val="0"/>
                <w:numId w:val="27"/>
              </w:numPr>
              <w:ind w:left="360"/>
              <w:rPr>
                <w:sz w:val="20"/>
              </w:rPr>
            </w:pPr>
            <w:r>
              <w:rPr>
                <w:sz w:val="20"/>
              </w:rPr>
              <w:t>NOx</w:t>
            </w:r>
          </w:p>
        </w:tc>
        <w:tc>
          <w:tcPr>
            <w:tcW w:w="1440" w:type="dxa"/>
            <w:tcBorders>
              <w:top w:val="single" w:sz="4" w:space="0" w:color="auto"/>
              <w:left w:val="single" w:sz="4" w:space="0" w:color="auto"/>
              <w:bottom w:val="single" w:sz="4" w:space="0" w:color="auto"/>
              <w:right w:val="single" w:sz="4" w:space="0" w:color="auto"/>
            </w:tcBorders>
          </w:tcPr>
          <w:p w14:paraId="4289108A" w14:textId="77777777" w:rsidR="00A90665" w:rsidRPr="00BD3DE3" w:rsidRDefault="00A90665" w:rsidP="00F62984">
            <w:pPr>
              <w:jc w:val="center"/>
              <w:rPr>
                <w:sz w:val="20"/>
              </w:rPr>
            </w:pPr>
            <w:r>
              <w:rPr>
                <w:sz w:val="20"/>
              </w:rPr>
              <w:t>6.6 grams per brake horsepower-hour</w:t>
            </w:r>
          </w:p>
        </w:tc>
        <w:tc>
          <w:tcPr>
            <w:tcW w:w="2246" w:type="dxa"/>
            <w:tcBorders>
              <w:top w:val="single" w:sz="4" w:space="0" w:color="auto"/>
              <w:left w:val="single" w:sz="4" w:space="0" w:color="auto"/>
              <w:bottom w:val="single" w:sz="4" w:space="0" w:color="auto"/>
              <w:right w:val="single" w:sz="4" w:space="0" w:color="auto"/>
            </w:tcBorders>
          </w:tcPr>
          <w:p w14:paraId="1F4C5A86" w14:textId="77777777" w:rsidR="00A90665" w:rsidRPr="00BD3DE3" w:rsidRDefault="00A90665" w:rsidP="00F62984">
            <w:pPr>
              <w:jc w:val="center"/>
              <w:rPr>
                <w:sz w:val="20"/>
              </w:rPr>
            </w:pPr>
            <w:r>
              <w:rPr>
                <w:sz w:val="20"/>
              </w:rPr>
              <w:t xml:space="preserve">Grams per </w:t>
            </w:r>
            <w:r w:rsidR="002527A5">
              <w:rPr>
                <w:sz w:val="20"/>
              </w:rPr>
              <w:t>b</w:t>
            </w:r>
            <w:r w:rsidR="000A59D1">
              <w:rPr>
                <w:sz w:val="20"/>
              </w:rPr>
              <w:t xml:space="preserve">rake </w:t>
            </w:r>
            <w:r w:rsidR="002527A5">
              <w:rPr>
                <w:sz w:val="20"/>
              </w:rPr>
              <w:t>h</w:t>
            </w:r>
            <w:r>
              <w:rPr>
                <w:sz w:val="20"/>
              </w:rPr>
              <w:t xml:space="preserve">orsepower </w:t>
            </w:r>
            <w:r w:rsidR="002527A5">
              <w:rPr>
                <w:sz w:val="20"/>
              </w:rPr>
              <w:t>h</w:t>
            </w:r>
            <w:r>
              <w:rPr>
                <w:sz w:val="20"/>
              </w:rPr>
              <w:t>our</w:t>
            </w:r>
            <w:r w:rsidR="00CB367E">
              <w:rPr>
                <w:sz w:val="20"/>
              </w:rPr>
              <w:t xml:space="preserve">.  </w:t>
            </w:r>
            <w:r>
              <w:rPr>
                <w:sz w:val="20"/>
              </w:rPr>
              <w:t>This limit applies during the ozone control period of May 1 through September 30 of each calendar year.</w:t>
            </w:r>
          </w:p>
        </w:tc>
        <w:tc>
          <w:tcPr>
            <w:tcW w:w="1890" w:type="dxa"/>
            <w:tcBorders>
              <w:top w:val="single" w:sz="4" w:space="0" w:color="auto"/>
              <w:left w:val="single" w:sz="4" w:space="0" w:color="auto"/>
              <w:bottom w:val="single" w:sz="4" w:space="0" w:color="auto"/>
              <w:right w:val="single" w:sz="4" w:space="0" w:color="auto"/>
            </w:tcBorders>
          </w:tcPr>
          <w:p w14:paraId="4F3978BB" w14:textId="77777777" w:rsidR="00A90665" w:rsidRPr="00BD3DE3" w:rsidRDefault="00670CDC" w:rsidP="00F62984">
            <w:pPr>
              <w:jc w:val="center"/>
              <w:rPr>
                <w:sz w:val="20"/>
              </w:rPr>
            </w:pPr>
            <w:r>
              <w:rPr>
                <w:sz w:val="20"/>
              </w:rPr>
              <w:t>EUB</w:t>
            </w:r>
            <w:r w:rsidR="0033265F">
              <w:rPr>
                <w:sz w:val="20"/>
              </w:rPr>
              <w:t>G</w:t>
            </w:r>
            <w:r>
              <w:rPr>
                <w:sz w:val="20"/>
              </w:rPr>
              <w:t>009</w:t>
            </w:r>
          </w:p>
        </w:tc>
        <w:tc>
          <w:tcPr>
            <w:tcW w:w="1530" w:type="dxa"/>
            <w:tcBorders>
              <w:top w:val="single" w:sz="4" w:space="0" w:color="auto"/>
              <w:left w:val="single" w:sz="4" w:space="0" w:color="auto"/>
              <w:bottom w:val="single" w:sz="4" w:space="0" w:color="auto"/>
              <w:right w:val="single" w:sz="4" w:space="0" w:color="auto"/>
            </w:tcBorders>
          </w:tcPr>
          <w:p w14:paraId="6AD984A8" w14:textId="77777777" w:rsidR="007A25D1" w:rsidRDefault="00670CDC" w:rsidP="00F62984">
            <w:pPr>
              <w:jc w:val="center"/>
              <w:rPr>
                <w:sz w:val="20"/>
              </w:rPr>
            </w:pPr>
            <w:r>
              <w:rPr>
                <w:sz w:val="20"/>
              </w:rPr>
              <w:t>SC VI.3</w:t>
            </w:r>
          </w:p>
          <w:p w14:paraId="35C3225C" w14:textId="77777777" w:rsidR="00A90665" w:rsidRPr="00BD3DE3" w:rsidRDefault="007A25D1" w:rsidP="00F62984">
            <w:pPr>
              <w:jc w:val="center"/>
              <w:rPr>
                <w:sz w:val="20"/>
              </w:rPr>
            </w:pPr>
            <w:r>
              <w:rPr>
                <w:sz w:val="20"/>
              </w:rPr>
              <w:t xml:space="preserve">SC </w:t>
            </w:r>
            <w:r w:rsidR="00670CDC">
              <w:rPr>
                <w:sz w:val="20"/>
              </w:rPr>
              <w:t>VI.4</w:t>
            </w:r>
          </w:p>
        </w:tc>
        <w:tc>
          <w:tcPr>
            <w:tcW w:w="1530" w:type="dxa"/>
            <w:tcBorders>
              <w:top w:val="single" w:sz="4" w:space="0" w:color="auto"/>
              <w:left w:val="single" w:sz="4" w:space="0" w:color="auto"/>
              <w:bottom w:val="single" w:sz="4" w:space="0" w:color="auto"/>
              <w:right w:val="single" w:sz="4" w:space="0" w:color="auto"/>
            </w:tcBorders>
          </w:tcPr>
          <w:p w14:paraId="1A09EAAE" w14:textId="77777777" w:rsidR="00A90665" w:rsidRPr="00BD3DE3" w:rsidRDefault="00670CDC" w:rsidP="00F62984">
            <w:pPr>
              <w:jc w:val="center"/>
              <w:rPr>
                <w:sz w:val="20"/>
              </w:rPr>
            </w:pPr>
            <w:r>
              <w:rPr>
                <w:b/>
                <w:sz w:val="20"/>
              </w:rPr>
              <w:t>R 336.1818(3)</w:t>
            </w:r>
          </w:p>
        </w:tc>
      </w:tr>
    </w:tbl>
    <w:p w14:paraId="176D4899" w14:textId="77777777" w:rsidR="00AE1D84" w:rsidRPr="00FE0AD0" w:rsidRDefault="00AE1D84" w:rsidP="00F62984">
      <w:pPr>
        <w:jc w:val="both"/>
        <w:rPr>
          <w:sz w:val="20"/>
        </w:rPr>
      </w:pPr>
    </w:p>
    <w:p w14:paraId="5686D39F" w14:textId="77777777" w:rsidR="00AE1D84" w:rsidRDefault="00AE1D84" w:rsidP="00F62984">
      <w:pPr>
        <w:jc w:val="both"/>
        <w:rPr>
          <w:b/>
          <w:u w:val="single"/>
        </w:rPr>
      </w:pPr>
      <w:r>
        <w:rPr>
          <w:b/>
        </w:rPr>
        <w:t xml:space="preserve">II.  </w:t>
      </w:r>
      <w:r>
        <w:rPr>
          <w:b/>
          <w:u w:val="single"/>
        </w:rPr>
        <w:t>MATERIAL LIMIT(S)</w:t>
      </w:r>
    </w:p>
    <w:p w14:paraId="0D7163E4"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B440808"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5211CF3C"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10480D7D"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73A1BF9" w14:textId="77777777"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4B4FF5B3"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591B07D" w14:textId="77777777" w:rsidR="00AE1D84" w:rsidRDefault="00AE1D84" w:rsidP="00F62984">
            <w:pPr>
              <w:jc w:val="center"/>
              <w:rPr>
                <w:b/>
                <w:sz w:val="20"/>
              </w:rPr>
            </w:pPr>
            <w:r>
              <w:rPr>
                <w:b/>
                <w:sz w:val="20"/>
              </w:rPr>
              <w:t>Monitoring/</w:t>
            </w:r>
          </w:p>
          <w:p w14:paraId="512C8ACB"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4D5705A"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4B6A237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BF504DA" w14:textId="77777777" w:rsidR="00AE1D84" w:rsidRPr="00095B77" w:rsidRDefault="00670CDC" w:rsidP="002527A5">
            <w:pP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1C81968" w14:textId="77777777" w:rsidR="00AE1D84" w:rsidRPr="00BD3DE3" w:rsidRDefault="00670CDC" w:rsidP="00F6298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74836825" w14:textId="77777777" w:rsidR="00AE1D84" w:rsidRPr="00BD3DE3" w:rsidRDefault="00670CDC" w:rsidP="00F6298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703F4A94" w14:textId="77777777" w:rsidR="00AE1D84" w:rsidRPr="00BD3DE3" w:rsidRDefault="00670CDC"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471CF957" w14:textId="77777777" w:rsidR="00AE1D84" w:rsidRPr="00BD3DE3" w:rsidRDefault="00670CDC"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D9655E6" w14:textId="77777777" w:rsidR="00AE1D84" w:rsidRPr="00BD3DE3" w:rsidRDefault="00670CDC" w:rsidP="00F62984">
            <w:pPr>
              <w:jc w:val="center"/>
              <w:rPr>
                <w:sz w:val="20"/>
              </w:rPr>
            </w:pPr>
            <w:r>
              <w:rPr>
                <w:sz w:val="20"/>
              </w:rPr>
              <w:t>NA</w:t>
            </w:r>
          </w:p>
        </w:tc>
      </w:tr>
    </w:tbl>
    <w:p w14:paraId="41E01819" w14:textId="77777777" w:rsidR="00AE1D84" w:rsidRPr="00FE0AD0" w:rsidRDefault="00AE1D84" w:rsidP="00F62984">
      <w:pPr>
        <w:jc w:val="both"/>
        <w:rPr>
          <w:sz w:val="20"/>
        </w:rPr>
      </w:pPr>
    </w:p>
    <w:p w14:paraId="4D095EEF" w14:textId="77777777" w:rsidR="00AE1D84" w:rsidRPr="00F01FE1" w:rsidRDefault="00AE1D84" w:rsidP="00F62984">
      <w:pPr>
        <w:jc w:val="both"/>
        <w:rPr>
          <w:b/>
          <w:sz w:val="20"/>
          <w:u w:val="single"/>
        </w:rPr>
      </w:pPr>
      <w:r>
        <w:rPr>
          <w:b/>
        </w:rPr>
        <w:t xml:space="preserve">III.  </w:t>
      </w:r>
      <w:r>
        <w:rPr>
          <w:b/>
          <w:u w:val="single"/>
        </w:rPr>
        <w:t>PROCESS/OPERATIONAL RESTRICTION(S)</w:t>
      </w:r>
      <w:r w:rsidDel="001C614B">
        <w:rPr>
          <w:b/>
          <w:u w:val="single"/>
        </w:rPr>
        <w:t xml:space="preserve"> </w:t>
      </w:r>
    </w:p>
    <w:p w14:paraId="7B8BC738" w14:textId="77777777" w:rsidR="00AE1D84" w:rsidRPr="00FB6071" w:rsidRDefault="00AE1D84" w:rsidP="00F62984">
      <w:pPr>
        <w:jc w:val="both"/>
        <w:rPr>
          <w:sz w:val="20"/>
        </w:rPr>
      </w:pPr>
    </w:p>
    <w:p w14:paraId="3C66ABBA" w14:textId="77777777" w:rsidR="00AE1D84" w:rsidRPr="00984760" w:rsidRDefault="00670CDC" w:rsidP="0033265F">
      <w:pPr>
        <w:numPr>
          <w:ilvl w:val="0"/>
          <w:numId w:val="28"/>
        </w:numPr>
        <w:ind w:left="360"/>
        <w:jc w:val="both"/>
        <w:rPr>
          <w:sz w:val="20"/>
        </w:rPr>
      </w:pPr>
      <w:r>
        <w:rPr>
          <w:sz w:val="20"/>
        </w:rPr>
        <w:t xml:space="preserve">The permittee shall not operate any affected engine (as defined in R 336.1818(1)(a)) during the ozone control period of May 1 through September 30 of each calendar year unless the permittee complies with a department approved compliance plan as described in R 336.1818(3)(a).  </w:t>
      </w:r>
      <w:r w:rsidRPr="00FC28BB">
        <w:rPr>
          <w:b/>
          <w:sz w:val="20"/>
        </w:rPr>
        <w:t>(R 336.1818(3))</w:t>
      </w:r>
    </w:p>
    <w:p w14:paraId="49D6C620" w14:textId="77777777" w:rsidR="00AE1D84" w:rsidRPr="00FB6071" w:rsidRDefault="00AE1D84" w:rsidP="00F62984">
      <w:pPr>
        <w:jc w:val="both"/>
        <w:rPr>
          <w:sz w:val="20"/>
        </w:rPr>
      </w:pPr>
    </w:p>
    <w:p w14:paraId="4F7BA55F" w14:textId="77777777"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14:paraId="55840EFE" w14:textId="77777777" w:rsidR="00AE1D84" w:rsidRPr="00FE0AD0" w:rsidRDefault="00AE1D84" w:rsidP="00F62984">
      <w:pPr>
        <w:jc w:val="both"/>
        <w:rPr>
          <w:b/>
          <w:sz w:val="20"/>
          <w:u w:val="single"/>
        </w:rPr>
      </w:pPr>
    </w:p>
    <w:p w14:paraId="46400C2D" w14:textId="77777777" w:rsidR="00AE1D84" w:rsidRPr="00984760" w:rsidRDefault="00670CDC" w:rsidP="00670CDC">
      <w:pPr>
        <w:jc w:val="both"/>
        <w:rPr>
          <w:sz w:val="20"/>
        </w:rPr>
      </w:pPr>
      <w:r>
        <w:rPr>
          <w:sz w:val="20"/>
        </w:rPr>
        <w:t>NA</w:t>
      </w:r>
    </w:p>
    <w:p w14:paraId="221FF563" w14:textId="77777777" w:rsidR="00AE1D84" w:rsidRPr="00FE0AD0" w:rsidRDefault="00AE1D84" w:rsidP="00F62984">
      <w:pPr>
        <w:jc w:val="both"/>
        <w:rPr>
          <w:sz w:val="20"/>
        </w:rPr>
      </w:pPr>
    </w:p>
    <w:p w14:paraId="3F15A50A" w14:textId="77777777" w:rsidR="002527A5" w:rsidRDefault="002527A5">
      <w:pPr>
        <w:rPr>
          <w:b/>
        </w:rPr>
      </w:pPr>
      <w:r>
        <w:rPr>
          <w:b/>
        </w:rPr>
        <w:br w:type="page"/>
      </w:r>
    </w:p>
    <w:p w14:paraId="3C6954D0" w14:textId="77777777" w:rsidR="002527A5" w:rsidRDefault="002527A5" w:rsidP="00F62984">
      <w:pPr>
        <w:jc w:val="both"/>
        <w:rPr>
          <w:b/>
        </w:rPr>
      </w:pPr>
    </w:p>
    <w:p w14:paraId="2FE783C9" w14:textId="77777777" w:rsidR="00AE1D84" w:rsidRPr="00887915" w:rsidRDefault="00AE1D84" w:rsidP="00F62984">
      <w:pPr>
        <w:jc w:val="both"/>
        <w:rPr>
          <w:b/>
          <w:u w:val="single"/>
          <w:vertAlign w:val="superscript"/>
        </w:rPr>
      </w:pPr>
      <w:r>
        <w:rPr>
          <w:b/>
        </w:rPr>
        <w:t xml:space="preserve">V.  </w:t>
      </w:r>
      <w:r>
        <w:rPr>
          <w:b/>
          <w:u w:val="single"/>
        </w:rPr>
        <w:t>TESTING/SAMPLING</w:t>
      </w:r>
    </w:p>
    <w:p w14:paraId="5FB76FCA"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B4873F3" w14:textId="77777777" w:rsidR="00381994" w:rsidRPr="00FE0AD0" w:rsidRDefault="00381994" w:rsidP="00F62984">
      <w:pPr>
        <w:jc w:val="both"/>
        <w:rPr>
          <w:sz w:val="20"/>
        </w:rPr>
      </w:pPr>
    </w:p>
    <w:p w14:paraId="4594E368" w14:textId="77777777" w:rsidR="0033265F" w:rsidRPr="00021E1F" w:rsidRDefault="0033265F" w:rsidP="0033265F">
      <w:pPr>
        <w:numPr>
          <w:ilvl w:val="0"/>
          <w:numId w:val="29"/>
        </w:numPr>
        <w:ind w:left="360"/>
        <w:jc w:val="both"/>
        <w:rPr>
          <w:rFonts w:cs="Arial"/>
          <w:vanish/>
          <w:sz w:val="20"/>
        </w:rPr>
      </w:pPr>
      <w:r>
        <w:rPr>
          <w:rFonts w:cs="Arial"/>
          <w:sz w:val="20"/>
        </w:rPr>
        <w:t>T</w:t>
      </w:r>
      <w:r w:rsidRPr="00014CAC">
        <w:rPr>
          <w:rFonts w:cs="Arial"/>
          <w:sz w:val="20"/>
        </w:rPr>
        <w:t>he permittee shall verify</w:t>
      </w:r>
      <w:r>
        <w:rPr>
          <w:rFonts w:cs="Arial"/>
          <w:sz w:val="20"/>
        </w:rPr>
        <w:t xml:space="preserve"> NOx</w:t>
      </w:r>
      <w:r w:rsidRPr="00014CAC">
        <w:rPr>
          <w:rFonts w:cs="Arial"/>
          <w:sz w:val="20"/>
        </w:rPr>
        <w:t xml:space="preserve"> emission rates from</w:t>
      </w:r>
      <w:r>
        <w:rPr>
          <w:rFonts w:cs="Arial"/>
          <w:sz w:val="20"/>
        </w:rPr>
        <w:t xml:space="preserve"> EUBG009 </w:t>
      </w:r>
      <w:r w:rsidRPr="00014CAC">
        <w:rPr>
          <w:rFonts w:cs="Arial"/>
          <w:sz w:val="20"/>
        </w:rPr>
        <w:t xml:space="preserve">by testing at the owner’s expense, in accordance with </w:t>
      </w:r>
      <w:r>
        <w:rPr>
          <w:rFonts w:cs="Arial"/>
          <w:sz w:val="20"/>
        </w:rPr>
        <w:t xml:space="preserve">the </w:t>
      </w:r>
      <w:r w:rsidRPr="00014CAC">
        <w:rPr>
          <w:rFonts w:cs="Arial"/>
          <w:sz w:val="20"/>
        </w:rPr>
        <w:t>Department requirements</w:t>
      </w:r>
      <w:r w:rsidR="00E81E41">
        <w:rPr>
          <w:rFonts w:cs="Arial"/>
          <w:sz w:val="20"/>
        </w:rPr>
        <w:t>,</w:t>
      </w:r>
      <w:r w:rsidR="009D4E60" w:rsidRPr="009D4E60">
        <w:rPr>
          <w:rFonts w:cs="Arial"/>
          <w:sz w:val="20"/>
        </w:rPr>
        <w:t xml:space="preserve"> </w:t>
      </w:r>
      <w:r w:rsidR="009D4E60" w:rsidRPr="00E7046D">
        <w:rPr>
          <w:rFonts w:cs="Arial"/>
          <w:sz w:val="20"/>
        </w:rPr>
        <w:t>at a minimum, every five years</w:t>
      </w:r>
      <w:r w:rsidR="009D4E60">
        <w:rPr>
          <w:rFonts w:cs="Arial"/>
          <w:sz w:val="20"/>
        </w:rPr>
        <w:t xml:space="preserve"> from the date of the last test</w:t>
      </w:r>
      <w:r w:rsidRPr="00014CAC">
        <w:rPr>
          <w:rFonts w:cs="Arial"/>
          <w:sz w:val="20"/>
        </w:rPr>
        <w:t>.  Testing shall be performed using an approved EPA Method listed in</w:t>
      </w:r>
      <w:r>
        <w:rPr>
          <w:rFonts w:cs="Arial"/>
          <w:sz w:val="20"/>
        </w:rPr>
        <w:t xml:space="preserve"> 40 CFR Part 60, Appendix A</w:t>
      </w:r>
      <w:r w:rsidRPr="00014CAC">
        <w:rPr>
          <w:rFonts w:cs="Arial"/>
          <w:sz w:val="20"/>
        </w:rPr>
        <w:t>.  An alternate method, or a modification to the approved EPA Method, may be specified in an AQD</w:t>
      </w:r>
      <w:r w:rsidRPr="00014CAC">
        <w:rPr>
          <w:rFonts w:cs="Arial"/>
          <w:sz w:val="20"/>
        </w:rPr>
        <w:noBreakHyphen/>
        <w:t xml:space="preserve">approved Test Protocol.  </w:t>
      </w:r>
      <w:r w:rsidRPr="00014CAC">
        <w:rPr>
          <w:rFonts w:cs="Arial"/>
          <w:color w:val="000000"/>
          <w:sz w:val="20"/>
        </w:rPr>
        <w:t>No less than</w:t>
      </w:r>
      <w:r>
        <w:rPr>
          <w:rFonts w:cs="Arial"/>
          <w:color w:val="FF0000"/>
          <w:sz w:val="20"/>
        </w:rPr>
        <w:t xml:space="preserve"> </w:t>
      </w:r>
      <w:r>
        <w:rPr>
          <w:rFonts w:cs="Arial"/>
          <w:color w:val="000000"/>
          <w:sz w:val="20"/>
        </w:rPr>
        <w:t>30</w:t>
      </w:r>
      <w:r>
        <w:rPr>
          <w:rFonts w:cs="Arial"/>
          <w:color w:val="FF0000"/>
          <w:sz w:val="20"/>
        </w:rPr>
        <w:t xml:space="preserve"> </w:t>
      </w:r>
      <w:r w:rsidRPr="00014CAC">
        <w:rPr>
          <w:rFonts w:cs="Arial"/>
          <w:color w:val="000000"/>
          <w:sz w:val="20"/>
        </w:rPr>
        <w:t>days prior to testing, the permittee shall submit a complete test plan to the AQD Technical Programs Unit and 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Pr="00021E1F">
        <w:rPr>
          <w:rFonts w:cs="Arial"/>
          <w:b/>
          <w:color w:val="000000"/>
          <w:sz w:val="20"/>
        </w:rPr>
        <w:t>)</w:t>
      </w:r>
    </w:p>
    <w:p w14:paraId="14AA3361" w14:textId="23B2608A" w:rsidR="0033265F" w:rsidRDefault="0033265F" w:rsidP="00F62984">
      <w:pPr>
        <w:jc w:val="both"/>
        <w:rPr>
          <w:b/>
        </w:rPr>
      </w:pPr>
    </w:p>
    <w:p w14:paraId="0D2E546B" w14:textId="77777777" w:rsidR="0004371D" w:rsidRDefault="0004371D" w:rsidP="00F62984">
      <w:pPr>
        <w:jc w:val="both"/>
        <w:rPr>
          <w:b/>
        </w:rPr>
      </w:pPr>
    </w:p>
    <w:p w14:paraId="6081D7CB" w14:textId="77777777" w:rsidR="00AE1D84" w:rsidRDefault="00AE1D84" w:rsidP="00F62984">
      <w:pPr>
        <w:jc w:val="both"/>
      </w:pPr>
      <w:r>
        <w:rPr>
          <w:b/>
        </w:rPr>
        <w:t xml:space="preserve">VI.  </w:t>
      </w:r>
      <w:r>
        <w:rPr>
          <w:b/>
          <w:u w:val="single"/>
        </w:rPr>
        <w:t>MONITORING/RECORDKEEPING</w:t>
      </w:r>
    </w:p>
    <w:p w14:paraId="7040727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3752D41" w14:textId="77777777" w:rsidR="00AE1D84" w:rsidRDefault="00AE1D84" w:rsidP="00F62984">
      <w:pPr>
        <w:jc w:val="both"/>
        <w:rPr>
          <w:sz w:val="20"/>
        </w:rPr>
      </w:pPr>
    </w:p>
    <w:p w14:paraId="7155FC97" w14:textId="77777777" w:rsidR="00381994" w:rsidRPr="00D80180" w:rsidRDefault="00381994" w:rsidP="0047449A">
      <w:pPr>
        <w:numPr>
          <w:ilvl w:val="0"/>
          <w:numId w:val="40"/>
        </w:numPr>
        <w:jc w:val="both"/>
        <w:rPr>
          <w:sz w:val="20"/>
        </w:rPr>
      </w:pPr>
      <w:r>
        <w:rPr>
          <w:sz w:val="20"/>
        </w:rPr>
        <w:t>The permittee shall monitor and record, in a satisfactory manner, the natural gas usage rate for EUBG009 on a monthly basis.</w:t>
      </w:r>
      <w:r w:rsidRPr="00E11CCF">
        <w:rPr>
          <w:sz w:val="20"/>
          <w:vertAlign w:val="superscript"/>
        </w:rPr>
        <w:t xml:space="preserve"> </w:t>
      </w:r>
      <w:r w:rsidRPr="00461D11">
        <w:rPr>
          <w:b/>
          <w:sz w:val="20"/>
          <w:vertAlign w:val="superscript"/>
        </w:rPr>
        <w:t>2,3</w:t>
      </w:r>
      <w:r>
        <w:rPr>
          <w:rFonts w:cs="Arial"/>
          <w:sz w:val="20"/>
        </w:rPr>
        <w:t xml:space="preserve">  </w:t>
      </w:r>
      <w:r w:rsidRPr="00FD1471">
        <w:rPr>
          <w:rFonts w:cs="Arial"/>
          <w:b/>
          <w:sz w:val="20"/>
        </w:rPr>
        <w:t>(</w:t>
      </w:r>
      <w:r w:rsidRPr="00FD1471">
        <w:rPr>
          <w:b/>
          <w:sz w:val="20"/>
        </w:rPr>
        <w:t>4</w:t>
      </w:r>
      <w:r>
        <w:rPr>
          <w:b/>
          <w:sz w:val="20"/>
        </w:rPr>
        <w:t>0 CFR 52.21)</w:t>
      </w:r>
    </w:p>
    <w:p w14:paraId="0AC80EF1" w14:textId="77777777" w:rsidR="00381994" w:rsidRDefault="00381994" w:rsidP="00381994">
      <w:pPr>
        <w:ind w:left="360"/>
        <w:jc w:val="both"/>
        <w:rPr>
          <w:sz w:val="20"/>
        </w:rPr>
      </w:pPr>
    </w:p>
    <w:p w14:paraId="37F1DE30" w14:textId="77777777" w:rsidR="00381994" w:rsidRPr="00D80180" w:rsidRDefault="00381994" w:rsidP="0047449A">
      <w:pPr>
        <w:numPr>
          <w:ilvl w:val="0"/>
          <w:numId w:val="40"/>
        </w:numPr>
        <w:jc w:val="both"/>
        <w:rPr>
          <w:rFonts w:cs="Arial"/>
          <w:sz w:val="20"/>
        </w:rPr>
      </w:pPr>
      <w:r>
        <w:rPr>
          <w:sz w:val="20"/>
        </w:rPr>
        <w:t>The permittee shall record, in a satisfactory manner, the hours of operation of EUBG009 on a monthly basis.</w:t>
      </w:r>
      <w:r>
        <w:rPr>
          <w:sz w:val="20"/>
          <w:vertAlign w:val="superscript"/>
        </w:rPr>
        <w:t xml:space="preserve"> </w:t>
      </w:r>
      <w:r w:rsidRPr="00FE0AD0">
        <w:rPr>
          <w:b/>
          <w:sz w:val="20"/>
        </w:rPr>
        <w:t>(R 336.1213(3)(b)</w:t>
      </w:r>
      <w:r>
        <w:rPr>
          <w:b/>
          <w:sz w:val="20"/>
        </w:rPr>
        <w:t>)</w:t>
      </w:r>
    </w:p>
    <w:p w14:paraId="54E59879" w14:textId="77777777" w:rsidR="00381994" w:rsidRPr="00FD1471" w:rsidRDefault="00381994" w:rsidP="00381994">
      <w:pPr>
        <w:ind w:left="360"/>
        <w:jc w:val="both"/>
        <w:rPr>
          <w:rFonts w:cs="Arial"/>
          <w:sz w:val="20"/>
        </w:rPr>
      </w:pPr>
    </w:p>
    <w:p w14:paraId="07174D47" w14:textId="77777777" w:rsidR="00381994" w:rsidRDefault="00381994" w:rsidP="0047449A">
      <w:pPr>
        <w:numPr>
          <w:ilvl w:val="0"/>
          <w:numId w:val="41"/>
        </w:numPr>
        <w:jc w:val="both"/>
        <w:rPr>
          <w:rFonts w:cs="Arial"/>
          <w:b/>
          <w:sz w:val="20"/>
        </w:rPr>
      </w:pPr>
      <w:r>
        <w:rPr>
          <w:rFonts w:cs="Arial"/>
          <w:sz w:val="20"/>
        </w:rPr>
        <w:t xml:space="preserve">The permittee shall perform monitoring sufficient to yield data for each ozone period that is representative of a source’s compliance with the NOx emission rate limit.  The monitoring may include one of the following: </w:t>
      </w:r>
      <w:r w:rsidRPr="00571AEB">
        <w:rPr>
          <w:rFonts w:cs="Arial"/>
          <w:b/>
          <w:sz w:val="20"/>
        </w:rPr>
        <w:t>(R</w:t>
      </w:r>
      <w:r>
        <w:rPr>
          <w:rFonts w:cs="Arial"/>
          <w:b/>
          <w:sz w:val="20"/>
        </w:rPr>
        <w:t> </w:t>
      </w:r>
      <w:r w:rsidRPr="00571AEB">
        <w:rPr>
          <w:rFonts w:cs="Arial"/>
          <w:b/>
          <w:sz w:val="20"/>
        </w:rPr>
        <w:t>336.1818(4)(a)(ii)</w:t>
      </w:r>
      <w:r>
        <w:rPr>
          <w:rFonts w:cs="Arial"/>
          <w:b/>
          <w:sz w:val="20"/>
        </w:rPr>
        <w:t>)</w:t>
      </w:r>
    </w:p>
    <w:p w14:paraId="23FC3ED0" w14:textId="77777777" w:rsidR="00381994" w:rsidRDefault="00381994" w:rsidP="0047449A">
      <w:pPr>
        <w:numPr>
          <w:ilvl w:val="1"/>
          <w:numId w:val="41"/>
        </w:numPr>
        <w:jc w:val="both"/>
        <w:rPr>
          <w:rFonts w:cs="Arial"/>
          <w:sz w:val="20"/>
        </w:rPr>
      </w:pPr>
      <w:r>
        <w:rPr>
          <w:rFonts w:cs="Arial"/>
          <w:sz w:val="20"/>
        </w:rPr>
        <w:t>Performance tests consistent with either of the following:</w:t>
      </w:r>
    </w:p>
    <w:p w14:paraId="1F0276E0" w14:textId="77777777" w:rsidR="00381994" w:rsidRDefault="00381994" w:rsidP="0047449A">
      <w:pPr>
        <w:numPr>
          <w:ilvl w:val="2"/>
          <w:numId w:val="41"/>
        </w:numPr>
        <w:jc w:val="both"/>
        <w:rPr>
          <w:rFonts w:cs="Arial"/>
          <w:sz w:val="20"/>
        </w:rPr>
      </w:pPr>
      <w:r>
        <w:rPr>
          <w:rFonts w:cs="Arial"/>
          <w:sz w:val="20"/>
        </w:rPr>
        <w:t>The provisions of 40 CFR Part 60, Subpart A and appendices A, B, and F and Part 75 (2005).</w:t>
      </w:r>
    </w:p>
    <w:p w14:paraId="3C972387" w14:textId="77777777" w:rsidR="00381994" w:rsidRDefault="00381994" w:rsidP="0047449A">
      <w:pPr>
        <w:numPr>
          <w:ilvl w:val="2"/>
          <w:numId w:val="41"/>
        </w:numPr>
        <w:jc w:val="both"/>
        <w:rPr>
          <w:rFonts w:cs="Arial"/>
          <w:sz w:val="20"/>
        </w:rPr>
      </w:pPr>
      <w:r>
        <w:rPr>
          <w:rFonts w:cs="Arial"/>
          <w:sz w:val="20"/>
        </w:rPr>
        <w:t>The provisions of ASTM D6522-00 (2005).</w:t>
      </w:r>
    </w:p>
    <w:p w14:paraId="0D3AB5B5" w14:textId="77777777" w:rsidR="00381994" w:rsidRDefault="00381994" w:rsidP="0047449A">
      <w:pPr>
        <w:numPr>
          <w:ilvl w:val="0"/>
          <w:numId w:val="42"/>
        </w:numPr>
        <w:jc w:val="both"/>
        <w:rPr>
          <w:rFonts w:cs="Arial"/>
          <w:sz w:val="20"/>
        </w:rPr>
      </w:pPr>
      <w:r>
        <w:rPr>
          <w:rFonts w:cs="Arial"/>
          <w:sz w:val="20"/>
        </w:rPr>
        <w:t>A parametric monitoring program that specifies operating parameters, and their ranges, that shall provide reasonable assurance that each engine’s emissions are consistent with the requirements of R 336.1818(3).</w:t>
      </w:r>
    </w:p>
    <w:p w14:paraId="2059950E" w14:textId="77777777" w:rsidR="00381994" w:rsidRDefault="00381994" w:rsidP="0047449A">
      <w:pPr>
        <w:numPr>
          <w:ilvl w:val="0"/>
          <w:numId w:val="42"/>
        </w:numPr>
        <w:jc w:val="both"/>
        <w:rPr>
          <w:rFonts w:cs="Arial"/>
          <w:sz w:val="20"/>
        </w:rPr>
      </w:pPr>
      <w:r>
        <w:rPr>
          <w:rFonts w:cs="Arial"/>
          <w:sz w:val="20"/>
        </w:rPr>
        <w:t>A predictive emissions measurement system that relies on automated data collection from instruments.</w:t>
      </w:r>
    </w:p>
    <w:p w14:paraId="27B80BAF" w14:textId="5D40036A" w:rsidR="00381994" w:rsidRDefault="00381994" w:rsidP="0047449A">
      <w:pPr>
        <w:numPr>
          <w:ilvl w:val="0"/>
          <w:numId w:val="42"/>
        </w:numPr>
        <w:jc w:val="both"/>
        <w:rPr>
          <w:rFonts w:cs="Arial"/>
          <w:sz w:val="20"/>
        </w:rPr>
      </w:pPr>
      <w:r>
        <w:rPr>
          <w:rFonts w:cs="Arial"/>
          <w:sz w:val="20"/>
        </w:rPr>
        <w:t xml:space="preserve">A continuous emission monitoring system that complies with procedures set forth in 40 CFR Part 60, Subpart A and </w:t>
      </w:r>
      <w:r w:rsidR="006549C9">
        <w:rPr>
          <w:rFonts w:cs="Arial"/>
          <w:sz w:val="20"/>
        </w:rPr>
        <w:t>A</w:t>
      </w:r>
      <w:r>
        <w:rPr>
          <w:rFonts w:cs="Arial"/>
          <w:sz w:val="20"/>
        </w:rPr>
        <w:t xml:space="preserve">ppendix B, and with the quality assurance procedures in </w:t>
      </w:r>
      <w:r w:rsidR="006549C9">
        <w:rPr>
          <w:rFonts w:cs="Arial"/>
          <w:sz w:val="20"/>
        </w:rPr>
        <w:t>A</w:t>
      </w:r>
      <w:r>
        <w:rPr>
          <w:rFonts w:cs="Arial"/>
          <w:sz w:val="20"/>
        </w:rPr>
        <w:t>ppendix F; or 40 CFR Part 75, and associated appendices, as applicable and acceptable to the department.</w:t>
      </w:r>
    </w:p>
    <w:p w14:paraId="5AA50AFE" w14:textId="77777777" w:rsidR="00381994" w:rsidRPr="00794966" w:rsidRDefault="00381994" w:rsidP="00381994">
      <w:pPr>
        <w:ind w:left="360"/>
        <w:jc w:val="both"/>
        <w:rPr>
          <w:sz w:val="20"/>
        </w:rPr>
      </w:pPr>
    </w:p>
    <w:p w14:paraId="08A3AAFD" w14:textId="77777777" w:rsidR="00381994" w:rsidRDefault="00381994" w:rsidP="0047449A">
      <w:pPr>
        <w:numPr>
          <w:ilvl w:val="1"/>
          <w:numId w:val="42"/>
        </w:numPr>
        <w:jc w:val="both"/>
        <w:rPr>
          <w:rFonts w:cs="Arial"/>
          <w:b/>
          <w:sz w:val="20"/>
        </w:rPr>
      </w:pPr>
      <w:r>
        <w:rPr>
          <w:rFonts w:cs="Arial"/>
          <w:sz w:val="20"/>
        </w:rPr>
        <w:t xml:space="preserve">The permittee shall maintain records of the following:   </w:t>
      </w:r>
      <w:r w:rsidRPr="00C3091F">
        <w:rPr>
          <w:rFonts w:cs="Arial"/>
          <w:b/>
          <w:sz w:val="20"/>
        </w:rPr>
        <w:t>(R 336.1818(4)(b)(ii)</w:t>
      </w:r>
      <w:r>
        <w:rPr>
          <w:rFonts w:cs="Arial"/>
          <w:b/>
          <w:sz w:val="20"/>
        </w:rPr>
        <w:t>)</w:t>
      </w:r>
    </w:p>
    <w:p w14:paraId="09E350EE" w14:textId="77777777" w:rsidR="00381994" w:rsidRDefault="00381994" w:rsidP="0047449A">
      <w:pPr>
        <w:numPr>
          <w:ilvl w:val="0"/>
          <w:numId w:val="43"/>
        </w:numPr>
        <w:jc w:val="both"/>
        <w:rPr>
          <w:rFonts w:cs="Arial"/>
          <w:sz w:val="20"/>
        </w:rPr>
      </w:pPr>
      <w:r>
        <w:rPr>
          <w:rFonts w:cs="Arial"/>
          <w:sz w:val="20"/>
        </w:rPr>
        <w:t>Identification and location of each engine subject to R 336.1818.</w:t>
      </w:r>
    </w:p>
    <w:p w14:paraId="70A46398" w14:textId="77777777" w:rsidR="00381994" w:rsidRDefault="00381994" w:rsidP="0047449A">
      <w:pPr>
        <w:numPr>
          <w:ilvl w:val="0"/>
          <w:numId w:val="43"/>
        </w:numPr>
        <w:jc w:val="both"/>
        <w:rPr>
          <w:rFonts w:cs="Arial"/>
          <w:sz w:val="20"/>
        </w:rPr>
      </w:pPr>
      <w:r>
        <w:rPr>
          <w:rFonts w:cs="Arial"/>
          <w:sz w:val="20"/>
        </w:rPr>
        <w:t>Calendar date of record.</w:t>
      </w:r>
    </w:p>
    <w:p w14:paraId="6D8DB3B4" w14:textId="77777777" w:rsidR="00381994" w:rsidRDefault="00381994" w:rsidP="0047449A">
      <w:pPr>
        <w:numPr>
          <w:ilvl w:val="0"/>
          <w:numId w:val="43"/>
        </w:numPr>
        <w:jc w:val="both"/>
        <w:rPr>
          <w:rFonts w:cs="Arial"/>
          <w:sz w:val="20"/>
        </w:rPr>
      </w:pPr>
      <w:r>
        <w:rPr>
          <w:rFonts w:cs="Arial"/>
          <w:sz w:val="20"/>
        </w:rPr>
        <w:t>The number of hours the unit is operated during each ozone control period compared to the projected operating hours.</w:t>
      </w:r>
    </w:p>
    <w:p w14:paraId="7033F966" w14:textId="77777777" w:rsidR="00381994" w:rsidRDefault="00381994" w:rsidP="0047449A">
      <w:pPr>
        <w:numPr>
          <w:ilvl w:val="0"/>
          <w:numId w:val="43"/>
        </w:numPr>
        <w:jc w:val="both"/>
        <w:rPr>
          <w:rFonts w:cs="Arial"/>
          <w:sz w:val="20"/>
        </w:rPr>
      </w:pPr>
      <w:r>
        <w:rPr>
          <w:rFonts w:cs="Arial"/>
          <w:sz w:val="20"/>
        </w:rPr>
        <w:t>Quantity of natural gas used on a monthly basis.</w:t>
      </w:r>
    </w:p>
    <w:p w14:paraId="14F3A562" w14:textId="77777777" w:rsidR="00AE1D84" w:rsidRPr="00381994" w:rsidRDefault="00381994" w:rsidP="0047449A">
      <w:pPr>
        <w:numPr>
          <w:ilvl w:val="0"/>
          <w:numId w:val="43"/>
        </w:numPr>
        <w:jc w:val="both"/>
        <w:rPr>
          <w:rFonts w:cs="Arial"/>
          <w:sz w:val="20"/>
        </w:rPr>
      </w:pPr>
      <w:r>
        <w:rPr>
          <w:rFonts w:cs="Arial"/>
          <w:sz w:val="20"/>
        </w:rPr>
        <w:t>The results of all compliance tests.</w:t>
      </w:r>
    </w:p>
    <w:p w14:paraId="621C66A8" w14:textId="77777777" w:rsidR="00AE1D84" w:rsidRPr="00047D6A" w:rsidRDefault="00AE1D84" w:rsidP="00F62984">
      <w:pPr>
        <w:jc w:val="both"/>
        <w:rPr>
          <w:sz w:val="20"/>
        </w:rPr>
      </w:pPr>
    </w:p>
    <w:p w14:paraId="769B34DD" w14:textId="77777777" w:rsidR="00AE1D84" w:rsidRPr="00F01FE1" w:rsidRDefault="00AE1D84" w:rsidP="00F62984">
      <w:pPr>
        <w:jc w:val="both"/>
        <w:rPr>
          <w:b/>
          <w:sz w:val="20"/>
          <w:u w:val="single"/>
        </w:rPr>
      </w:pPr>
      <w:r>
        <w:rPr>
          <w:b/>
        </w:rPr>
        <w:t xml:space="preserve">VII.  </w:t>
      </w:r>
      <w:r>
        <w:rPr>
          <w:b/>
          <w:u w:val="single"/>
        </w:rPr>
        <w:t>REPORTING</w:t>
      </w:r>
    </w:p>
    <w:p w14:paraId="3B47E976" w14:textId="77777777" w:rsidR="00AE1D84" w:rsidRPr="00047D6A" w:rsidRDefault="00AE1D84" w:rsidP="00F62984">
      <w:pPr>
        <w:jc w:val="both"/>
        <w:rPr>
          <w:sz w:val="20"/>
        </w:rPr>
      </w:pPr>
    </w:p>
    <w:p w14:paraId="50D4325A" w14:textId="77777777"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779C8268" w14:textId="77777777" w:rsidR="00AE1D84" w:rsidRPr="00984760" w:rsidRDefault="00AE1D84" w:rsidP="00F62984">
      <w:pPr>
        <w:ind w:left="360" w:hanging="360"/>
        <w:jc w:val="both"/>
        <w:rPr>
          <w:sz w:val="20"/>
        </w:rPr>
      </w:pPr>
    </w:p>
    <w:p w14:paraId="4A43B635" w14:textId="77777777"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2B1F4C9" w14:textId="77777777" w:rsidR="00AE1D84" w:rsidRPr="00984760" w:rsidRDefault="00AE1D84" w:rsidP="00F62984">
      <w:pPr>
        <w:ind w:left="360" w:hanging="360"/>
        <w:jc w:val="both"/>
        <w:rPr>
          <w:sz w:val="20"/>
        </w:rPr>
      </w:pPr>
    </w:p>
    <w:p w14:paraId="20087B38"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06BCFAA" w14:textId="77777777" w:rsidR="00AE1D84" w:rsidRPr="00E873CB" w:rsidRDefault="00AE1D84" w:rsidP="00F62984">
      <w:pPr>
        <w:jc w:val="both"/>
        <w:rPr>
          <w:rFonts w:cs="Arial"/>
          <w:sz w:val="20"/>
        </w:rPr>
      </w:pPr>
    </w:p>
    <w:p w14:paraId="430A68B3" w14:textId="77777777" w:rsidR="00AE1D84" w:rsidRDefault="00AE1D84" w:rsidP="0033265F">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015F80DC" w14:textId="77777777" w:rsidR="0033265F" w:rsidRDefault="0033265F" w:rsidP="0033265F">
      <w:pPr>
        <w:ind w:left="360"/>
        <w:jc w:val="both"/>
        <w:rPr>
          <w:rFonts w:cs="Arial"/>
          <w:b/>
          <w:sz w:val="20"/>
        </w:rPr>
      </w:pPr>
    </w:p>
    <w:p w14:paraId="47DF3118" w14:textId="77777777" w:rsidR="0033265F" w:rsidRDefault="0033265F" w:rsidP="0047449A">
      <w:pPr>
        <w:numPr>
          <w:ilvl w:val="0"/>
          <w:numId w:val="44"/>
        </w:numPr>
        <w:jc w:val="both"/>
        <w:rPr>
          <w:sz w:val="20"/>
        </w:rPr>
      </w:pPr>
      <w:r>
        <w:rPr>
          <w:sz w:val="20"/>
        </w:rPr>
        <w:t>For all compliance/performance testing conducted to meet the requirements of R 336.1818(3), the permittee shall submit the following:</w:t>
      </w:r>
    </w:p>
    <w:p w14:paraId="586B2FE6" w14:textId="77777777" w:rsidR="0033265F" w:rsidRDefault="0033265F" w:rsidP="0047449A">
      <w:pPr>
        <w:numPr>
          <w:ilvl w:val="1"/>
          <w:numId w:val="44"/>
        </w:numPr>
        <w:tabs>
          <w:tab w:val="num" w:pos="720"/>
        </w:tabs>
        <w:ind w:hanging="1080"/>
        <w:jc w:val="both"/>
        <w:rPr>
          <w:sz w:val="20"/>
        </w:rPr>
      </w:pPr>
      <w:r>
        <w:rPr>
          <w:sz w:val="20"/>
        </w:rPr>
        <w:t xml:space="preserve">A test plan not less than 30 days before the scheduled test date.  </w:t>
      </w:r>
      <w:r w:rsidRPr="000727FB">
        <w:rPr>
          <w:b/>
          <w:sz w:val="20"/>
        </w:rPr>
        <w:t>(R 336.1818(4)(a)(i)</w:t>
      </w:r>
      <w:r>
        <w:rPr>
          <w:b/>
          <w:sz w:val="20"/>
        </w:rPr>
        <w:t>)</w:t>
      </w:r>
    </w:p>
    <w:p w14:paraId="2319691E" w14:textId="77777777" w:rsidR="0033265F" w:rsidRPr="000727FB" w:rsidRDefault="0033265F" w:rsidP="0047449A">
      <w:pPr>
        <w:numPr>
          <w:ilvl w:val="1"/>
          <w:numId w:val="44"/>
        </w:numPr>
        <w:tabs>
          <w:tab w:val="num" w:pos="720"/>
        </w:tabs>
        <w:ind w:hanging="1080"/>
        <w:jc w:val="both"/>
        <w:rPr>
          <w:sz w:val="20"/>
        </w:rPr>
      </w:pPr>
      <w:r>
        <w:rPr>
          <w:sz w:val="20"/>
        </w:rPr>
        <w:t xml:space="preserve">Test results (two copies) within 60 days following completion of the testing.  </w:t>
      </w:r>
      <w:r w:rsidRPr="000727FB">
        <w:rPr>
          <w:b/>
          <w:sz w:val="20"/>
        </w:rPr>
        <w:t>(R 336.1818(4)(c)</w:t>
      </w:r>
      <w:r>
        <w:rPr>
          <w:b/>
          <w:sz w:val="20"/>
        </w:rPr>
        <w:t>)</w:t>
      </w:r>
    </w:p>
    <w:p w14:paraId="20E26038" w14:textId="77777777" w:rsidR="00AE1D84" w:rsidRPr="00E873CB" w:rsidRDefault="00AE1D84" w:rsidP="00F62984">
      <w:pPr>
        <w:jc w:val="both"/>
        <w:rPr>
          <w:rFonts w:cs="Arial"/>
          <w:sz w:val="20"/>
        </w:rPr>
      </w:pPr>
    </w:p>
    <w:p w14:paraId="2792004A" w14:textId="77777777" w:rsidR="00AE1D84" w:rsidRPr="00FE0AD0" w:rsidRDefault="00AE1D84" w:rsidP="00F62984">
      <w:pPr>
        <w:jc w:val="both"/>
        <w:rPr>
          <w:rFonts w:cs="Arial"/>
          <w:b/>
          <w:sz w:val="20"/>
        </w:rPr>
      </w:pPr>
      <w:r w:rsidRPr="00FE0AD0">
        <w:rPr>
          <w:rFonts w:cs="Arial"/>
          <w:b/>
          <w:sz w:val="20"/>
        </w:rPr>
        <w:t>See Appendix 8</w:t>
      </w:r>
    </w:p>
    <w:p w14:paraId="2721D659" w14:textId="77777777" w:rsidR="00AE1D84" w:rsidRPr="00E873CB" w:rsidRDefault="00AE1D84" w:rsidP="00F62984">
      <w:pPr>
        <w:jc w:val="both"/>
        <w:rPr>
          <w:rFonts w:cs="Arial"/>
          <w:sz w:val="20"/>
        </w:rPr>
      </w:pPr>
    </w:p>
    <w:p w14:paraId="5828E867" w14:textId="77777777" w:rsidR="00AE1D84" w:rsidRDefault="00AE1D84" w:rsidP="00F62984">
      <w:pPr>
        <w:jc w:val="both"/>
      </w:pPr>
      <w:r>
        <w:rPr>
          <w:b/>
        </w:rPr>
        <w:t xml:space="preserve">VIII.  </w:t>
      </w:r>
      <w:r>
        <w:rPr>
          <w:b/>
          <w:u w:val="single"/>
        </w:rPr>
        <w:t>STACK/VENT RESTRICTION(S)</w:t>
      </w:r>
    </w:p>
    <w:p w14:paraId="3468899E" w14:textId="77777777" w:rsidR="00AE1D84" w:rsidRDefault="00AE1D84" w:rsidP="00F62984">
      <w:pPr>
        <w:jc w:val="both"/>
        <w:rPr>
          <w:sz w:val="20"/>
        </w:rPr>
      </w:pPr>
    </w:p>
    <w:p w14:paraId="29742FD7"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695C22D8"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AE1D84" w14:paraId="6C230E47" w14:textId="77777777" w:rsidTr="00E76CEB">
        <w:trPr>
          <w:cantSplit/>
          <w:tblHeader/>
        </w:trPr>
        <w:tc>
          <w:tcPr>
            <w:tcW w:w="3623" w:type="dxa"/>
            <w:tcBorders>
              <w:bottom w:val="single" w:sz="4" w:space="0" w:color="auto"/>
            </w:tcBorders>
          </w:tcPr>
          <w:p w14:paraId="0EB1AD36" w14:textId="77777777"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14:paraId="514EA3F1" w14:textId="77777777" w:rsidR="00AE1D84" w:rsidRPr="00BD3DE3" w:rsidRDefault="00AE1D84" w:rsidP="00F62984">
            <w:pPr>
              <w:jc w:val="center"/>
              <w:rPr>
                <w:b/>
                <w:sz w:val="20"/>
              </w:rPr>
            </w:pPr>
            <w:r w:rsidRPr="00BD3DE3">
              <w:rPr>
                <w:b/>
                <w:sz w:val="20"/>
              </w:rPr>
              <w:t xml:space="preserve">Maximum </w:t>
            </w:r>
            <w:r>
              <w:rPr>
                <w:b/>
                <w:sz w:val="20"/>
              </w:rPr>
              <w:t>Exhaust Dimensions</w:t>
            </w:r>
          </w:p>
          <w:p w14:paraId="50F43EA6"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451447F0" w14:textId="77777777" w:rsidR="00AE1D84" w:rsidRPr="00BD3DE3" w:rsidRDefault="00AE1D84" w:rsidP="00F62984">
            <w:pPr>
              <w:jc w:val="center"/>
              <w:rPr>
                <w:b/>
                <w:sz w:val="20"/>
              </w:rPr>
            </w:pPr>
            <w:r w:rsidRPr="00BD3DE3">
              <w:rPr>
                <w:b/>
                <w:sz w:val="20"/>
              </w:rPr>
              <w:t>M</w:t>
            </w:r>
            <w:r>
              <w:rPr>
                <w:b/>
                <w:sz w:val="20"/>
              </w:rPr>
              <w:t>inimum Height Above Ground</w:t>
            </w:r>
          </w:p>
          <w:p w14:paraId="36188FAA" w14:textId="77777777" w:rsidR="00AE1D84" w:rsidRPr="00BD3DE3" w:rsidRDefault="00AE1D84" w:rsidP="00F62984">
            <w:pPr>
              <w:jc w:val="center"/>
              <w:rPr>
                <w:b/>
                <w:sz w:val="20"/>
              </w:rPr>
            </w:pPr>
            <w:r w:rsidRPr="00BD3DE3">
              <w:rPr>
                <w:b/>
                <w:sz w:val="20"/>
              </w:rPr>
              <w:t>(feet)</w:t>
            </w:r>
          </w:p>
        </w:tc>
        <w:tc>
          <w:tcPr>
            <w:tcW w:w="3127" w:type="dxa"/>
            <w:tcBorders>
              <w:bottom w:val="single" w:sz="4" w:space="0" w:color="auto"/>
            </w:tcBorders>
          </w:tcPr>
          <w:p w14:paraId="674C3F8D" w14:textId="77777777" w:rsidR="00AE1D84" w:rsidRPr="00BD3DE3" w:rsidRDefault="00AE1D84" w:rsidP="00F62984">
            <w:pPr>
              <w:jc w:val="center"/>
              <w:rPr>
                <w:b/>
                <w:sz w:val="20"/>
              </w:rPr>
            </w:pPr>
            <w:r w:rsidRPr="00BD3DE3">
              <w:rPr>
                <w:b/>
                <w:sz w:val="20"/>
              </w:rPr>
              <w:t>Underlying Applicable Requirements</w:t>
            </w:r>
          </w:p>
          <w:p w14:paraId="732EF968" w14:textId="77777777" w:rsidR="00AE1D84" w:rsidRPr="00BD3DE3" w:rsidRDefault="00AE1D84" w:rsidP="00F62984">
            <w:pPr>
              <w:jc w:val="center"/>
              <w:rPr>
                <w:b/>
                <w:sz w:val="20"/>
              </w:rPr>
            </w:pPr>
          </w:p>
        </w:tc>
      </w:tr>
      <w:tr w:rsidR="00AE1D84" w14:paraId="24A6D7C2" w14:textId="77777777" w:rsidTr="00E76CEB">
        <w:trPr>
          <w:cantSplit/>
        </w:trPr>
        <w:tc>
          <w:tcPr>
            <w:tcW w:w="3623" w:type="dxa"/>
            <w:tcBorders>
              <w:top w:val="single" w:sz="4" w:space="0" w:color="auto"/>
              <w:bottom w:val="single" w:sz="4" w:space="0" w:color="auto"/>
            </w:tcBorders>
          </w:tcPr>
          <w:p w14:paraId="17E7B19B" w14:textId="77777777" w:rsidR="00AE1D84" w:rsidRPr="00984760" w:rsidRDefault="00C539FA" w:rsidP="00E76CEB">
            <w:pPr>
              <w:rPr>
                <w:sz w:val="20"/>
              </w:rPr>
            </w:pPr>
            <w:r>
              <w:rPr>
                <w:sz w:val="20"/>
              </w:rPr>
              <w:t>NA</w:t>
            </w:r>
          </w:p>
        </w:tc>
        <w:tc>
          <w:tcPr>
            <w:tcW w:w="1710" w:type="dxa"/>
            <w:tcBorders>
              <w:top w:val="single" w:sz="4" w:space="0" w:color="auto"/>
              <w:bottom w:val="single" w:sz="4" w:space="0" w:color="auto"/>
            </w:tcBorders>
          </w:tcPr>
          <w:p w14:paraId="2E954BDF" w14:textId="77777777" w:rsidR="00AE1D84" w:rsidRPr="00BD3DE3" w:rsidRDefault="00C539FA" w:rsidP="00F62984">
            <w:pPr>
              <w:jc w:val="center"/>
              <w:rPr>
                <w:sz w:val="20"/>
              </w:rPr>
            </w:pPr>
            <w:r>
              <w:rPr>
                <w:sz w:val="20"/>
              </w:rPr>
              <w:t>NA</w:t>
            </w:r>
          </w:p>
        </w:tc>
        <w:tc>
          <w:tcPr>
            <w:tcW w:w="1800" w:type="dxa"/>
            <w:tcBorders>
              <w:top w:val="single" w:sz="4" w:space="0" w:color="auto"/>
              <w:bottom w:val="single" w:sz="4" w:space="0" w:color="auto"/>
            </w:tcBorders>
          </w:tcPr>
          <w:p w14:paraId="308C6535" w14:textId="77777777" w:rsidR="00AE1D84" w:rsidRPr="00BD3DE3" w:rsidRDefault="00C539FA" w:rsidP="00F62984">
            <w:pPr>
              <w:jc w:val="center"/>
              <w:rPr>
                <w:sz w:val="20"/>
              </w:rPr>
            </w:pPr>
            <w:r>
              <w:rPr>
                <w:sz w:val="20"/>
              </w:rPr>
              <w:t>NA</w:t>
            </w:r>
          </w:p>
        </w:tc>
        <w:tc>
          <w:tcPr>
            <w:tcW w:w="3127" w:type="dxa"/>
            <w:tcBorders>
              <w:top w:val="single" w:sz="4" w:space="0" w:color="auto"/>
              <w:bottom w:val="single" w:sz="4" w:space="0" w:color="auto"/>
            </w:tcBorders>
          </w:tcPr>
          <w:p w14:paraId="151368C4" w14:textId="77777777" w:rsidR="00AE1D84" w:rsidRPr="00BD3DE3" w:rsidRDefault="00C539FA" w:rsidP="00F62984">
            <w:pPr>
              <w:jc w:val="center"/>
              <w:rPr>
                <w:sz w:val="20"/>
              </w:rPr>
            </w:pPr>
            <w:r>
              <w:rPr>
                <w:sz w:val="20"/>
              </w:rPr>
              <w:t>NA</w:t>
            </w:r>
          </w:p>
        </w:tc>
      </w:tr>
    </w:tbl>
    <w:p w14:paraId="2FAFFBEE" w14:textId="77777777" w:rsidR="00AE1D84" w:rsidRPr="00FE0AD0" w:rsidRDefault="00AE1D84" w:rsidP="00F62984">
      <w:pPr>
        <w:jc w:val="both"/>
        <w:rPr>
          <w:sz w:val="20"/>
        </w:rPr>
      </w:pPr>
    </w:p>
    <w:p w14:paraId="0D6093C2" w14:textId="77777777" w:rsidR="00AE1D84" w:rsidRDefault="00AE1D84" w:rsidP="00F62984">
      <w:pPr>
        <w:jc w:val="both"/>
      </w:pPr>
      <w:r>
        <w:rPr>
          <w:b/>
        </w:rPr>
        <w:t xml:space="preserve">IX.  </w:t>
      </w:r>
      <w:r>
        <w:rPr>
          <w:b/>
          <w:u w:val="single"/>
        </w:rPr>
        <w:t>OTHER REQUIREMENT(S)</w:t>
      </w:r>
    </w:p>
    <w:p w14:paraId="4D113917" w14:textId="77777777" w:rsidR="00AE1D84" w:rsidRPr="00FE0AD0" w:rsidRDefault="00AE1D84" w:rsidP="00F62984">
      <w:pPr>
        <w:jc w:val="both"/>
        <w:rPr>
          <w:sz w:val="20"/>
        </w:rPr>
      </w:pPr>
    </w:p>
    <w:p w14:paraId="28C8095D" w14:textId="77777777" w:rsidR="00C539FA" w:rsidRPr="00794966" w:rsidRDefault="00C539FA" w:rsidP="0047449A">
      <w:pPr>
        <w:numPr>
          <w:ilvl w:val="0"/>
          <w:numId w:val="45"/>
        </w:numPr>
        <w:jc w:val="both"/>
        <w:rPr>
          <w:sz w:val="20"/>
        </w:rPr>
      </w:pPr>
      <w:r>
        <w:rPr>
          <w:sz w:val="20"/>
        </w:rPr>
        <w:t xml:space="preserve">The permittee shall implement, maintain, have on site, and make available for review, the “Compliance Plan for Stationary Internal Combustion Engines” dated April 2006, or any subsequently approved plan that describes how NOx emission rate requirements for EUBG009 will be met during the ozone season.  The permittee shall submit any modifications to this compliance plan to the department for review and approval.  </w:t>
      </w:r>
      <w:r w:rsidRPr="00945720">
        <w:rPr>
          <w:b/>
          <w:sz w:val="20"/>
        </w:rPr>
        <w:t>(R 336.1818(3)(a))</w:t>
      </w:r>
    </w:p>
    <w:p w14:paraId="1D1BFEBE" w14:textId="77777777" w:rsidR="00AE1D84" w:rsidRDefault="00AE1D84" w:rsidP="00F62984">
      <w:pPr>
        <w:jc w:val="both"/>
        <w:rPr>
          <w:sz w:val="20"/>
        </w:rPr>
      </w:pPr>
    </w:p>
    <w:p w14:paraId="56087D37" w14:textId="77777777" w:rsidR="000662AD" w:rsidRPr="00FE0AD0" w:rsidRDefault="000662AD" w:rsidP="00F62984">
      <w:pPr>
        <w:jc w:val="both"/>
        <w:rPr>
          <w:sz w:val="20"/>
        </w:rPr>
      </w:pPr>
    </w:p>
    <w:p w14:paraId="1EB877AE" w14:textId="77777777" w:rsidR="00AE1D84" w:rsidRPr="00B90185" w:rsidRDefault="00AE1D84" w:rsidP="00F62984">
      <w:pPr>
        <w:jc w:val="both"/>
        <w:rPr>
          <w:b/>
          <w:sz w:val="20"/>
        </w:rPr>
      </w:pPr>
      <w:r w:rsidRPr="00B90185">
        <w:rPr>
          <w:b/>
          <w:sz w:val="20"/>
          <w:u w:val="single"/>
        </w:rPr>
        <w:t>Footnotes</w:t>
      </w:r>
      <w:r w:rsidRPr="00B90185">
        <w:rPr>
          <w:b/>
          <w:sz w:val="20"/>
        </w:rPr>
        <w:t>:</w:t>
      </w:r>
    </w:p>
    <w:p w14:paraId="25D419BE"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4EC4518"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72396F8" w14:textId="77777777" w:rsidR="00C539FA" w:rsidRDefault="00C539FA" w:rsidP="00C539FA">
      <w:pPr>
        <w:ind w:left="90" w:hanging="90"/>
        <w:jc w:val="both"/>
        <w:rPr>
          <w:sz w:val="20"/>
        </w:rPr>
      </w:pPr>
      <w:r>
        <w:rPr>
          <w:sz w:val="20"/>
          <w:vertAlign w:val="superscript"/>
        </w:rPr>
        <w:t>3</w:t>
      </w:r>
      <w:r>
        <w:rPr>
          <w:sz w:val="20"/>
        </w:rPr>
        <w:t>This condition was originally established in a Permit to Install (PTI) under the federal PSD Rule for Pollution Control Projects (40 CFR 52.21(z)) and was subsequently vacated by the US Court of Appeals, DC Circuit, on February 8, 2008.</w:t>
      </w:r>
    </w:p>
    <w:p w14:paraId="7B63551F" w14:textId="77777777" w:rsidR="004C69F6" w:rsidRPr="004B4509" w:rsidRDefault="004C69F6" w:rsidP="004B4509">
      <w:pPr>
        <w:rPr>
          <w:sz w:val="20"/>
        </w:rPr>
      </w:pPr>
    </w:p>
    <w:p w14:paraId="2CC58CD6" w14:textId="77777777" w:rsidR="00E14632" w:rsidRPr="00FE0AD0" w:rsidRDefault="00E14632" w:rsidP="00E14632">
      <w:pPr>
        <w:rPr>
          <w:sz w:val="20"/>
        </w:rPr>
      </w:pPr>
    </w:p>
    <w:p w14:paraId="31B8A9E9" w14:textId="77777777" w:rsidR="00A86D8D" w:rsidRPr="007014BE" w:rsidRDefault="00E14632" w:rsidP="007014BE">
      <w:pPr>
        <w:rPr>
          <w:szCs w:val="22"/>
        </w:rPr>
      </w:pPr>
      <w:r>
        <w:br w:type="page"/>
      </w:r>
    </w:p>
    <w:p w14:paraId="145B2404" w14:textId="77777777" w:rsidR="00DB32EE" w:rsidRPr="00C43734" w:rsidRDefault="00DB32EE" w:rsidP="00475C48">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852396"/>
      <w:bookmarkStart w:id="74" w:name="_Toc852727"/>
      <w:bookmarkStart w:id="75" w:name="_Toc2571644"/>
      <w:bookmarkStart w:id="76" w:name="_Toc524520622"/>
      <w:bookmarkStart w:id="77" w:name="_Hlk516651470"/>
      <w:r w:rsidRPr="00C43734">
        <w:rPr>
          <w:bCs/>
          <w:szCs w:val="28"/>
        </w:rPr>
        <w:t>EU</w:t>
      </w:r>
      <w:bookmarkEnd w:id="73"/>
      <w:bookmarkEnd w:id="74"/>
      <w:bookmarkEnd w:id="75"/>
      <w:r>
        <w:rPr>
          <w:bCs/>
          <w:szCs w:val="28"/>
        </w:rPr>
        <w:t>BG011</w:t>
      </w:r>
      <w:bookmarkEnd w:id="76"/>
    </w:p>
    <w:p w14:paraId="0781752A" w14:textId="77777777" w:rsidR="00DB32EE" w:rsidRPr="00EE02F9" w:rsidRDefault="00DB32EE" w:rsidP="00475C48">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77"/>
    <w:p w14:paraId="0C787938" w14:textId="77777777" w:rsidR="00DB32EE" w:rsidRPr="0019740E" w:rsidRDefault="00DB32EE" w:rsidP="00475C48">
      <w:pPr>
        <w:rPr>
          <w:sz w:val="20"/>
        </w:rPr>
      </w:pPr>
    </w:p>
    <w:p w14:paraId="04CF0C39" w14:textId="77777777" w:rsidR="00DB32EE" w:rsidRDefault="00DB32EE" w:rsidP="00475C48">
      <w:pPr>
        <w:jc w:val="both"/>
        <w:rPr>
          <w:b/>
          <w:u w:val="single"/>
        </w:rPr>
      </w:pPr>
      <w:r>
        <w:rPr>
          <w:b/>
          <w:u w:val="single"/>
        </w:rPr>
        <w:t>DESCRIPTION</w:t>
      </w:r>
    </w:p>
    <w:p w14:paraId="1614A700" w14:textId="77777777" w:rsidR="00DB32EE" w:rsidRDefault="00DB32EE" w:rsidP="00475C48">
      <w:pPr>
        <w:jc w:val="both"/>
        <w:rPr>
          <w:sz w:val="20"/>
        </w:rPr>
      </w:pPr>
    </w:p>
    <w:p w14:paraId="315758A2" w14:textId="77777777" w:rsidR="00DB32EE" w:rsidRPr="0019740E" w:rsidRDefault="00DB32EE" w:rsidP="00DB32EE">
      <w:pPr>
        <w:jc w:val="both"/>
        <w:rPr>
          <w:sz w:val="20"/>
        </w:rPr>
      </w:pPr>
      <w:r>
        <w:rPr>
          <w:rFonts w:cs="Arial"/>
          <w:sz w:val="20"/>
        </w:rPr>
        <w:t>Waukesha model H24GL HCR</w:t>
      </w:r>
      <w:r w:rsidR="00E76CEB">
        <w:rPr>
          <w:rFonts w:cs="Arial"/>
          <w:sz w:val="20"/>
        </w:rPr>
        <w:t>;</w:t>
      </w:r>
      <w:r>
        <w:rPr>
          <w:rFonts w:cs="Arial"/>
          <w:sz w:val="20"/>
        </w:rPr>
        <w:t xml:space="preserve"> 585 HP natural gas fired emergency generator</w:t>
      </w:r>
      <w:r w:rsidR="00E76CEB">
        <w:rPr>
          <w:rFonts w:cs="Arial"/>
          <w:sz w:val="20"/>
        </w:rPr>
        <w:t>.  Installed</w:t>
      </w:r>
      <w:r w:rsidR="00F0695C">
        <w:rPr>
          <w:rFonts w:cs="Arial"/>
          <w:sz w:val="20"/>
        </w:rPr>
        <w:t xml:space="preserve"> under e</w:t>
      </w:r>
      <w:r>
        <w:rPr>
          <w:rFonts w:cs="Arial"/>
          <w:sz w:val="20"/>
        </w:rPr>
        <w:t>xemption.</w:t>
      </w:r>
    </w:p>
    <w:p w14:paraId="7EF00A13" w14:textId="77777777" w:rsidR="00DB32EE" w:rsidRPr="0019740E" w:rsidRDefault="00DB32EE" w:rsidP="00475C48">
      <w:pPr>
        <w:jc w:val="both"/>
        <w:rPr>
          <w:sz w:val="20"/>
        </w:rPr>
      </w:pPr>
    </w:p>
    <w:p w14:paraId="59BF8931" w14:textId="77777777" w:rsidR="00DB32EE" w:rsidRPr="00DB32EE" w:rsidRDefault="00DB32EE" w:rsidP="00475C48">
      <w:pPr>
        <w:jc w:val="both"/>
        <w:rPr>
          <w:sz w:val="20"/>
        </w:rPr>
      </w:pPr>
      <w:r w:rsidRPr="00FE0AD0">
        <w:rPr>
          <w:b/>
          <w:sz w:val="20"/>
        </w:rPr>
        <w:t>Flexible Group ID</w:t>
      </w:r>
      <w:r>
        <w:rPr>
          <w:b/>
          <w:sz w:val="20"/>
        </w:rPr>
        <w:t xml:space="preserve">: </w:t>
      </w:r>
      <w:r w:rsidRPr="00DB32EE">
        <w:rPr>
          <w:sz w:val="20"/>
        </w:rPr>
        <w:t>NA</w:t>
      </w:r>
    </w:p>
    <w:p w14:paraId="23FEF43E" w14:textId="77777777" w:rsidR="00DB32EE" w:rsidRPr="0019740E" w:rsidRDefault="00DB32EE" w:rsidP="00475C48">
      <w:pPr>
        <w:tabs>
          <w:tab w:val="left" w:pos="6328"/>
        </w:tabs>
        <w:jc w:val="both"/>
        <w:rPr>
          <w:sz w:val="20"/>
        </w:rPr>
      </w:pPr>
    </w:p>
    <w:p w14:paraId="06ECC764" w14:textId="77777777" w:rsidR="00DB32EE" w:rsidRDefault="00DB32EE" w:rsidP="00475C48">
      <w:pPr>
        <w:jc w:val="both"/>
        <w:rPr>
          <w:b/>
          <w:u w:val="single"/>
        </w:rPr>
      </w:pPr>
      <w:r>
        <w:rPr>
          <w:b/>
          <w:u w:val="single"/>
        </w:rPr>
        <w:t>POLLUTION CONTROL EQUIPMENT</w:t>
      </w:r>
    </w:p>
    <w:p w14:paraId="44AA0B23" w14:textId="77777777" w:rsidR="00DB32EE" w:rsidRDefault="00DB32EE" w:rsidP="00475C48">
      <w:pPr>
        <w:jc w:val="both"/>
      </w:pPr>
    </w:p>
    <w:p w14:paraId="4A7A2650" w14:textId="77777777" w:rsidR="00DB32EE" w:rsidRPr="00DB32EE" w:rsidRDefault="00DB32EE" w:rsidP="00475C48">
      <w:pPr>
        <w:jc w:val="both"/>
        <w:rPr>
          <w:sz w:val="20"/>
        </w:rPr>
      </w:pPr>
      <w:r w:rsidRPr="00DB32EE">
        <w:rPr>
          <w:sz w:val="20"/>
        </w:rPr>
        <w:t>NA</w:t>
      </w:r>
    </w:p>
    <w:p w14:paraId="4B1CBAC8" w14:textId="77777777" w:rsidR="00DB32EE" w:rsidRPr="00906ACF" w:rsidRDefault="00DB32EE" w:rsidP="00475C48">
      <w:pPr>
        <w:jc w:val="both"/>
        <w:rPr>
          <w:sz w:val="20"/>
        </w:rPr>
      </w:pPr>
    </w:p>
    <w:p w14:paraId="28365DD4" w14:textId="77777777" w:rsidR="00DB32EE" w:rsidRPr="00F01FE1" w:rsidRDefault="00DB32EE" w:rsidP="00475C48">
      <w:pPr>
        <w:jc w:val="both"/>
        <w:rPr>
          <w:b/>
          <w:sz w:val="20"/>
          <w:u w:val="single"/>
        </w:rPr>
      </w:pPr>
      <w:r>
        <w:rPr>
          <w:b/>
        </w:rPr>
        <w:t xml:space="preserve">I.  </w:t>
      </w:r>
      <w:r>
        <w:rPr>
          <w:b/>
          <w:u w:val="single"/>
        </w:rPr>
        <w:t>EMISSION LIMIT(S)</w:t>
      </w:r>
    </w:p>
    <w:p w14:paraId="48BA5951" w14:textId="77777777" w:rsidR="00DB32EE" w:rsidRDefault="00DB32EE" w:rsidP="00475C4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B32EE" w14:paraId="1CA3B887"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30016752" w14:textId="77777777" w:rsidR="00DB32EE" w:rsidRPr="00BD3DE3" w:rsidRDefault="00DB32EE" w:rsidP="00475C48">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0E58809" w14:textId="77777777" w:rsidR="00DB32EE" w:rsidRPr="00BD3DE3" w:rsidRDefault="00DB32EE" w:rsidP="00475C4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0A0938B" w14:textId="77777777" w:rsidR="00DB32EE" w:rsidRDefault="00DB32EE" w:rsidP="00475C4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B48FFE7" w14:textId="77777777" w:rsidR="00DB32EE" w:rsidRPr="00BD3DE3" w:rsidRDefault="00DB32EE" w:rsidP="00475C4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A8E3AE6" w14:textId="77777777" w:rsidR="00DB32EE" w:rsidRDefault="00DB32EE" w:rsidP="00475C48">
            <w:pPr>
              <w:jc w:val="center"/>
              <w:rPr>
                <w:b/>
                <w:sz w:val="20"/>
              </w:rPr>
            </w:pPr>
            <w:r>
              <w:rPr>
                <w:b/>
                <w:sz w:val="20"/>
              </w:rPr>
              <w:t>Monitoring/</w:t>
            </w:r>
          </w:p>
          <w:p w14:paraId="6D767EAA" w14:textId="77777777" w:rsidR="00DB32EE" w:rsidRPr="00BD3DE3" w:rsidRDefault="00DB32EE" w:rsidP="00475C4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5E63C49" w14:textId="77777777" w:rsidR="00DB32EE" w:rsidRPr="00BD3DE3" w:rsidRDefault="00DB32EE" w:rsidP="00475C48">
            <w:pPr>
              <w:jc w:val="center"/>
              <w:rPr>
                <w:b/>
                <w:sz w:val="20"/>
              </w:rPr>
            </w:pPr>
            <w:r w:rsidRPr="00BD3DE3">
              <w:rPr>
                <w:b/>
                <w:sz w:val="20"/>
              </w:rPr>
              <w:t>Underlying</w:t>
            </w:r>
            <w:r>
              <w:rPr>
                <w:b/>
                <w:sz w:val="20"/>
              </w:rPr>
              <w:t xml:space="preserve"> </w:t>
            </w:r>
            <w:r w:rsidRPr="00BD3DE3">
              <w:rPr>
                <w:b/>
                <w:sz w:val="20"/>
              </w:rPr>
              <w:t>Applicable Requirements</w:t>
            </w:r>
          </w:p>
        </w:tc>
      </w:tr>
      <w:tr w:rsidR="00DB32EE" w14:paraId="7C92170C" w14:textId="77777777">
        <w:trPr>
          <w:cantSplit/>
        </w:trPr>
        <w:tc>
          <w:tcPr>
            <w:tcW w:w="1627" w:type="dxa"/>
            <w:tcBorders>
              <w:top w:val="single" w:sz="4" w:space="0" w:color="auto"/>
              <w:left w:val="single" w:sz="4" w:space="0" w:color="auto"/>
              <w:bottom w:val="single" w:sz="4" w:space="0" w:color="auto"/>
              <w:right w:val="single" w:sz="4" w:space="0" w:color="auto"/>
            </w:tcBorders>
          </w:tcPr>
          <w:p w14:paraId="4FEADE32" w14:textId="77777777" w:rsidR="00DB32EE" w:rsidRPr="00095B77" w:rsidRDefault="00DB32EE" w:rsidP="00DB32EE">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005B0520" w14:textId="77777777" w:rsidR="00DB32EE" w:rsidRPr="00BD3DE3" w:rsidRDefault="00DB32EE" w:rsidP="00475C48">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3EE051C0" w14:textId="77777777" w:rsidR="00DB32EE" w:rsidRPr="00BD3DE3" w:rsidRDefault="00DB32EE" w:rsidP="00475C48">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3EAD0446" w14:textId="77777777" w:rsidR="00DB32EE" w:rsidRPr="00BD3DE3" w:rsidRDefault="00DB32EE" w:rsidP="00475C4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0E89CB46" w14:textId="77777777" w:rsidR="00DB32EE" w:rsidRPr="00BD3DE3" w:rsidRDefault="00DB32EE" w:rsidP="00475C4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747E7BD" w14:textId="77777777" w:rsidR="00DB32EE" w:rsidRPr="00BD3DE3" w:rsidRDefault="00DB32EE" w:rsidP="00475C48">
            <w:pPr>
              <w:jc w:val="center"/>
              <w:rPr>
                <w:sz w:val="20"/>
              </w:rPr>
            </w:pPr>
            <w:r>
              <w:rPr>
                <w:sz w:val="20"/>
              </w:rPr>
              <w:t>NA</w:t>
            </w:r>
          </w:p>
        </w:tc>
      </w:tr>
    </w:tbl>
    <w:p w14:paraId="0B8B1BF4" w14:textId="77777777" w:rsidR="00DB32EE" w:rsidRPr="00FE0AD0" w:rsidRDefault="00DB32EE" w:rsidP="00475C48">
      <w:pPr>
        <w:jc w:val="both"/>
        <w:rPr>
          <w:sz w:val="20"/>
        </w:rPr>
      </w:pPr>
    </w:p>
    <w:p w14:paraId="72BC0507" w14:textId="77777777" w:rsidR="00DB32EE" w:rsidRDefault="00DB32EE" w:rsidP="00475C48">
      <w:pPr>
        <w:jc w:val="both"/>
        <w:rPr>
          <w:b/>
          <w:u w:val="single"/>
        </w:rPr>
      </w:pPr>
      <w:r>
        <w:rPr>
          <w:b/>
        </w:rPr>
        <w:t xml:space="preserve">II.  </w:t>
      </w:r>
      <w:r>
        <w:rPr>
          <w:b/>
          <w:u w:val="single"/>
        </w:rPr>
        <w:t>MATERIAL LIMIT(S)</w:t>
      </w:r>
    </w:p>
    <w:p w14:paraId="3219CFE2" w14:textId="77777777" w:rsidR="00DB32EE" w:rsidRDefault="00DB32EE" w:rsidP="00475C4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B32EE" w14:paraId="76CCAACA"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2348F223" w14:textId="77777777" w:rsidR="00DB32EE" w:rsidRPr="00BD3DE3" w:rsidRDefault="00DB32EE" w:rsidP="00475C48">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407DE4CF" w14:textId="77777777" w:rsidR="00DB32EE" w:rsidRPr="00BD3DE3" w:rsidRDefault="00DB32EE" w:rsidP="00475C48">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8BFA69A" w14:textId="77777777" w:rsidR="00DB32EE" w:rsidRDefault="00DB32EE" w:rsidP="00475C48">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2B672DC6" w14:textId="77777777" w:rsidR="00DB32EE" w:rsidRPr="00BD3DE3" w:rsidRDefault="00DB32EE" w:rsidP="00475C4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53D7E0" w14:textId="77777777" w:rsidR="00DB32EE" w:rsidRDefault="00DB32EE" w:rsidP="00475C48">
            <w:pPr>
              <w:jc w:val="center"/>
              <w:rPr>
                <w:b/>
                <w:sz w:val="20"/>
              </w:rPr>
            </w:pPr>
            <w:r>
              <w:rPr>
                <w:b/>
                <w:sz w:val="20"/>
              </w:rPr>
              <w:t>Monitoring/</w:t>
            </w:r>
          </w:p>
          <w:p w14:paraId="1B8D8924" w14:textId="77777777" w:rsidR="00DB32EE" w:rsidRPr="00BD3DE3" w:rsidRDefault="00DB32EE" w:rsidP="00475C48">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FD2D89C" w14:textId="77777777" w:rsidR="00DB32EE" w:rsidRPr="00BD3DE3" w:rsidRDefault="00DB32EE" w:rsidP="00475C48">
            <w:pPr>
              <w:jc w:val="center"/>
              <w:rPr>
                <w:b/>
                <w:sz w:val="20"/>
              </w:rPr>
            </w:pPr>
            <w:r w:rsidRPr="00BD3DE3">
              <w:rPr>
                <w:b/>
                <w:sz w:val="20"/>
              </w:rPr>
              <w:t>Underlying</w:t>
            </w:r>
            <w:r>
              <w:rPr>
                <w:b/>
                <w:sz w:val="20"/>
              </w:rPr>
              <w:t xml:space="preserve"> </w:t>
            </w:r>
            <w:r w:rsidRPr="00BD3DE3">
              <w:rPr>
                <w:b/>
                <w:sz w:val="20"/>
              </w:rPr>
              <w:t>Applicable Requirements</w:t>
            </w:r>
          </w:p>
        </w:tc>
      </w:tr>
      <w:tr w:rsidR="00DB32EE" w14:paraId="1568EEFB"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4C10A96" w14:textId="77777777" w:rsidR="00DB32EE" w:rsidRPr="00095B77" w:rsidRDefault="00DB32EE" w:rsidP="00DB32EE">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CBFD212" w14:textId="77777777" w:rsidR="00DB32EE" w:rsidRPr="00BD3DE3" w:rsidRDefault="00DB32EE" w:rsidP="00475C48">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05EAAB26" w14:textId="77777777" w:rsidR="00DB32EE" w:rsidRPr="00BD3DE3" w:rsidRDefault="00DB32EE" w:rsidP="00475C48">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16B48389" w14:textId="77777777" w:rsidR="00DB32EE" w:rsidRPr="00BD3DE3" w:rsidRDefault="00DB32EE" w:rsidP="00475C4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626D120" w14:textId="77777777" w:rsidR="00DB32EE" w:rsidRPr="00BD3DE3" w:rsidRDefault="00DB32EE" w:rsidP="00475C48">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A316E80" w14:textId="77777777" w:rsidR="00DB32EE" w:rsidRPr="00BD3DE3" w:rsidRDefault="00DB32EE" w:rsidP="00475C48">
            <w:pPr>
              <w:jc w:val="center"/>
              <w:rPr>
                <w:sz w:val="20"/>
              </w:rPr>
            </w:pPr>
            <w:r>
              <w:rPr>
                <w:sz w:val="20"/>
              </w:rPr>
              <w:t>NA</w:t>
            </w:r>
          </w:p>
        </w:tc>
      </w:tr>
    </w:tbl>
    <w:p w14:paraId="75A4DBC9" w14:textId="77777777" w:rsidR="00DB32EE" w:rsidRPr="00FE0AD0" w:rsidRDefault="00DB32EE" w:rsidP="00475C48">
      <w:pPr>
        <w:jc w:val="both"/>
        <w:rPr>
          <w:sz w:val="20"/>
        </w:rPr>
      </w:pPr>
    </w:p>
    <w:p w14:paraId="5090AE99" w14:textId="77777777" w:rsidR="00DB32EE" w:rsidRPr="00F01FE1" w:rsidRDefault="00DB32EE" w:rsidP="00475C48">
      <w:pPr>
        <w:jc w:val="both"/>
        <w:rPr>
          <w:b/>
          <w:sz w:val="20"/>
          <w:u w:val="single"/>
        </w:rPr>
      </w:pPr>
      <w:r>
        <w:rPr>
          <w:b/>
        </w:rPr>
        <w:t xml:space="preserve">III.  </w:t>
      </w:r>
      <w:r>
        <w:rPr>
          <w:b/>
          <w:u w:val="single"/>
        </w:rPr>
        <w:t>PROCESS/OPERATIONAL RESTRICTION(S)</w:t>
      </w:r>
      <w:r w:rsidDel="001C614B">
        <w:rPr>
          <w:b/>
          <w:u w:val="single"/>
        </w:rPr>
        <w:t xml:space="preserve"> </w:t>
      </w:r>
    </w:p>
    <w:p w14:paraId="5986F1BB" w14:textId="77777777" w:rsidR="00DB32EE" w:rsidRPr="00FB6071" w:rsidRDefault="00DB32EE" w:rsidP="00475C48">
      <w:pPr>
        <w:jc w:val="both"/>
        <w:rPr>
          <w:sz w:val="20"/>
        </w:rPr>
      </w:pPr>
    </w:p>
    <w:p w14:paraId="28F47E15" w14:textId="77777777" w:rsidR="005E74F9" w:rsidRPr="0053799B" w:rsidRDefault="005E74F9" w:rsidP="005E74F9">
      <w:pPr>
        <w:pStyle w:val="NormalWeb"/>
        <w:spacing w:before="0" w:beforeAutospacing="0" w:after="0" w:afterAutospacing="0"/>
        <w:ind w:left="360" w:hanging="360"/>
        <w:jc w:val="both"/>
        <w:rPr>
          <w:rFonts w:ascii="Arial" w:hAnsi="Arial" w:cs="Arial"/>
          <w:sz w:val="20"/>
          <w:szCs w:val="20"/>
        </w:rPr>
      </w:pPr>
      <w:r>
        <w:rPr>
          <w:rFonts w:ascii="Arial" w:hAnsi="Arial" w:cs="Arial"/>
          <w:sz w:val="20"/>
          <w:szCs w:val="20"/>
        </w:rPr>
        <w:t xml:space="preserve">1.    </w:t>
      </w:r>
      <w:r w:rsidRPr="0053799B">
        <w:rPr>
          <w:rFonts w:ascii="Arial" w:hAnsi="Arial" w:cs="Arial"/>
          <w:sz w:val="20"/>
          <w:szCs w:val="20"/>
        </w:rPr>
        <w:t>If you own or operate an emergency stationary RICE, you must operate the emergency stationary RICE according to the requirements in paragraphs (f)(1) through (4) of this section.</w:t>
      </w:r>
      <w:r w:rsidR="006549C9">
        <w:rPr>
          <w:rFonts w:ascii="Arial" w:hAnsi="Arial" w:cs="Arial"/>
          <w:sz w:val="20"/>
          <w:szCs w:val="20"/>
        </w:rPr>
        <w:t xml:space="preserve"> </w:t>
      </w:r>
      <w:r w:rsidRPr="0053799B">
        <w:rPr>
          <w:rFonts w:ascii="Arial" w:hAnsi="Arial" w:cs="Arial"/>
          <w:sz w:val="20"/>
          <w:szCs w:val="20"/>
        </w:rPr>
        <w:t xml:space="preserve"> In order for the engine to be considered an emergency stationary RICE under this subpart, any operation other than emergency operation, maintenance and testing, emergency demand response, and operation in non-emergency situations for 50 hours per year, as described in paragraphs (f)(1) through (4) of this section, is prohibited.</w:t>
      </w:r>
      <w:r w:rsidR="006549C9">
        <w:rPr>
          <w:rFonts w:ascii="Arial" w:hAnsi="Arial" w:cs="Arial"/>
          <w:sz w:val="20"/>
          <w:szCs w:val="20"/>
        </w:rPr>
        <w:t xml:space="preserve"> </w:t>
      </w:r>
      <w:r w:rsidRPr="0053799B">
        <w:rPr>
          <w:rFonts w:ascii="Arial" w:hAnsi="Arial" w:cs="Arial"/>
          <w:sz w:val="20"/>
          <w:szCs w:val="20"/>
        </w:rPr>
        <w:t xml:space="preserve"> If you do not operate the engine according to the requirements in paragraphs (f)(1) through (4) of this section, the engine will not be considered an emergency engine under this subpart and must meet all requirements for non-emergency engines</w:t>
      </w:r>
      <w:r w:rsidR="00F0695C">
        <w:rPr>
          <w:rFonts w:ascii="Arial" w:hAnsi="Arial" w:cs="Arial"/>
          <w:sz w:val="20"/>
          <w:szCs w:val="20"/>
        </w:rPr>
        <w:t>:</w:t>
      </w:r>
      <w:r w:rsidRPr="0053799B">
        <w:rPr>
          <w:rFonts w:ascii="Arial" w:hAnsi="Arial" w:cs="Arial"/>
          <w:sz w:val="20"/>
          <w:szCs w:val="20"/>
        </w:rPr>
        <w:t xml:space="preserve">  </w:t>
      </w:r>
      <w:r w:rsidRPr="0053799B">
        <w:rPr>
          <w:b/>
          <w:sz w:val="20"/>
        </w:rPr>
        <w:t>(</w:t>
      </w:r>
      <w:r w:rsidRPr="0053799B">
        <w:rPr>
          <w:rFonts w:ascii="Arial" w:hAnsi="Arial" w:cs="Arial"/>
          <w:b/>
          <w:sz w:val="20"/>
        </w:rPr>
        <w:t>40 CFR 63.6640(f))</w:t>
      </w:r>
    </w:p>
    <w:p w14:paraId="4695BBBA" w14:textId="77777777" w:rsidR="005E74F9" w:rsidRPr="0053799B" w:rsidRDefault="005E74F9" w:rsidP="005E74F9">
      <w:pPr>
        <w:pStyle w:val="NormalWeb"/>
        <w:spacing w:before="0" w:beforeAutospacing="0" w:after="0" w:afterAutospacing="0"/>
        <w:ind w:left="720" w:hanging="360"/>
        <w:jc w:val="both"/>
        <w:rPr>
          <w:rFonts w:ascii="Arial" w:hAnsi="Arial" w:cs="Arial"/>
          <w:b/>
          <w:sz w:val="20"/>
        </w:rPr>
      </w:pPr>
      <w:r w:rsidRPr="0053799B">
        <w:rPr>
          <w:rFonts w:ascii="Arial" w:hAnsi="Arial" w:cs="Arial"/>
          <w:sz w:val="20"/>
          <w:szCs w:val="20"/>
        </w:rPr>
        <w:t xml:space="preserve">a. </w:t>
      </w:r>
      <w:r w:rsidRPr="0053799B">
        <w:rPr>
          <w:rFonts w:ascii="Arial" w:hAnsi="Arial" w:cs="Arial"/>
          <w:sz w:val="20"/>
          <w:szCs w:val="20"/>
        </w:rPr>
        <w:tab/>
        <w:t>There is no time limit on the use of emergency stationary RICE in emergency situations.</w:t>
      </w:r>
      <w:r w:rsidRPr="0053799B">
        <w:rPr>
          <w:b/>
          <w:sz w:val="20"/>
        </w:rPr>
        <w:t xml:space="preserve">  (</w:t>
      </w:r>
      <w:r w:rsidRPr="0053799B">
        <w:rPr>
          <w:rFonts w:ascii="Arial" w:hAnsi="Arial" w:cs="Arial"/>
          <w:b/>
          <w:sz w:val="20"/>
        </w:rPr>
        <w:t>40 CFR 63.6640(f)(1))</w:t>
      </w:r>
    </w:p>
    <w:p w14:paraId="794FAF13" w14:textId="77777777" w:rsidR="005E74F9" w:rsidRPr="0053799B" w:rsidRDefault="005E74F9" w:rsidP="005E74F9">
      <w:pPr>
        <w:pStyle w:val="NormalWeb"/>
        <w:spacing w:before="0" w:beforeAutospacing="0" w:after="0" w:afterAutospacing="0"/>
        <w:ind w:left="720" w:hanging="360"/>
        <w:jc w:val="both"/>
        <w:rPr>
          <w:rFonts w:ascii="Arial" w:hAnsi="Arial" w:cs="Arial"/>
          <w:sz w:val="20"/>
          <w:szCs w:val="20"/>
        </w:rPr>
      </w:pPr>
      <w:r w:rsidRPr="0053799B">
        <w:rPr>
          <w:rFonts w:ascii="Arial" w:hAnsi="Arial" w:cs="Arial"/>
          <w:sz w:val="20"/>
          <w:szCs w:val="20"/>
        </w:rPr>
        <w:t xml:space="preserve">b.  You may operate your emergency stationary RICE for any combination of the purposes specified in paragraphs (f)(2)(i) through (iii) of this section for a maximum of 100 hours per calendar year. </w:t>
      </w:r>
      <w:r w:rsidR="006549C9">
        <w:rPr>
          <w:rFonts w:ascii="Arial" w:hAnsi="Arial" w:cs="Arial"/>
          <w:sz w:val="20"/>
          <w:szCs w:val="20"/>
        </w:rPr>
        <w:t xml:space="preserve"> </w:t>
      </w:r>
      <w:r w:rsidRPr="0053799B">
        <w:rPr>
          <w:rFonts w:ascii="Arial" w:hAnsi="Arial" w:cs="Arial"/>
          <w:sz w:val="20"/>
          <w:szCs w:val="20"/>
        </w:rPr>
        <w:t>Any operation for non-emergency situations as allowed by paragraphs (f)(3) and (4) of this section counts as part of the 100 hours per calendar year allowed by this paragraph (f)(2)</w:t>
      </w:r>
      <w:r w:rsidR="00F0695C">
        <w:rPr>
          <w:rFonts w:ascii="Arial" w:hAnsi="Arial" w:cs="Arial"/>
          <w:sz w:val="20"/>
          <w:szCs w:val="20"/>
        </w:rPr>
        <w:t>:</w:t>
      </w:r>
    </w:p>
    <w:p w14:paraId="00FC6A50" w14:textId="02AD3D43" w:rsidR="005E74F9" w:rsidRPr="0053799B" w:rsidRDefault="005E74F9" w:rsidP="009D7A70">
      <w:pPr>
        <w:pStyle w:val="NormalWeb"/>
        <w:spacing w:before="0" w:beforeAutospacing="0" w:after="0" w:afterAutospacing="0"/>
        <w:ind w:left="900" w:hanging="180"/>
        <w:jc w:val="both"/>
        <w:rPr>
          <w:rFonts w:ascii="Arial" w:hAnsi="Arial" w:cs="Arial"/>
          <w:sz w:val="20"/>
          <w:szCs w:val="20"/>
        </w:rPr>
      </w:pPr>
      <w:r w:rsidRPr="0053799B">
        <w:rPr>
          <w:rFonts w:ascii="Arial" w:hAnsi="Arial" w:cs="Arial"/>
          <w:sz w:val="20"/>
          <w:szCs w:val="20"/>
        </w:rPr>
        <w:t>i</w:t>
      </w:r>
      <w:r w:rsidR="006549C9">
        <w:rPr>
          <w:rFonts w:ascii="Arial" w:hAnsi="Arial" w:cs="Arial"/>
          <w:sz w:val="20"/>
          <w:szCs w:val="20"/>
        </w:rPr>
        <w:t>.</w:t>
      </w:r>
      <w:r w:rsidRPr="0053799B">
        <w:rPr>
          <w:rFonts w:ascii="Arial" w:hAnsi="Arial" w:cs="Arial"/>
          <w:sz w:val="20"/>
          <w:szCs w:val="20"/>
        </w:rPr>
        <w:t xml:space="preserve">  Emergency stationary RICE may be operated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w:t>
      </w:r>
    </w:p>
    <w:p w14:paraId="6E871CA8" w14:textId="40846B39" w:rsidR="005E74F9" w:rsidRPr="0053799B" w:rsidRDefault="005E74F9" w:rsidP="00A85B2C">
      <w:pPr>
        <w:pStyle w:val="NormalWeb"/>
        <w:spacing w:before="0" w:beforeAutospacing="0" w:after="0" w:afterAutospacing="0"/>
        <w:ind w:left="900" w:hanging="180"/>
        <w:jc w:val="both"/>
        <w:rPr>
          <w:rFonts w:ascii="Arial" w:hAnsi="Arial" w:cs="Arial"/>
          <w:sz w:val="20"/>
          <w:szCs w:val="20"/>
        </w:rPr>
      </w:pPr>
      <w:r w:rsidRPr="0053799B">
        <w:rPr>
          <w:rFonts w:ascii="Arial" w:hAnsi="Arial" w:cs="Arial"/>
          <w:sz w:val="20"/>
          <w:szCs w:val="20"/>
        </w:rPr>
        <w:t>ii</w:t>
      </w:r>
      <w:r w:rsidR="006549C9">
        <w:rPr>
          <w:rFonts w:ascii="Arial" w:hAnsi="Arial" w:cs="Arial"/>
          <w:sz w:val="20"/>
          <w:szCs w:val="20"/>
        </w:rPr>
        <w:t>.</w:t>
      </w:r>
      <w:r w:rsidR="00A85B2C">
        <w:rPr>
          <w:rFonts w:ascii="Arial" w:hAnsi="Arial" w:cs="Arial"/>
          <w:sz w:val="20"/>
          <w:szCs w:val="20"/>
        </w:rPr>
        <w:t xml:space="preserve"> </w:t>
      </w:r>
      <w:r w:rsidRPr="0053799B">
        <w:rPr>
          <w:rFonts w:ascii="Arial" w:hAnsi="Arial" w:cs="Arial"/>
          <w:sz w:val="20"/>
          <w:szCs w:val="20"/>
        </w:rPr>
        <w:t xml:space="preserve">Emergency stationary RICE may be operated for emergency demand response for periods in which the Reliability Coordinator under the North American Electric Reliability Corporation (NERC) Reliability Standard EOP-002-3, Capacity and Energy Emergencies (incorporated by reference, see </w:t>
      </w:r>
      <w:r w:rsidR="006549C9">
        <w:rPr>
          <w:rFonts w:ascii="Arial" w:hAnsi="Arial" w:cs="Arial"/>
          <w:sz w:val="20"/>
          <w:szCs w:val="20"/>
        </w:rPr>
        <w:t>40 CFR </w:t>
      </w:r>
      <w:r w:rsidRPr="0053799B">
        <w:rPr>
          <w:rFonts w:ascii="Arial" w:hAnsi="Arial" w:cs="Arial"/>
          <w:sz w:val="20"/>
          <w:szCs w:val="20"/>
        </w:rPr>
        <w:t>63.14), or other authorized entity as determined by the Reliability Coordinator, has declared an Energy Emergency Alert Level 2 as defined in the NERC Reliability Standard EOP-002-3.</w:t>
      </w:r>
    </w:p>
    <w:p w14:paraId="50634F91" w14:textId="27F98677" w:rsidR="005E74F9" w:rsidRPr="0053799B" w:rsidRDefault="005E74F9" w:rsidP="00A85B2C">
      <w:pPr>
        <w:pStyle w:val="NormalWeb"/>
        <w:spacing w:before="0" w:beforeAutospacing="0" w:after="0" w:afterAutospacing="0"/>
        <w:ind w:left="990" w:hanging="270"/>
        <w:jc w:val="both"/>
        <w:rPr>
          <w:rFonts w:ascii="Arial" w:hAnsi="Arial" w:cs="Arial"/>
          <w:sz w:val="20"/>
          <w:szCs w:val="20"/>
        </w:rPr>
      </w:pPr>
      <w:r w:rsidRPr="0053799B">
        <w:rPr>
          <w:rFonts w:ascii="Arial" w:hAnsi="Arial" w:cs="Arial"/>
          <w:sz w:val="20"/>
          <w:szCs w:val="20"/>
        </w:rPr>
        <w:t>iii</w:t>
      </w:r>
      <w:r w:rsidR="006549C9">
        <w:rPr>
          <w:rFonts w:ascii="Arial" w:hAnsi="Arial" w:cs="Arial"/>
          <w:sz w:val="20"/>
          <w:szCs w:val="20"/>
        </w:rPr>
        <w:t>.</w:t>
      </w:r>
      <w:r w:rsidRPr="0053799B">
        <w:rPr>
          <w:rFonts w:ascii="Arial" w:hAnsi="Arial" w:cs="Arial"/>
          <w:sz w:val="20"/>
          <w:szCs w:val="20"/>
        </w:rPr>
        <w:t xml:space="preserve"> Emergency stationary RICE may be operated for periods where there is a deviation of voltage or frequency of 5 percent or greater below standard voltage or frequency.</w:t>
      </w:r>
      <w:r w:rsidR="006549C9">
        <w:rPr>
          <w:rFonts w:ascii="Arial" w:hAnsi="Arial" w:cs="Arial"/>
          <w:sz w:val="20"/>
          <w:szCs w:val="20"/>
        </w:rPr>
        <w:t xml:space="preserve"> </w:t>
      </w:r>
      <w:r>
        <w:rPr>
          <w:rFonts w:ascii="Arial" w:hAnsi="Arial" w:cs="Arial"/>
          <w:sz w:val="20"/>
          <w:szCs w:val="20"/>
        </w:rPr>
        <w:t xml:space="preserve"> </w:t>
      </w:r>
      <w:r w:rsidRPr="0053799B">
        <w:rPr>
          <w:rFonts w:ascii="Arial" w:hAnsi="Arial" w:cs="Arial"/>
          <w:b/>
          <w:bCs/>
          <w:sz w:val="20"/>
          <w:szCs w:val="20"/>
        </w:rPr>
        <w:t>(40 CFR 63.6640(f)(2)(i))</w:t>
      </w:r>
    </w:p>
    <w:p w14:paraId="0CF060B2" w14:textId="77777777" w:rsidR="005E74F9" w:rsidRPr="0053799B" w:rsidRDefault="005E74F9" w:rsidP="005E74F9">
      <w:pPr>
        <w:pStyle w:val="NormalWeb"/>
        <w:spacing w:before="0" w:beforeAutospacing="0" w:after="0" w:afterAutospacing="0"/>
        <w:ind w:left="720" w:hanging="360"/>
        <w:jc w:val="both"/>
        <w:rPr>
          <w:rFonts w:ascii="Arial" w:hAnsi="Arial" w:cs="Arial"/>
          <w:sz w:val="20"/>
          <w:szCs w:val="20"/>
        </w:rPr>
      </w:pPr>
      <w:r w:rsidRPr="0053799B">
        <w:rPr>
          <w:rFonts w:ascii="Arial" w:hAnsi="Arial" w:cs="Arial"/>
          <w:sz w:val="20"/>
          <w:szCs w:val="20"/>
        </w:rPr>
        <w:t xml:space="preserve">c. </w:t>
      </w:r>
      <w:r w:rsidRPr="0053799B">
        <w:rPr>
          <w:rFonts w:ascii="Arial" w:hAnsi="Arial" w:cs="Arial"/>
          <w:sz w:val="20"/>
          <w:szCs w:val="20"/>
        </w:rPr>
        <w:tab/>
        <w:t xml:space="preserve">Emergency stationary RICE located at major sources of HAP may be operated for up to 50 hours per calendar year in non-emergency situations. </w:t>
      </w:r>
      <w:r w:rsidR="006549C9">
        <w:rPr>
          <w:rFonts w:ascii="Arial" w:hAnsi="Arial" w:cs="Arial"/>
          <w:sz w:val="20"/>
          <w:szCs w:val="20"/>
        </w:rPr>
        <w:t xml:space="preserve"> </w:t>
      </w:r>
      <w:r w:rsidRPr="0053799B">
        <w:rPr>
          <w:rFonts w:ascii="Arial" w:hAnsi="Arial" w:cs="Arial"/>
          <w:sz w:val="20"/>
          <w:szCs w:val="20"/>
        </w:rPr>
        <w:t>The 50 hours of operation in non-emergency situations are counted as part of the 100 hours per calendar year for maintenance and testing and emergency demand response provided in paragraph (f)(2) of this section.</w:t>
      </w:r>
      <w:r w:rsidR="006549C9">
        <w:rPr>
          <w:rFonts w:ascii="Arial" w:hAnsi="Arial" w:cs="Arial"/>
          <w:sz w:val="20"/>
          <w:szCs w:val="20"/>
        </w:rPr>
        <w:t xml:space="preserve"> </w:t>
      </w:r>
      <w:r w:rsidRPr="0053799B">
        <w:rPr>
          <w:rFonts w:ascii="Arial" w:hAnsi="Arial" w:cs="Arial"/>
          <w:sz w:val="20"/>
          <w:szCs w:val="20"/>
        </w:rPr>
        <w:t xml:space="preserve"> The 50 hours per year for non-emergency situations cannot be used for peak shaving or non-emergency demand response, or to generate income for a facility to supply power to an electric grid or otherwise supply power as part of a financial arrangement with another entity.  </w:t>
      </w:r>
      <w:r w:rsidRPr="0053799B">
        <w:rPr>
          <w:b/>
          <w:sz w:val="20"/>
        </w:rPr>
        <w:t>(</w:t>
      </w:r>
      <w:r w:rsidRPr="0053799B">
        <w:rPr>
          <w:rFonts w:ascii="Arial" w:hAnsi="Arial" w:cs="Arial"/>
          <w:b/>
          <w:sz w:val="20"/>
        </w:rPr>
        <w:t>40 CFR 63.6640(f)(3))</w:t>
      </w:r>
    </w:p>
    <w:p w14:paraId="7CBA392B" w14:textId="77777777" w:rsidR="00DB32EE" w:rsidRPr="00984760" w:rsidRDefault="00DB32EE" w:rsidP="005E74F9">
      <w:pPr>
        <w:jc w:val="both"/>
        <w:rPr>
          <w:sz w:val="20"/>
        </w:rPr>
      </w:pPr>
    </w:p>
    <w:p w14:paraId="0F3022C8" w14:textId="77777777" w:rsidR="00DB32EE" w:rsidRPr="00F01FE1" w:rsidRDefault="00DB32EE" w:rsidP="00475C48">
      <w:pPr>
        <w:jc w:val="both"/>
        <w:rPr>
          <w:b/>
          <w:sz w:val="20"/>
          <w:u w:val="single"/>
        </w:rPr>
      </w:pPr>
      <w:r w:rsidRPr="00FB6071">
        <w:rPr>
          <w:b/>
        </w:rPr>
        <w:t xml:space="preserve">IV.  </w:t>
      </w:r>
      <w:r w:rsidRPr="00FB6071">
        <w:rPr>
          <w:b/>
          <w:u w:val="single"/>
        </w:rPr>
        <w:t>DESIGN</w:t>
      </w:r>
      <w:r>
        <w:rPr>
          <w:b/>
          <w:u w:val="single"/>
        </w:rPr>
        <w:t>/EQUIPMENT PARAMETER(S)</w:t>
      </w:r>
    </w:p>
    <w:p w14:paraId="44B30562" w14:textId="77777777" w:rsidR="00DB32EE" w:rsidRPr="00FE0AD0" w:rsidRDefault="00DB32EE" w:rsidP="00475C48">
      <w:pPr>
        <w:jc w:val="both"/>
        <w:rPr>
          <w:b/>
          <w:sz w:val="20"/>
          <w:u w:val="single"/>
        </w:rPr>
      </w:pPr>
    </w:p>
    <w:p w14:paraId="22E25952" w14:textId="77777777" w:rsidR="00DB32EE" w:rsidRPr="00984760" w:rsidRDefault="00BD60C8" w:rsidP="00BD60C8">
      <w:pPr>
        <w:jc w:val="both"/>
        <w:rPr>
          <w:sz w:val="20"/>
        </w:rPr>
      </w:pPr>
      <w:r>
        <w:rPr>
          <w:sz w:val="20"/>
        </w:rPr>
        <w:t>NA</w:t>
      </w:r>
    </w:p>
    <w:p w14:paraId="608954A9" w14:textId="77777777" w:rsidR="00DB32EE" w:rsidRPr="00FE0AD0" w:rsidRDefault="00DB32EE" w:rsidP="00475C48">
      <w:pPr>
        <w:jc w:val="both"/>
        <w:rPr>
          <w:sz w:val="20"/>
        </w:rPr>
      </w:pPr>
    </w:p>
    <w:p w14:paraId="0F81C83D" w14:textId="77777777" w:rsidR="00DB32EE" w:rsidRPr="00887915" w:rsidRDefault="00DB32EE" w:rsidP="00475C48">
      <w:pPr>
        <w:jc w:val="both"/>
        <w:rPr>
          <w:b/>
          <w:u w:val="single"/>
          <w:vertAlign w:val="superscript"/>
        </w:rPr>
      </w:pPr>
      <w:r>
        <w:rPr>
          <w:b/>
        </w:rPr>
        <w:t xml:space="preserve">V.  </w:t>
      </w:r>
      <w:r>
        <w:rPr>
          <w:b/>
          <w:u w:val="single"/>
        </w:rPr>
        <w:t>TESTING/SAMPLING</w:t>
      </w:r>
    </w:p>
    <w:p w14:paraId="00EB94C5" w14:textId="77777777" w:rsidR="00DB32EE" w:rsidRPr="00FE0AD0" w:rsidRDefault="00DB32EE" w:rsidP="00475C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B6FD6A" w14:textId="77777777" w:rsidR="00DB32EE" w:rsidRPr="00E873CB" w:rsidRDefault="00DB32EE" w:rsidP="00475C48">
      <w:pPr>
        <w:ind w:right="72"/>
        <w:jc w:val="both"/>
        <w:rPr>
          <w:rFonts w:cs="Arial"/>
          <w:sz w:val="20"/>
        </w:rPr>
      </w:pPr>
    </w:p>
    <w:p w14:paraId="4F24C006" w14:textId="77777777" w:rsidR="00DB32EE" w:rsidRPr="006D2B16" w:rsidRDefault="006D2B16" w:rsidP="00475C48">
      <w:pPr>
        <w:jc w:val="both"/>
        <w:rPr>
          <w:sz w:val="20"/>
        </w:rPr>
      </w:pPr>
      <w:r>
        <w:rPr>
          <w:sz w:val="20"/>
        </w:rPr>
        <w:t>NA</w:t>
      </w:r>
    </w:p>
    <w:p w14:paraId="4FE7766D" w14:textId="77777777" w:rsidR="00DB32EE" w:rsidRPr="00FE0AD0" w:rsidRDefault="00DB32EE" w:rsidP="00475C48">
      <w:pPr>
        <w:jc w:val="both"/>
        <w:rPr>
          <w:sz w:val="20"/>
        </w:rPr>
      </w:pPr>
    </w:p>
    <w:p w14:paraId="7DB7220A" w14:textId="77777777" w:rsidR="00DB32EE" w:rsidRDefault="00DB32EE" w:rsidP="00475C48">
      <w:pPr>
        <w:jc w:val="both"/>
      </w:pPr>
      <w:r>
        <w:rPr>
          <w:b/>
        </w:rPr>
        <w:t xml:space="preserve">VI.  </w:t>
      </w:r>
      <w:r>
        <w:rPr>
          <w:b/>
          <w:u w:val="single"/>
        </w:rPr>
        <w:t>MONITORING/RECORDKEEPING</w:t>
      </w:r>
    </w:p>
    <w:p w14:paraId="75A1CFCB" w14:textId="77777777" w:rsidR="00DB32EE" w:rsidRPr="00FE0AD0" w:rsidRDefault="00DB32EE" w:rsidP="00475C48">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AD89D1" w14:textId="77777777" w:rsidR="00DB32EE" w:rsidRDefault="00DB32EE" w:rsidP="00475C48">
      <w:pPr>
        <w:jc w:val="both"/>
        <w:rPr>
          <w:sz w:val="20"/>
        </w:rPr>
      </w:pPr>
    </w:p>
    <w:p w14:paraId="2B8D067F" w14:textId="2AA8555A" w:rsidR="006D2B16" w:rsidRDefault="006D2B16" w:rsidP="006D2B16">
      <w:pPr>
        <w:ind w:left="360" w:hanging="360"/>
        <w:jc w:val="both"/>
        <w:rPr>
          <w:b/>
          <w:sz w:val="20"/>
        </w:rPr>
      </w:pPr>
      <w:r>
        <w:rPr>
          <w:sz w:val="20"/>
        </w:rPr>
        <w:t>1.</w:t>
      </w:r>
      <w:r>
        <w:rPr>
          <w:sz w:val="20"/>
        </w:rPr>
        <w:tab/>
        <w:t xml:space="preserve">Records of the occurrence and duration of each malfunction of operation or the air pollution control monitoring equipment. </w:t>
      </w:r>
      <w:r w:rsidR="006549C9">
        <w:rPr>
          <w:sz w:val="20"/>
        </w:rPr>
        <w:t xml:space="preserve"> </w:t>
      </w:r>
      <w:r w:rsidRPr="006D2B16">
        <w:rPr>
          <w:b/>
          <w:sz w:val="20"/>
        </w:rPr>
        <w:t>(40 CFR 63.6655(a)(2), 40 CFR 63.6660)</w:t>
      </w:r>
    </w:p>
    <w:p w14:paraId="5C3EFB5E" w14:textId="77777777" w:rsidR="006D2B16" w:rsidRPr="00984760" w:rsidRDefault="006D2B16" w:rsidP="006D2B16">
      <w:pPr>
        <w:ind w:left="360" w:hanging="360"/>
        <w:jc w:val="both"/>
        <w:rPr>
          <w:sz w:val="20"/>
        </w:rPr>
      </w:pPr>
    </w:p>
    <w:p w14:paraId="773E3F0E" w14:textId="77777777" w:rsidR="006D2B16" w:rsidRDefault="006D2B16" w:rsidP="006D2B16">
      <w:pPr>
        <w:ind w:left="360" w:hanging="360"/>
        <w:jc w:val="both"/>
        <w:rPr>
          <w:b/>
          <w:sz w:val="20"/>
        </w:rPr>
      </w:pPr>
      <w:r>
        <w:rPr>
          <w:sz w:val="20"/>
        </w:rPr>
        <w:t>2.</w:t>
      </w:r>
      <w:r>
        <w:rPr>
          <w:sz w:val="20"/>
        </w:rPr>
        <w:tab/>
        <w:t xml:space="preserve">Records of actions taken during periods of malfunction to minimize emissions, including corrective actions to restore malfunctioning process and air pollution control and monitoring equipment to its normal or usual manner of operation.  </w:t>
      </w:r>
      <w:r w:rsidRPr="006D2B16">
        <w:rPr>
          <w:b/>
          <w:sz w:val="20"/>
        </w:rPr>
        <w:t>(40 CFR 63.6655(a)(5), 40 CFR 63.6660, 40 CFR 63.6605(b))</w:t>
      </w:r>
    </w:p>
    <w:p w14:paraId="2A05EA3B" w14:textId="77777777" w:rsidR="006D2B16" w:rsidRPr="00984760" w:rsidRDefault="006D2B16" w:rsidP="006D2B16">
      <w:pPr>
        <w:ind w:left="360" w:hanging="360"/>
        <w:jc w:val="both"/>
        <w:rPr>
          <w:sz w:val="20"/>
        </w:rPr>
      </w:pPr>
    </w:p>
    <w:p w14:paraId="3FF7B3DF" w14:textId="16DF3A89" w:rsidR="006D2B16" w:rsidRPr="006D2B16" w:rsidRDefault="006D2B16" w:rsidP="006D2B16">
      <w:pPr>
        <w:ind w:left="360" w:hanging="360"/>
        <w:jc w:val="both"/>
        <w:rPr>
          <w:b/>
          <w:sz w:val="20"/>
        </w:rPr>
      </w:pPr>
      <w:r>
        <w:rPr>
          <w:sz w:val="20"/>
        </w:rPr>
        <w:t>3.</w:t>
      </w:r>
      <w:r>
        <w:rPr>
          <w:sz w:val="20"/>
        </w:rPr>
        <w:tab/>
        <w:t xml:space="preserve">Records to demonstrate compliance with the operating limitations in SC III.1.  </w:t>
      </w:r>
      <w:r w:rsidRPr="006D2B16">
        <w:rPr>
          <w:b/>
          <w:sz w:val="20"/>
        </w:rPr>
        <w:t>(40 CFR 63.6655(d), 40 CFR 63.6660)</w:t>
      </w:r>
    </w:p>
    <w:p w14:paraId="1CBC5512" w14:textId="77777777" w:rsidR="006D2B16" w:rsidRPr="00E873CB" w:rsidRDefault="006D2B16" w:rsidP="006D2B16">
      <w:pPr>
        <w:jc w:val="both"/>
        <w:rPr>
          <w:rFonts w:cs="Arial"/>
          <w:sz w:val="20"/>
        </w:rPr>
      </w:pPr>
    </w:p>
    <w:p w14:paraId="00184BF7" w14:textId="0CD54F46" w:rsidR="006D2B16" w:rsidRDefault="00C1649D" w:rsidP="0047449A">
      <w:pPr>
        <w:pStyle w:val="ListParagraph"/>
        <w:numPr>
          <w:ilvl w:val="0"/>
          <w:numId w:val="41"/>
        </w:numPr>
        <w:jc w:val="both"/>
        <w:rPr>
          <w:rFonts w:cs="Arial"/>
          <w:b/>
          <w:sz w:val="20"/>
        </w:rPr>
      </w:pPr>
      <w:r>
        <w:rPr>
          <w:rFonts w:cs="Arial"/>
          <w:sz w:val="20"/>
        </w:rPr>
        <w:t xml:space="preserve">Records of the maintenance conducted to demonstrate the stationary RICE was operated and maintained according to the manufacturer’s emission related written instructions or developed maintenance plan.  </w:t>
      </w:r>
      <w:r w:rsidRPr="00C1649D">
        <w:rPr>
          <w:rFonts w:cs="Arial"/>
          <w:b/>
          <w:sz w:val="20"/>
        </w:rPr>
        <w:t>(40 CFR 63.6655(e), 40 CFR 63.6660</w:t>
      </w:r>
      <w:r>
        <w:rPr>
          <w:rFonts w:cs="Arial"/>
          <w:b/>
          <w:sz w:val="20"/>
        </w:rPr>
        <w:t>)</w:t>
      </w:r>
    </w:p>
    <w:p w14:paraId="3F26ED97" w14:textId="77777777" w:rsidR="00C1649D" w:rsidRDefault="00C1649D" w:rsidP="00C1649D">
      <w:pPr>
        <w:pStyle w:val="ListParagraph"/>
        <w:ind w:left="360"/>
        <w:jc w:val="both"/>
        <w:rPr>
          <w:rFonts w:cs="Arial"/>
          <w:b/>
          <w:sz w:val="20"/>
        </w:rPr>
      </w:pPr>
    </w:p>
    <w:p w14:paraId="53758FCC" w14:textId="6E4ED810" w:rsidR="00DB32EE" w:rsidRPr="00C1649D" w:rsidRDefault="00C1649D" w:rsidP="0047449A">
      <w:pPr>
        <w:pStyle w:val="ListParagraph"/>
        <w:numPr>
          <w:ilvl w:val="0"/>
          <w:numId w:val="41"/>
        </w:numPr>
        <w:jc w:val="both"/>
        <w:rPr>
          <w:rFonts w:cs="Arial"/>
          <w:b/>
          <w:sz w:val="20"/>
        </w:rPr>
      </w:pPr>
      <w:r>
        <w:rPr>
          <w:rFonts w:cs="Arial"/>
          <w:sz w:val="20"/>
        </w:rPr>
        <w:t xml:space="preserve">Records of hours of operation recorded through the non-resettable hour meter.  The permittee shall document how many hours were spent during emergency operation, including what classified the operation as emergency and how many hours were spent during non-emergency operation.  </w:t>
      </w:r>
      <w:r w:rsidRPr="00C1649D">
        <w:rPr>
          <w:rFonts w:cs="Arial"/>
          <w:b/>
          <w:sz w:val="20"/>
        </w:rPr>
        <w:t>(40 CFR 63.6655(f), 40 CFR 63.6660)</w:t>
      </w:r>
    </w:p>
    <w:p w14:paraId="601A79B2" w14:textId="77777777" w:rsidR="00DB32EE" w:rsidRPr="00047D6A" w:rsidRDefault="00DB32EE" w:rsidP="00475C48">
      <w:pPr>
        <w:jc w:val="both"/>
        <w:rPr>
          <w:sz w:val="20"/>
        </w:rPr>
      </w:pPr>
    </w:p>
    <w:p w14:paraId="72BB93C7" w14:textId="77777777" w:rsidR="00DB32EE" w:rsidRPr="00F01FE1" w:rsidRDefault="00DB32EE" w:rsidP="00475C48">
      <w:pPr>
        <w:jc w:val="both"/>
        <w:rPr>
          <w:b/>
          <w:sz w:val="20"/>
          <w:u w:val="single"/>
        </w:rPr>
      </w:pPr>
      <w:r>
        <w:rPr>
          <w:b/>
        </w:rPr>
        <w:t xml:space="preserve">VII.  </w:t>
      </w:r>
      <w:r>
        <w:rPr>
          <w:b/>
          <w:u w:val="single"/>
        </w:rPr>
        <w:t>REPORTING</w:t>
      </w:r>
    </w:p>
    <w:p w14:paraId="21212BA3" w14:textId="77777777" w:rsidR="00DB32EE" w:rsidRPr="00047D6A" w:rsidRDefault="00DB32EE" w:rsidP="00475C48">
      <w:pPr>
        <w:jc w:val="both"/>
        <w:rPr>
          <w:sz w:val="20"/>
        </w:rPr>
      </w:pPr>
    </w:p>
    <w:p w14:paraId="1093C6E3" w14:textId="77777777" w:rsidR="00DB32EE" w:rsidRDefault="00DB32EE" w:rsidP="00475C48">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041AE90" w14:textId="77777777" w:rsidR="00DB32EE" w:rsidRPr="00984760" w:rsidRDefault="00DB32EE" w:rsidP="00475C48">
      <w:pPr>
        <w:ind w:left="360" w:hanging="360"/>
        <w:jc w:val="both"/>
        <w:rPr>
          <w:sz w:val="20"/>
        </w:rPr>
      </w:pPr>
    </w:p>
    <w:p w14:paraId="42D2715A" w14:textId="77777777" w:rsidR="00DB32EE" w:rsidRDefault="00DB32EE" w:rsidP="00475C48">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1E535586" w14:textId="77777777" w:rsidR="00DB32EE" w:rsidRPr="00984760" w:rsidRDefault="00DB32EE" w:rsidP="00475C48">
      <w:pPr>
        <w:ind w:left="360" w:hanging="360"/>
        <w:jc w:val="both"/>
        <w:rPr>
          <w:sz w:val="20"/>
        </w:rPr>
      </w:pPr>
    </w:p>
    <w:p w14:paraId="7E04C89F" w14:textId="77777777" w:rsidR="00DB32EE" w:rsidRPr="001B25BC" w:rsidRDefault="00DB32EE" w:rsidP="001B25BC">
      <w:pPr>
        <w:pStyle w:val="ListParagraph"/>
        <w:numPr>
          <w:ilvl w:val="0"/>
          <w:numId w:val="66"/>
        </w:numPr>
        <w:jc w:val="both"/>
        <w:rPr>
          <w:b/>
          <w:sz w:val="20"/>
        </w:rPr>
      </w:pPr>
      <w:r w:rsidRPr="001B25BC">
        <w:rPr>
          <w:sz w:val="20"/>
        </w:rPr>
        <w:t xml:space="preserve">Annual certification of compliance pursuant to General Conditions 19 and 20 of Part A.  The report shall be postmarked or received by the appropriate AQD District Office by March 15 for the previous calendar year.  </w:t>
      </w:r>
      <w:r w:rsidRPr="001B25BC">
        <w:rPr>
          <w:b/>
          <w:sz w:val="20"/>
        </w:rPr>
        <w:t>(R 336.1213(4)(c))</w:t>
      </w:r>
    </w:p>
    <w:p w14:paraId="18917EE4" w14:textId="77777777" w:rsidR="001B25BC" w:rsidRDefault="001B25BC" w:rsidP="001B25BC">
      <w:pPr>
        <w:jc w:val="both"/>
        <w:rPr>
          <w:sz w:val="20"/>
        </w:rPr>
      </w:pPr>
    </w:p>
    <w:p w14:paraId="20BD9F83" w14:textId="77777777" w:rsidR="001B25BC" w:rsidRPr="001B25BC" w:rsidRDefault="001B25BC" w:rsidP="001B25BC">
      <w:pPr>
        <w:pStyle w:val="ListParagraph"/>
        <w:numPr>
          <w:ilvl w:val="0"/>
          <w:numId w:val="66"/>
        </w:numPr>
        <w:jc w:val="both"/>
        <w:rPr>
          <w:rFonts w:cs="Arial"/>
          <w:b/>
          <w:sz w:val="20"/>
        </w:rPr>
      </w:pPr>
      <w:r w:rsidRPr="001B25BC">
        <w:rPr>
          <w:rFonts w:cs="Arial"/>
          <w:sz w:val="20"/>
        </w:rPr>
        <w:t xml:space="preserve">The permittee shall submit any performance test reports </w:t>
      </w:r>
      <w:r w:rsidRPr="001B25BC">
        <w:rPr>
          <w:color w:val="000000"/>
          <w:sz w:val="20"/>
        </w:rPr>
        <w:t xml:space="preserve">to the AQD Technical Programs Unit and </w:t>
      </w:r>
      <w:r w:rsidRPr="001B25BC">
        <w:rPr>
          <w:sz w:val="20"/>
        </w:rPr>
        <w:t xml:space="preserve">District Office, in a format approved by the AQD.  </w:t>
      </w:r>
      <w:r w:rsidRPr="001B25BC">
        <w:rPr>
          <w:rFonts w:cs="Arial"/>
          <w:b/>
          <w:sz w:val="20"/>
        </w:rPr>
        <w:t>(</w:t>
      </w:r>
      <w:r w:rsidRPr="001B25BC">
        <w:rPr>
          <w:b/>
          <w:sz w:val="20"/>
        </w:rPr>
        <w:t>R 336.1213(3)(c),</w:t>
      </w:r>
      <w:r w:rsidRPr="001B25BC">
        <w:rPr>
          <w:rFonts w:cs="Arial"/>
          <w:b/>
          <w:sz w:val="20"/>
        </w:rPr>
        <w:t xml:space="preserve"> R 336.2001(5)</w:t>
      </w:r>
      <w:r w:rsidR="00BC74F1">
        <w:rPr>
          <w:rFonts w:cs="Arial"/>
          <w:b/>
          <w:sz w:val="20"/>
        </w:rPr>
        <w:t>)</w:t>
      </w:r>
    </w:p>
    <w:p w14:paraId="259D1E49" w14:textId="77777777" w:rsidR="00DB32EE" w:rsidRPr="00E873CB" w:rsidRDefault="00DB32EE" w:rsidP="00475C48">
      <w:pPr>
        <w:jc w:val="both"/>
        <w:rPr>
          <w:rFonts w:cs="Arial"/>
          <w:sz w:val="20"/>
        </w:rPr>
      </w:pPr>
    </w:p>
    <w:p w14:paraId="179FAB1E" w14:textId="77777777" w:rsidR="00DB32EE" w:rsidRPr="00FE0AD0" w:rsidRDefault="00DB32EE" w:rsidP="00475C48">
      <w:pPr>
        <w:jc w:val="both"/>
        <w:rPr>
          <w:rFonts w:cs="Arial"/>
          <w:b/>
          <w:sz w:val="20"/>
        </w:rPr>
      </w:pPr>
      <w:r w:rsidRPr="00FE0AD0">
        <w:rPr>
          <w:rFonts w:cs="Arial"/>
          <w:b/>
          <w:sz w:val="20"/>
        </w:rPr>
        <w:t>See Appendix 8</w:t>
      </w:r>
    </w:p>
    <w:p w14:paraId="63745425" w14:textId="77777777" w:rsidR="00DB32EE" w:rsidRPr="00E873CB" w:rsidRDefault="00DB32EE" w:rsidP="00475C48">
      <w:pPr>
        <w:jc w:val="both"/>
        <w:rPr>
          <w:rFonts w:cs="Arial"/>
          <w:sz w:val="20"/>
        </w:rPr>
      </w:pPr>
    </w:p>
    <w:p w14:paraId="00CCFCC4" w14:textId="77777777" w:rsidR="00DB32EE" w:rsidRDefault="00DB32EE" w:rsidP="00475C48">
      <w:pPr>
        <w:jc w:val="both"/>
      </w:pPr>
      <w:r>
        <w:rPr>
          <w:b/>
        </w:rPr>
        <w:t xml:space="preserve">VIII.  </w:t>
      </w:r>
      <w:r>
        <w:rPr>
          <w:b/>
          <w:u w:val="single"/>
        </w:rPr>
        <w:t>STACK/VENT RESTRICTION(S)</w:t>
      </w:r>
    </w:p>
    <w:p w14:paraId="53099F34" w14:textId="77777777" w:rsidR="00DB32EE" w:rsidRDefault="00DB32EE" w:rsidP="00475C48">
      <w:pPr>
        <w:jc w:val="both"/>
        <w:rPr>
          <w:sz w:val="20"/>
        </w:rPr>
      </w:pPr>
    </w:p>
    <w:p w14:paraId="332D69FB" w14:textId="77777777" w:rsidR="00DB32EE" w:rsidRPr="00FE0AD0" w:rsidRDefault="00DB32EE" w:rsidP="00475C48">
      <w:pPr>
        <w:jc w:val="both"/>
        <w:rPr>
          <w:sz w:val="20"/>
        </w:rPr>
      </w:pPr>
      <w:r w:rsidRPr="00FE0AD0">
        <w:rPr>
          <w:sz w:val="20"/>
        </w:rPr>
        <w:t>The exhaust gases from the stacks listed in the table below shall be discharged unobstructed vertically upwards to the ambient air unless otherwise noted:</w:t>
      </w:r>
    </w:p>
    <w:p w14:paraId="70478A30" w14:textId="77777777" w:rsidR="00DB32EE" w:rsidRDefault="00DB32EE" w:rsidP="00475C4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DB32EE" w14:paraId="48715050" w14:textId="77777777" w:rsidTr="002251DA">
        <w:trPr>
          <w:cantSplit/>
          <w:tblHeader/>
        </w:trPr>
        <w:tc>
          <w:tcPr>
            <w:tcW w:w="3623" w:type="dxa"/>
            <w:tcBorders>
              <w:bottom w:val="single" w:sz="4" w:space="0" w:color="auto"/>
            </w:tcBorders>
          </w:tcPr>
          <w:p w14:paraId="038D42A3" w14:textId="77777777" w:rsidR="00DB32EE" w:rsidRPr="00BD3DE3" w:rsidRDefault="00DB32EE" w:rsidP="00475C48">
            <w:pPr>
              <w:jc w:val="center"/>
              <w:rPr>
                <w:b/>
                <w:sz w:val="20"/>
              </w:rPr>
            </w:pPr>
            <w:r w:rsidRPr="00BD3DE3">
              <w:rPr>
                <w:b/>
                <w:sz w:val="20"/>
              </w:rPr>
              <w:t>Stack &amp; Vent ID</w:t>
            </w:r>
          </w:p>
        </w:tc>
        <w:tc>
          <w:tcPr>
            <w:tcW w:w="1710" w:type="dxa"/>
            <w:tcBorders>
              <w:bottom w:val="single" w:sz="4" w:space="0" w:color="auto"/>
            </w:tcBorders>
          </w:tcPr>
          <w:p w14:paraId="5D42099B" w14:textId="77777777" w:rsidR="00DB32EE" w:rsidRPr="00BD3DE3" w:rsidRDefault="00DB32EE" w:rsidP="00475C48">
            <w:pPr>
              <w:jc w:val="center"/>
              <w:rPr>
                <w:b/>
                <w:sz w:val="20"/>
              </w:rPr>
            </w:pPr>
            <w:r w:rsidRPr="00BD3DE3">
              <w:rPr>
                <w:b/>
                <w:sz w:val="20"/>
              </w:rPr>
              <w:t xml:space="preserve">Maximum </w:t>
            </w:r>
            <w:r>
              <w:rPr>
                <w:b/>
                <w:sz w:val="20"/>
              </w:rPr>
              <w:t>Exhaust Dimensions</w:t>
            </w:r>
          </w:p>
          <w:p w14:paraId="49776775" w14:textId="77777777" w:rsidR="00DB32EE" w:rsidRPr="00BD3DE3" w:rsidRDefault="00DB32EE" w:rsidP="00475C48">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04C8DFC7" w14:textId="77777777" w:rsidR="00DB32EE" w:rsidRPr="00BD3DE3" w:rsidRDefault="00DB32EE" w:rsidP="00475C48">
            <w:pPr>
              <w:jc w:val="center"/>
              <w:rPr>
                <w:b/>
                <w:sz w:val="20"/>
              </w:rPr>
            </w:pPr>
            <w:r w:rsidRPr="00BD3DE3">
              <w:rPr>
                <w:b/>
                <w:sz w:val="20"/>
              </w:rPr>
              <w:t>M</w:t>
            </w:r>
            <w:r>
              <w:rPr>
                <w:b/>
                <w:sz w:val="20"/>
              </w:rPr>
              <w:t>inimum Height Above Ground</w:t>
            </w:r>
          </w:p>
          <w:p w14:paraId="293D9AD4" w14:textId="77777777" w:rsidR="00DB32EE" w:rsidRPr="00BD3DE3" w:rsidRDefault="00DB32EE" w:rsidP="00475C48">
            <w:pPr>
              <w:jc w:val="center"/>
              <w:rPr>
                <w:b/>
                <w:sz w:val="20"/>
              </w:rPr>
            </w:pPr>
            <w:r w:rsidRPr="00BD3DE3">
              <w:rPr>
                <w:b/>
                <w:sz w:val="20"/>
              </w:rPr>
              <w:t>(feet)</w:t>
            </w:r>
          </w:p>
        </w:tc>
        <w:tc>
          <w:tcPr>
            <w:tcW w:w="3127" w:type="dxa"/>
            <w:tcBorders>
              <w:bottom w:val="single" w:sz="4" w:space="0" w:color="auto"/>
            </w:tcBorders>
          </w:tcPr>
          <w:p w14:paraId="3B698012" w14:textId="77777777" w:rsidR="00DB32EE" w:rsidRPr="00BD3DE3" w:rsidRDefault="00DB32EE" w:rsidP="00475C48">
            <w:pPr>
              <w:jc w:val="center"/>
              <w:rPr>
                <w:b/>
                <w:sz w:val="20"/>
              </w:rPr>
            </w:pPr>
            <w:r w:rsidRPr="00BD3DE3">
              <w:rPr>
                <w:b/>
                <w:sz w:val="20"/>
              </w:rPr>
              <w:t>Underlying Applicable Requirements</w:t>
            </w:r>
          </w:p>
          <w:p w14:paraId="59631033" w14:textId="77777777" w:rsidR="00DB32EE" w:rsidRPr="00BD3DE3" w:rsidRDefault="00DB32EE" w:rsidP="00475C48">
            <w:pPr>
              <w:jc w:val="center"/>
              <w:rPr>
                <w:b/>
                <w:sz w:val="20"/>
              </w:rPr>
            </w:pPr>
          </w:p>
        </w:tc>
      </w:tr>
      <w:tr w:rsidR="00DB32EE" w14:paraId="20155599" w14:textId="77777777" w:rsidTr="002251DA">
        <w:trPr>
          <w:cantSplit/>
        </w:trPr>
        <w:tc>
          <w:tcPr>
            <w:tcW w:w="3623" w:type="dxa"/>
            <w:tcBorders>
              <w:top w:val="single" w:sz="4" w:space="0" w:color="auto"/>
              <w:bottom w:val="single" w:sz="4" w:space="0" w:color="auto"/>
            </w:tcBorders>
          </w:tcPr>
          <w:p w14:paraId="3E22FA75" w14:textId="77777777" w:rsidR="00DB32EE" w:rsidRPr="00984760" w:rsidRDefault="00C1649D" w:rsidP="002251DA">
            <w:pPr>
              <w:rPr>
                <w:sz w:val="20"/>
              </w:rPr>
            </w:pPr>
            <w:r>
              <w:rPr>
                <w:sz w:val="20"/>
              </w:rPr>
              <w:t>NA</w:t>
            </w:r>
          </w:p>
        </w:tc>
        <w:tc>
          <w:tcPr>
            <w:tcW w:w="1710" w:type="dxa"/>
            <w:tcBorders>
              <w:top w:val="single" w:sz="4" w:space="0" w:color="auto"/>
              <w:bottom w:val="single" w:sz="4" w:space="0" w:color="auto"/>
            </w:tcBorders>
          </w:tcPr>
          <w:p w14:paraId="5EEF3BD6" w14:textId="77777777" w:rsidR="00DB32EE" w:rsidRPr="00BD3DE3" w:rsidRDefault="00C1649D" w:rsidP="00475C48">
            <w:pPr>
              <w:jc w:val="center"/>
              <w:rPr>
                <w:sz w:val="20"/>
              </w:rPr>
            </w:pPr>
            <w:r>
              <w:rPr>
                <w:sz w:val="20"/>
              </w:rPr>
              <w:t>NA</w:t>
            </w:r>
          </w:p>
        </w:tc>
        <w:tc>
          <w:tcPr>
            <w:tcW w:w="1800" w:type="dxa"/>
            <w:tcBorders>
              <w:top w:val="single" w:sz="4" w:space="0" w:color="auto"/>
              <w:bottom w:val="single" w:sz="4" w:space="0" w:color="auto"/>
            </w:tcBorders>
          </w:tcPr>
          <w:p w14:paraId="1AD758B6" w14:textId="77777777" w:rsidR="00DB32EE" w:rsidRPr="00BD3DE3" w:rsidRDefault="00C1649D" w:rsidP="00475C48">
            <w:pPr>
              <w:jc w:val="center"/>
              <w:rPr>
                <w:sz w:val="20"/>
              </w:rPr>
            </w:pPr>
            <w:r>
              <w:rPr>
                <w:sz w:val="20"/>
              </w:rPr>
              <w:t>NA</w:t>
            </w:r>
          </w:p>
        </w:tc>
        <w:tc>
          <w:tcPr>
            <w:tcW w:w="3127" w:type="dxa"/>
            <w:tcBorders>
              <w:top w:val="single" w:sz="4" w:space="0" w:color="auto"/>
              <w:bottom w:val="single" w:sz="4" w:space="0" w:color="auto"/>
            </w:tcBorders>
          </w:tcPr>
          <w:p w14:paraId="5272FB08" w14:textId="77777777" w:rsidR="00DB32EE" w:rsidRPr="00BD3DE3" w:rsidRDefault="00C1649D" w:rsidP="00475C48">
            <w:pPr>
              <w:jc w:val="center"/>
              <w:rPr>
                <w:sz w:val="20"/>
              </w:rPr>
            </w:pPr>
            <w:r>
              <w:rPr>
                <w:sz w:val="20"/>
              </w:rPr>
              <w:t>NA</w:t>
            </w:r>
          </w:p>
        </w:tc>
      </w:tr>
    </w:tbl>
    <w:p w14:paraId="6D819370" w14:textId="77777777" w:rsidR="00DB32EE" w:rsidRPr="00FE0AD0" w:rsidRDefault="00DB32EE" w:rsidP="00475C48">
      <w:pPr>
        <w:jc w:val="both"/>
        <w:rPr>
          <w:sz w:val="20"/>
        </w:rPr>
      </w:pPr>
    </w:p>
    <w:p w14:paraId="1F022D1F" w14:textId="77777777" w:rsidR="00DB32EE" w:rsidRDefault="00DB32EE" w:rsidP="00475C48">
      <w:pPr>
        <w:jc w:val="both"/>
      </w:pPr>
      <w:r>
        <w:rPr>
          <w:b/>
        </w:rPr>
        <w:t xml:space="preserve">IX.  </w:t>
      </w:r>
      <w:r>
        <w:rPr>
          <w:b/>
          <w:u w:val="single"/>
        </w:rPr>
        <w:t>OTHER REQUIREMENT(S)</w:t>
      </w:r>
    </w:p>
    <w:p w14:paraId="3189B470" w14:textId="77777777" w:rsidR="00DB32EE" w:rsidRPr="00FE0AD0" w:rsidRDefault="00DB32EE" w:rsidP="00475C48">
      <w:pPr>
        <w:jc w:val="both"/>
        <w:rPr>
          <w:sz w:val="20"/>
        </w:rPr>
      </w:pPr>
    </w:p>
    <w:p w14:paraId="0ADBECAE" w14:textId="77777777" w:rsidR="006D2B16" w:rsidRPr="00794966" w:rsidRDefault="006D2B16" w:rsidP="006D2B16">
      <w:pPr>
        <w:jc w:val="both"/>
        <w:rPr>
          <w:sz w:val="20"/>
        </w:rPr>
      </w:pPr>
      <w:r>
        <w:rPr>
          <w:sz w:val="20"/>
        </w:rPr>
        <w:t xml:space="preserve">The permittee shall comply with all provisions of the federal National Emission Standards for Hazardous Air Pollutants (NESHAP) as specified in 40 CFR Part 63 Subparts A and ZZZZ, as they apply to EUBG011 at a major source of HAPs. </w:t>
      </w:r>
      <w:r w:rsidR="00BC74F1">
        <w:rPr>
          <w:sz w:val="20"/>
        </w:rPr>
        <w:t xml:space="preserve"> </w:t>
      </w:r>
      <w:r w:rsidRPr="00141C8F">
        <w:rPr>
          <w:b/>
          <w:sz w:val="20"/>
        </w:rPr>
        <w:t>(40 CFR Part 63</w:t>
      </w:r>
      <w:r w:rsidR="002251DA">
        <w:rPr>
          <w:b/>
          <w:sz w:val="20"/>
        </w:rPr>
        <w:t>,</w:t>
      </w:r>
      <w:r w:rsidRPr="00141C8F">
        <w:rPr>
          <w:b/>
          <w:sz w:val="20"/>
        </w:rPr>
        <w:t xml:space="preserve"> Subparts A and ZZZZ)</w:t>
      </w:r>
    </w:p>
    <w:p w14:paraId="32138755" w14:textId="77777777" w:rsidR="00DB32EE" w:rsidRPr="00984760" w:rsidRDefault="00DB32EE" w:rsidP="006D2B16">
      <w:pPr>
        <w:jc w:val="both"/>
        <w:rPr>
          <w:sz w:val="20"/>
        </w:rPr>
      </w:pPr>
    </w:p>
    <w:p w14:paraId="323BA398" w14:textId="77777777" w:rsidR="00DB32EE" w:rsidRPr="00FE0AD0" w:rsidRDefault="00DB32EE" w:rsidP="00475C48">
      <w:pPr>
        <w:jc w:val="both"/>
        <w:rPr>
          <w:sz w:val="20"/>
        </w:rPr>
      </w:pPr>
    </w:p>
    <w:p w14:paraId="34FFBE49" w14:textId="77777777" w:rsidR="00DB32EE" w:rsidRPr="00B90185" w:rsidRDefault="00DB32EE" w:rsidP="00475C48">
      <w:pPr>
        <w:jc w:val="both"/>
        <w:rPr>
          <w:b/>
          <w:sz w:val="20"/>
        </w:rPr>
      </w:pPr>
      <w:r w:rsidRPr="00B90185">
        <w:rPr>
          <w:b/>
          <w:sz w:val="20"/>
          <w:u w:val="single"/>
        </w:rPr>
        <w:t>Footnotes</w:t>
      </w:r>
      <w:r w:rsidRPr="00B90185">
        <w:rPr>
          <w:b/>
          <w:sz w:val="20"/>
        </w:rPr>
        <w:t>:</w:t>
      </w:r>
    </w:p>
    <w:p w14:paraId="5233B59C" w14:textId="77777777" w:rsidR="00DB32EE" w:rsidRPr="001E3851" w:rsidRDefault="00DB32EE" w:rsidP="00475C4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4CAF944" w14:textId="77777777" w:rsidR="00DB32EE" w:rsidRPr="00D53AEC" w:rsidRDefault="00DB32EE" w:rsidP="00475C48">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9C96625" w14:textId="77777777" w:rsidR="00DB32EE" w:rsidRDefault="00DB32EE" w:rsidP="00393A6F">
      <w:pPr>
        <w:pStyle w:val="Heading1"/>
      </w:pPr>
    </w:p>
    <w:p w14:paraId="5E605502" w14:textId="77777777" w:rsidR="00DB32EE" w:rsidRDefault="00DB32EE" w:rsidP="00393A6F">
      <w:pPr>
        <w:pStyle w:val="Heading1"/>
      </w:pPr>
    </w:p>
    <w:p w14:paraId="30AA1714" w14:textId="77777777" w:rsidR="00DB32EE" w:rsidRDefault="00DB32EE" w:rsidP="00393A6F">
      <w:pPr>
        <w:pStyle w:val="Heading1"/>
      </w:pPr>
    </w:p>
    <w:p w14:paraId="08441C95" w14:textId="77777777" w:rsidR="00BD60C8" w:rsidRDefault="00BD60C8" w:rsidP="00BD60C8"/>
    <w:p w14:paraId="38092A17" w14:textId="77777777" w:rsidR="00BD60C8" w:rsidRDefault="00BD60C8" w:rsidP="00BD60C8"/>
    <w:p w14:paraId="52A08367" w14:textId="77777777" w:rsidR="00BD60C8" w:rsidRDefault="00BD60C8" w:rsidP="00BD60C8"/>
    <w:p w14:paraId="72DDF875" w14:textId="77777777" w:rsidR="00BD60C8" w:rsidRDefault="00BD60C8" w:rsidP="00BD60C8"/>
    <w:p w14:paraId="48918BE0" w14:textId="77777777" w:rsidR="00BD60C8" w:rsidRDefault="00BD60C8" w:rsidP="00BD60C8"/>
    <w:p w14:paraId="12AFF575" w14:textId="77777777" w:rsidR="00BD60C8" w:rsidRDefault="00BD60C8" w:rsidP="00BD60C8"/>
    <w:p w14:paraId="03683E42" w14:textId="77777777" w:rsidR="00BD60C8" w:rsidRDefault="00BD60C8" w:rsidP="00BD60C8"/>
    <w:p w14:paraId="512918A8" w14:textId="77777777" w:rsidR="00BD60C8" w:rsidRDefault="00BD60C8" w:rsidP="00BD60C8"/>
    <w:p w14:paraId="30A3C517" w14:textId="77777777" w:rsidR="00BD60C8" w:rsidRDefault="00BD60C8" w:rsidP="00BD60C8"/>
    <w:p w14:paraId="15CCD7F4" w14:textId="77777777" w:rsidR="00BD60C8" w:rsidRDefault="00BD60C8" w:rsidP="00BD60C8"/>
    <w:p w14:paraId="6E8561E3" w14:textId="77777777" w:rsidR="00BD60C8" w:rsidRDefault="00BD60C8" w:rsidP="00BD60C8"/>
    <w:p w14:paraId="0E092ECA" w14:textId="77777777" w:rsidR="00BD60C8" w:rsidRDefault="00BD60C8" w:rsidP="00BD60C8"/>
    <w:p w14:paraId="1154AF76" w14:textId="77777777" w:rsidR="00BD60C8" w:rsidRDefault="00BD60C8" w:rsidP="00BD60C8"/>
    <w:p w14:paraId="78DBFE8E" w14:textId="77777777" w:rsidR="00BD60C8" w:rsidRDefault="00BD60C8" w:rsidP="00BD60C8"/>
    <w:p w14:paraId="2AC192BC" w14:textId="77777777" w:rsidR="00BD60C8" w:rsidRDefault="00BD60C8" w:rsidP="00BD60C8"/>
    <w:p w14:paraId="5F270798" w14:textId="77777777" w:rsidR="00BD60C8" w:rsidRDefault="00BD60C8" w:rsidP="00BD60C8"/>
    <w:p w14:paraId="775B2F20" w14:textId="77777777" w:rsidR="00BD60C8" w:rsidRDefault="00BD60C8" w:rsidP="00BD60C8"/>
    <w:p w14:paraId="002BE7D3" w14:textId="77777777" w:rsidR="00BD60C8" w:rsidRDefault="00BD60C8" w:rsidP="00BD60C8"/>
    <w:p w14:paraId="2F692D3F" w14:textId="77777777" w:rsidR="00BD60C8" w:rsidRDefault="00BD60C8" w:rsidP="00BD60C8"/>
    <w:p w14:paraId="70F98813" w14:textId="77777777" w:rsidR="00BD60C8" w:rsidRDefault="00BD60C8" w:rsidP="00BD60C8"/>
    <w:p w14:paraId="2FE6465A" w14:textId="77777777" w:rsidR="00BD60C8" w:rsidRDefault="00BD60C8" w:rsidP="00BD60C8"/>
    <w:p w14:paraId="3025B181" w14:textId="77777777" w:rsidR="00BD60C8" w:rsidRDefault="00BD60C8" w:rsidP="00BD60C8"/>
    <w:p w14:paraId="31176E4B" w14:textId="77777777" w:rsidR="00BD60C8" w:rsidRDefault="00BD60C8" w:rsidP="00BD60C8"/>
    <w:p w14:paraId="6AEEF136" w14:textId="77777777" w:rsidR="00BD60C8" w:rsidRDefault="00BD60C8" w:rsidP="00BD60C8"/>
    <w:p w14:paraId="6BA886C5" w14:textId="77777777" w:rsidR="00BD60C8" w:rsidRDefault="00BD60C8" w:rsidP="00BD60C8"/>
    <w:p w14:paraId="3B4731F9" w14:textId="77777777" w:rsidR="00BD60C8" w:rsidRDefault="00BD60C8" w:rsidP="00BD60C8"/>
    <w:p w14:paraId="3554E16B" w14:textId="77777777" w:rsidR="00BD60C8" w:rsidRDefault="00BD60C8" w:rsidP="00BD60C8"/>
    <w:p w14:paraId="1458960C" w14:textId="77777777" w:rsidR="00BD60C8" w:rsidRDefault="00BD60C8" w:rsidP="00BD60C8"/>
    <w:p w14:paraId="25810B79" w14:textId="77777777" w:rsidR="00BD60C8" w:rsidRPr="00BD60C8" w:rsidRDefault="00BD60C8" w:rsidP="00BD60C8"/>
    <w:p w14:paraId="621F3DA2" w14:textId="5F87765F" w:rsidR="00470192" w:rsidRPr="00C43734" w:rsidRDefault="00470192" w:rsidP="0047019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524520623"/>
      <w:r w:rsidRPr="00C43734">
        <w:rPr>
          <w:bCs/>
          <w:szCs w:val="28"/>
        </w:rPr>
        <w:t>EU</w:t>
      </w:r>
      <w:r>
        <w:rPr>
          <w:bCs/>
          <w:szCs w:val="28"/>
        </w:rPr>
        <w:t>BG012</w:t>
      </w:r>
      <w:bookmarkEnd w:id="78"/>
    </w:p>
    <w:p w14:paraId="638C5B26" w14:textId="77777777" w:rsidR="00470192" w:rsidRPr="00EE02F9" w:rsidRDefault="00470192" w:rsidP="0047019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FA465AE" w14:textId="77777777" w:rsidR="00475C48" w:rsidRPr="00475C48" w:rsidRDefault="00475C48" w:rsidP="00475C48">
      <w:pPr>
        <w:rPr>
          <w:sz w:val="20"/>
        </w:rPr>
      </w:pPr>
    </w:p>
    <w:p w14:paraId="10DDC1B8" w14:textId="77777777" w:rsidR="00475C48" w:rsidRPr="00475C48" w:rsidRDefault="00475C48" w:rsidP="00475C48">
      <w:pPr>
        <w:jc w:val="both"/>
        <w:rPr>
          <w:b/>
          <w:u w:val="single"/>
        </w:rPr>
      </w:pPr>
      <w:r w:rsidRPr="00475C48">
        <w:rPr>
          <w:b/>
          <w:u w:val="single"/>
        </w:rPr>
        <w:t>DESCRIPTION</w:t>
      </w:r>
    </w:p>
    <w:p w14:paraId="265D6CEA" w14:textId="77777777" w:rsidR="00475C48" w:rsidRPr="00475C48" w:rsidRDefault="00475C48" w:rsidP="00475C48">
      <w:pPr>
        <w:jc w:val="both"/>
        <w:rPr>
          <w:b/>
          <w:u w:val="single"/>
        </w:rPr>
      </w:pPr>
    </w:p>
    <w:p w14:paraId="692801E8" w14:textId="77777777" w:rsidR="007D3017" w:rsidRDefault="007D3017" w:rsidP="00475C48">
      <w:pPr>
        <w:jc w:val="both"/>
        <w:rPr>
          <w:rFonts w:cs="Arial"/>
          <w:sz w:val="20"/>
        </w:rPr>
      </w:pPr>
      <w:r>
        <w:rPr>
          <w:rFonts w:cs="Arial"/>
          <w:sz w:val="20"/>
        </w:rPr>
        <w:t xml:space="preserve">Kewanee model </w:t>
      </w:r>
      <w:proofErr w:type="spellStart"/>
      <w:r>
        <w:rPr>
          <w:rFonts w:cs="Arial"/>
          <w:sz w:val="20"/>
        </w:rPr>
        <w:t>L3S</w:t>
      </w:r>
      <w:proofErr w:type="spellEnd"/>
      <w:r>
        <w:rPr>
          <w:rFonts w:cs="Arial"/>
          <w:sz w:val="20"/>
        </w:rPr>
        <w:t>-150-G; 5.021 MMBtu-hr natural gas fired boiler</w:t>
      </w:r>
      <w:r w:rsidR="000A7F2B">
        <w:rPr>
          <w:rFonts w:cs="Arial"/>
          <w:sz w:val="20"/>
        </w:rPr>
        <w:t>.</w:t>
      </w:r>
    </w:p>
    <w:p w14:paraId="3EDE0443" w14:textId="77777777" w:rsidR="007D3017" w:rsidRDefault="007D3017" w:rsidP="00475C48">
      <w:pPr>
        <w:jc w:val="both"/>
        <w:rPr>
          <w:rFonts w:cs="Arial"/>
          <w:sz w:val="20"/>
        </w:rPr>
      </w:pPr>
    </w:p>
    <w:p w14:paraId="66565627" w14:textId="77777777" w:rsidR="00475C48" w:rsidRPr="00475C48" w:rsidRDefault="000A7F2B" w:rsidP="00475C48">
      <w:pPr>
        <w:jc w:val="both"/>
        <w:rPr>
          <w:b/>
          <w:color w:val="FF0000"/>
          <w:sz w:val="20"/>
        </w:rPr>
      </w:pPr>
      <w:r>
        <w:rPr>
          <w:rFonts w:cs="Arial"/>
          <w:b/>
          <w:sz w:val="20"/>
        </w:rPr>
        <w:t xml:space="preserve">Flexible Group ID:  </w:t>
      </w:r>
      <w:r>
        <w:rPr>
          <w:sz w:val="20"/>
        </w:rPr>
        <w:t>NA</w:t>
      </w:r>
    </w:p>
    <w:p w14:paraId="193411E1" w14:textId="77777777" w:rsidR="00475C48" w:rsidRPr="00475C48" w:rsidRDefault="00475C48" w:rsidP="00475C48">
      <w:pPr>
        <w:jc w:val="both"/>
        <w:rPr>
          <w:color w:val="FF0000"/>
          <w:sz w:val="20"/>
        </w:rPr>
      </w:pPr>
    </w:p>
    <w:p w14:paraId="7D9E93F1" w14:textId="77777777" w:rsidR="00475C48" w:rsidRPr="00475C48" w:rsidRDefault="00475C48" w:rsidP="00475C48">
      <w:pPr>
        <w:jc w:val="both"/>
        <w:rPr>
          <w:b/>
          <w:u w:val="single"/>
        </w:rPr>
      </w:pPr>
      <w:r w:rsidRPr="00475C48">
        <w:rPr>
          <w:b/>
          <w:u w:val="single"/>
        </w:rPr>
        <w:t>POLLUTION CONTROL EQUIPMENT</w:t>
      </w:r>
    </w:p>
    <w:p w14:paraId="479E6F06" w14:textId="77777777" w:rsidR="00475C48" w:rsidRPr="00475C48" w:rsidRDefault="00475C48" w:rsidP="00475C48">
      <w:pPr>
        <w:jc w:val="both"/>
        <w:rPr>
          <w:b/>
          <w:u w:val="single"/>
        </w:rPr>
      </w:pPr>
    </w:p>
    <w:p w14:paraId="2416175E" w14:textId="77777777" w:rsidR="00475C48" w:rsidRPr="00475C48" w:rsidRDefault="00475C48" w:rsidP="00475C48">
      <w:pPr>
        <w:jc w:val="both"/>
        <w:rPr>
          <w:sz w:val="20"/>
        </w:rPr>
      </w:pPr>
      <w:r w:rsidRPr="00475C48">
        <w:rPr>
          <w:sz w:val="20"/>
        </w:rPr>
        <w:t>NA</w:t>
      </w:r>
    </w:p>
    <w:p w14:paraId="7E8B30FC" w14:textId="77777777" w:rsidR="00475C48" w:rsidRPr="00475C48" w:rsidRDefault="00475C48" w:rsidP="00475C48">
      <w:pPr>
        <w:rPr>
          <w:sz w:val="20"/>
        </w:rPr>
      </w:pPr>
    </w:p>
    <w:p w14:paraId="3CE32A75" w14:textId="77777777" w:rsidR="00475C48" w:rsidRPr="00475C48" w:rsidRDefault="00475C48" w:rsidP="00475C48">
      <w:pPr>
        <w:jc w:val="both"/>
        <w:rPr>
          <w:b/>
          <w:u w:val="single"/>
        </w:rPr>
      </w:pPr>
      <w:r w:rsidRPr="00475C48">
        <w:rPr>
          <w:b/>
        </w:rPr>
        <w:t xml:space="preserve">I.  </w:t>
      </w:r>
      <w:r w:rsidRPr="00475C48">
        <w:rPr>
          <w:b/>
          <w:u w:val="single"/>
        </w:rPr>
        <w:t>EMISSION LIMIT(S)</w:t>
      </w:r>
    </w:p>
    <w:p w14:paraId="71E0AE88" w14:textId="77777777" w:rsidR="00475C48" w:rsidRPr="00475C48" w:rsidRDefault="00475C48" w:rsidP="00475C48">
      <w:pPr>
        <w:jc w:val="both"/>
        <w:rPr>
          <w:b/>
          <w:u w:val="single"/>
        </w:rPr>
      </w:pPr>
    </w:p>
    <w:p w14:paraId="5394840D" w14:textId="77777777" w:rsidR="00475C48" w:rsidRPr="00475C48" w:rsidRDefault="00475C48" w:rsidP="00475C48">
      <w:pPr>
        <w:rPr>
          <w:rFonts w:cs="Arial"/>
          <w:sz w:val="20"/>
        </w:rPr>
      </w:pPr>
      <w:r w:rsidRPr="00475C48">
        <w:rPr>
          <w:rFonts w:cs="Arial"/>
          <w:sz w:val="20"/>
        </w:rPr>
        <w:t>NA</w:t>
      </w:r>
    </w:p>
    <w:p w14:paraId="039ACF40" w14:textId="77777777" w:rsidR="00475C48" w:rsidRPr="00475C48" w:rsidRDefault="00475C48" w:rsidP="00475C48">
      <w:pPr>
        <w:rPr>
          <w:rFonts w:cs="Arial"/>
          <w:sz w:val="20"/>
        </w:rPr>
      </w:pPr>
    </w:p>
    <w:p w14:paraId="650D8CA2" w14:textId="77777777" w:rsidR="00475C48" w:rsidRPr="00475C48" w:rsidRDefault="00475C48" w:rsidP="00475C48">
      <w:pPr>
        <w:jc w:val="both"/>
        <w:rPr>
          <w:b/>
          <w:u w:val="single"/>
        </w:rPr>
      </w:pPr>
      <w:r w:rsidRPr="00475C48">
        <w:rPr>
          <w:b/>
        </w:rPr>
        <w:t xml:space="preserve">II.  </w:t>
      </w:r>
      <w:r w:rsidRPr="00475C48">
        <w:rPr>
          <w:b/>
          <w:u w:val="single"/>
        </w:rPr>
        <w:t>MATERIAL LIMIT(S)</w:t>
      </w:r>
    </w:p>
    <w:p w14:paraId="53D92081" w14:textId="77777777" w:rsidR="00475C48" w:rsidRPr="00475C48" w:rsidRDefault="00475C48" w:rsidP="00475C48">
      <w:pPr>
        <w:ind w:left="360" w:hanging="360"/>
        <w:jc w:val="both"/>
        <w:rPr>
          <w:sz w:val="20"/>
        </w:rPr>
      </w:pPr>
    </w:p>
    <w:p w14:paraId="4BC0E628" w14:textId="77777777" w:rsidR="00475C48" w:rsidRPr="00475C48" w:rsidRDefault="00475C48" w:rsidP="00475C48">
      <w:pPr>
        <w:ind w:left="360" w:hanging="360"/>
        <w:jc w:val="both"/>
        <w:rPr>
          <w:color w:val="000000"/>
          <w:sz w:val="20"/>
        </w:rPr>
      </w:pPr>
      <w:r w:rsidRPr="00475C48">
        <w:rPr>
          <w:color w:val="000000"/>
          <w:sz w:val="20"/>
        </w:rPr>
        <w:t>1.</w:t>
      </w:r>
      <w:r w:rsidRPr="00475C48">
        <w:rPr>
          <w:color w:val="000000"/>
          <w:sz w:val="20"/>
        </w:rPr>
        <w:tab/>
        <w:t xml:space="preserve">The permittee shall only burn fuels as allowed in the Unit designed to burn gas 1 subcategory definition in 40 CFR 63.7575.  </w:t>
      </w:r>
      <w:r w:rsidRPr="00475C48">
        <w:rPr>
          <w:b/>
          <w:color w:val="000000"/>
          <w:sz w:val="20"/>
        </w:rPr>
        <w:t>(40 CFR 63.7499(l))</w:t>
      </w:r>
    </w:p>
    <w:p w14:paraId="424A5895" w14:textId="77777777" w:rsidR="00475C48" w:rsidRPr="00475C48" w:rsidRDefault="00475C48" w:rsidP="00475C48">
      <w:pPr>
        <w:ind w:left="360" w:hanging="360"/>
        <w:jc w:val="both"/>
        <w:rPr>
          <w:sz w:val="20"/>
        </w:rPr>
      </w:pPr>
    </w:p>
    <w:p w14:paraId="393533FB" w14:textId="77777777" w:rsidR="00475C48" w:rsidRPr="00475C48" w:rsidRDefault="00475C48" w:rsidP="00475C48">
      <w:pPr>
        <w:jc w:val="both"/>
        <w:rPr>
          <w:b/>
          <w:u w:val="single"/>
        </w:rPr>
      </w:pPr>
      <w:r w:rsidRPr="00475C48">
        <w:rPr>
          <w:b/>
        </w:rPr>
        <w:t xml:space="preserve">III.  </w:t>
      </w:r>
      <w:r w:rsidRPr="00475C48">
        <w:rPr>
          <w:b/>
          <w:u w:val="single"/>
        </w:rPr>
        <w:t>PROCESS/OPERATIONAL RESTRICTION(S)</w:t>
      </w:r>
    </w:p>
    <w:p w14:paraId="4917F495" w14:textId="77777777" w:rsidR="00475C48" w:rsidRPr="00475C48" w:rsidRDefault="00475C48" w:rsidP="00475C48">
      <w:pPr>
        <w:jc w:val="both"/>
        <w:rPr>
          <w:rFonts w:cs="Arial"/>
          <w:sz w:val="20"/>
        </w:rPr>
      </w:pPr>
    </w:p>
    <w:p w14:paraId="370ECE26" w14:textId="77777777" w:rsidR="00475C48" w:rsidRPr="000A7F2B" w:rsidRDefault="00475C48" w:rsidP="009D76F8">
      <w:pPr>
        <w:numPr>
          <w:ilvl w:val="0"/>
          <w:numId w:val="46"/>
        </w:numPr>
        <w:jc w:val="both"/>
        <w:rPr>
          <w:rFonts w:cs="Arial"/>
          <w:sz w:val="20"/>
        </w:rPr>
      </w:pPr>
      <w:r w:rsidRPr="000A7F2B">
        <w:rPr>
          <w:rFonts w:cs="Arial"/>
          <w:sz w:val="20"/>
        </w:rPr>
        <w:t>The permittee must meet the requirements in paragraphs (a)(1) and (3) of 40 CFR 63.7500, as listed below, except as provided in paragraphs (b) and (e) of 40 CFR 63.7500, stated in SC III.2 and SC III.3.  The permittee must meet these requirements at all times the affected unit is operating, except as provided in paragraph (f) of 40 CFR 63.7500, stated in SC III.4</w:t>
      </w:r>
      <w:r w:rsidR="000A7F2B" w:rsidRPr="000A7F2B">
        <w:rPr>
          <w:rFonts w:cs="Arial"/>
          <w:sz w:val="20"/>
        </w:rPr>
        <w:t>:</w:t>
      </w:r>
      <w:r w:rsidRPr="000A7F2B">
        <w:rPr>
          <w:rFonts w:cs="Arial"/>
          <w:sz w:val="20"/>
        </w:rPr>
        <w:t xml:space="preserve">  </w:t>
      </w:r>
      <w:r w:rsidRPr="000A7F2B">
        <w:rPr>
          <w:rFonts w:cs="Arial"/>
          <w:b/>
          <w:sz w:val="20"/>
        </w:rPr>
        <w:t>(40 CFR 63.7500(a))</w:t>
      </w:r>
    </w:p>
    <w:p w14:paraId="4E074F5C" w14:textId="77777777" w:rsidR="00475C48" w:rsidRPr="000A7F2B" w:rsidRDefault="00475C48" w:rsidP="009D76F8">
      <w:pPr>
        <w:numPr>
          <w:ilvl w:val="1"/>
          <w:numId w:val="46"/>
        </w:numPr>
        <w:jc w:val="both"/>
        <w:rPr>
          <w:rFonts w:cs="Arial"/>
          <w:sz w:val="20"/>
        </w:rPr>
      </w:pPr>
      <w:r w:rsidRPr="000A7F2B">
        <w:rPr>
          <w:rFonts w:cs="Arial"/>
          <w:sz w:val="20"/>
        </w:rPr>
        <w:t xml:space="preserve">The permittee must meet each work practice standard in Table 3 of 40 CFR Part 63, Subpart DDDDD that applies to the boiler or process heater, for each boiler or process heater at the source.  </w:t>
      </w:r>
      <w:r w:rsidRPr="000A7F2B">
        <w:rPr>
          <w:rFonts w:cs="Arial"/>
          <w:b/>
          <w:sz w:val="20"/>
        </w:rPr>
        <w:t>(40 CFR 63.7500(a)(1))</w:t>
      </w:r>
    </w:p>
    <w:p w14:paraId="097C682C" w14:textId="77777777" w:rsidR="00475C48" w:rsidRPr="00475C48" w:rsidRDefault="00475C48" w:rsidP="0047449A">
      <w:pPr>
        <w:numPr>
          <w:ilvl w:val="1"/>
          <w:numId w:val="46"/>
        </w:numPr>
        <w:jc w:val="both"/>
        <w:rPr>
          <w:rFonts w:cs="Arial"/>
          <w:b/>
          <w:sz w:val="20"/>
        </w:rPr>
      </w:pPr>
      <w:r w:rsidRPr="00475C48">
        <w:rPr>
          <w:rFonts w:cs="Arial"/>
          <w:sz w:val="20"/>
        </w:rPr>
        <w:t xml:space="preserve">At all times, the permittee must operate and maintain any affected source (as defined in 40 CFR 63.7490, stated in </w:t>
      </w:r>
      <w:r w:rsidRPr="0047449A">
        <w:rPr>
          <w:rFonts w:cs="Arial"/>
          <w:sz w:val="20"/>
        </w:rPr>
        <w:t xml:space="preserve">SC IX.1), </w:t>
      </w:r>
      <w:r w:rsidRPr="00475C48">
        <w:rPr>
          <w:rFonts w:cs="Arial"/>
          <w:sz w:val="20"/>
        </w:rPr>
        <w:t xml:space="preserve">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475C48">
        <w:rPr>
          <w:rFonts w:cs="Arial"/>
          <w:b/>
          <w:sz w:val="20"/>
        </w:rPr>
        <w:t>(40 CFR 63.7500(a)(3))</w:t>
      </w:r>
    </w:p>
    <w:p w14:paraId="04B51B1B" w14:textId="77777777" w:rsidR="00475C48" w:rsidRPr="00475C48" w:rsidRDefault="00475C48" w:rsidP="00475C48">
      <w:pPr>
        <w:jc w:val="both"/>
        <w:rPr>
          <w:rFonts w:cs="Arial"/>
          <w:sz w:val="20"/>
        </w:rPr>
      </w:pPr>
    </w:p>
    <w:p w14:paraId="32DD9A59" w14:textId="77777777" w:rsidR="00475C48" w:rsidRPr="00475C48" w:rsidRDefault="00475C48" w:rsidP="0047449A">
      <w:pPr>
        <w:numPr>
          <w:ilvl w:val="0"/>
          <w:numId w:val="46"/>
        </w:numPr>
        <w:contextualSpacing/>
        <w:jc w:val="both"/>
        <w:rPr>
          <w:rFonts w:cs="Arial"/>
          <w:b/>
          <w:sz w:val="20"/>
        </w:rPr>
      </w:pPr>
      <w:r w:rsidRPr="00475C48">
        <w:rPr>
          <w:rFonts w:cs="Arial"/>
          <w:sz w:val="20"/>
        </w:rPr>
        <w:t xml:space="preserve">As provided in 40 CFR 63.6(g), EPA may approve use of an alternative to the work practice standards.  </w:t>
      </w:r>
      <w:r w:rsidRPr="00475C48">
        <w:rPr>
          <w:rFonts w:cs="Arial"/>
          <w:b/>
          <w:sz w:val="20"/>
        </w:rPr>
        <w:t>(40 CFR 63.7500(b))</w:t>
      </w:r>
    </w:p>
    <w:p w14:paraId="7A77235E" w14:textId="77777777" w:rsidR="00475C48" w:rsidRPr="00475C48" w:rsidRDefault="00475C48" w:rsidP="00475C48">
      <w:pPr>
        <w:contextualSpacing/>
        <w:jc w:val="both"/>
        <w:rPr>
          <w:rFonts w:cs="Arial"/>
          <w:sz w:val="20"/>
        </w:rPr>
      </w:pPr>
    </w:p>
    <w:p w14:paraId="4794C196" w14:textId="77777777" w:rsidR="00475C48" w:rsidRPr="00AC0896" w:rsidRDefault="00475C48" w:rsidP="009D76F8">
      <w:pPr>
        <w:numPr>
          <w:ilvl w:val="0"/>
          <w:numId w:val="46"/>
        </w:numPr>
        <w:contextualSpacing/>
        <w:jc w:val="both"/>
        <w:rPr>
          <w:rFonts w:cs="Arial"/>
          <w:sz w:val="20"/>
        </w:rPr>
      </w:pPr>
      <w:r w:rsidRPr="00AC0896">
        <w:rPr>
          <w:rFonts w:cs="Arial"/>
          <w:sz w:val="20"/>
        </w:rPr>
        <w:t>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w:t>
      </w:r>
      <w:r w:rsidR="0047449A" w:rsidRPr="00AC0896">
        <w:rPr>
          <w:rFonts w:cs="Arial"/>
          <w:sz w:val="20"/>
        </w:rPr>
        <w:t>:</w:t>
      </w:r>
      <w:r w:rsidRPr="00AC0896">
        <w:rPr>
          <w:rFonts w:cs="Arial"/>
          <w:sz w:val="20"/>
        </w:rPr>
        <w:t xml:space="preserve"> </w:t>
      </w:r>
      <w:r w:rsidRPr="00AC0896">
        <w:rPr>
          <w:rFonts w:cs="Arial"/>
          <w:color w:val="FF0000"/>
          <w:sz w:val="20"/>
        </w:rPr>
        <w:t xml:space="preserve"> </w:t>
      </w:r>
      <w:r w:rsidRPr="00AC0896">
        <w:rPr>
          <w:rFonts w:cs="Arial"/>
          <w:b/>
          <w:sz w:val="20"/>
        </w:rPr>
        <w:t>(40 CFR 63.7500(e))</w:t>
      </w:r>
    </w:p>
    <w:p w14:paraId="30D37BD3" w14:textId="010C5765" w:rsidR="00475C48" w:rsidRPr="00475C48" w:rsidRDefault="00475C48" w:rsidP="0047449A">
      <w:pPr>
        <w:numPr>
          <w:ilvl w:val="1"/>
          <w:numId w:val="46"/>
        </w:numPr>
        <w:contextualSpacing/>
        <w:jc w:val="both"/>
        <w:rPr>
          <w:rFonts w:cs="Arial"/>
          <w:sz w:val="20"/>
        </w:rPr>
      </w:pPr>
      <w:r w:rsidRPr="00475C48">
        <w:rPr>
          <w:rFonts w:cs="Arial"/>
          <w:sz w:val="20"/>
        </w:rPr>
        <w:t>Greater than 5 million Btu per hour and less than 10 million Btu per hour must complete a tune-up every 2 years as specified in 40 CFR 63.7540, stated in</w:t>
      </w:r>
      <w:r w:rsidR="00DD504D">
        <w:rPr>
          <w:rFonts w:cs="Arial"/>
          <w:sz w:val="20"/>
        </w:rPr>
        <w:t>.</w:t>
      </w:r>
      <w:r w:rsidRPr="0047449A">
        <w:rPr>
          <w:rFonts w:cs="Arial"/>
          <w:sz w:val="20"/>
        </w:rPr>
        <w:t xml:space="preserve">  </w:t>
      </w:r>
      <w:r w:rsidRPr="00475C48">
        <w:rPr>
          <w:rFonts w:cs="Arial"/>
          <w:b/>
          <w:sz w:val="20"/>
        </w:rPr>
        <w:t>(40 CFR 63.7500(e))</w:t>
      </w:r>
    </w:p>
    <w:p w14:paraId="3C420972" w14:textId="77777777" w:rsidR="00475C48" w:rsidRPr="00475C48" w:rsidRDefault="00475C48" w:rsidP="00475C48">
      <w:pPr>
        <w:jc w:val="both"/>
        <w:rPr>
          <w:rFonts w:cs="Arial"/>
          <w:sz w:val="20"/>
        </w:rPr>
      </w:pPr>
    </w:p>
    <w:p w14:paraId="4C71324E" w14:textId="77777777" w:rsidR="00475C48" w:rsidRPr="00475C48" w:rsidRDefault="00475C48" w:rsidP="0047449A">
      <w:pPr>
        <w:numPr>
          <w:ilvl w:val="0"/>
          <w:numId w:val="46"/>
        </w:numPr>
        <w:contextualSpacing/>
        <w:jc w:val="both"/>
        <w:rPr>
          <w:rFonts w:cs="Arial"/>
          <w:sz w:val="20"/>
        </w:rPr>
      </w:pPr>
      <w:r w:rsidRPr="00475C48">
        <w:rPr>
          <w:rFonts w:cs="Arial"/>
          <w:sz w:val="20"/>
        </w:rPr>
        <w:t xml:space="preserve">The above standards apply at all times the affected unit is operating, except during periods of startup and shutdown during which time the permittee must comply only with items 5 and 6 of Table 3 of 40 CFR Part 63, Subpart DDDDD.  </w:t>
      </w:r>
      <w:r w:rsidRPr="00475C48">
        <w:rPr>
          <w:rFonts w:cs="Arial"/>
          <w:b/>
          <w:sz w:val="20"/>
        </w:rPr>
        <w:t>(40 CFR 63.7500(f))</w:t>
      </w:r>
    </w:p>
    <w:p w14:paraId="2DA3B6A6" w14:textId="77777777" w:rsidR="00475C48" w:rsidRPr="00475C48" w:rsidRDefault="00475C48" w:rsidP="00475C48">
      <w:pPr>
        <w:jc w:val="both"/>
        <w:rPr>
          <w:rFonts w:cs="Arial"/>
          <w:sz w:val="20"/>
        </w:rPr>
      </w:pPr>
    </w:p>
    <w:p w14:paraId="7CA2CFC0" w14:textId="77777777" w:rsidR="00475C48" w:rsidRPr="0047449A" w:rsidRDefault="00475C48" w:rsidP="0047449A">
      <w:pPr>
        <w:numPr>
          <w:ilvl w:val="0"/>
          <w:numId w:val="46"/>
        </w:numPr>
        <w:contextualSpacing/>
        <w:jc w:val="both"/>
        <w:rPr>
          <w:rFonts w:cs="Arial"/>
          <w:sz w:val="20"/>
        </w:rPr>
      </w:pPr>
      <w:r w:rsidRPr="00475C48">
        <w:rPr>
          <w:rFonts w:cs="Arial"/>
          <w:sz w:val="20"/>
        </w:rPr>
        <w:t xml:space="preserve">The permittee must complete an initial tune-up by following the procedures described in 40 CFR 63.7540(a)(10)(i) through (vi), stated </w:t>
      </w:r>
      <w:r w:rsidRPr="0047449A">
        <w:rPr>
          <w:rFonts w:cs="Arial"/>
          <w:sz w:val="20"/>
        </w:rPr>
        <w:t>in SC IX.</w:t>
      </w:r>
      <w:r w:rsidR="0047449A" w:rsidRPr="0047449A">
        <w:rPr>
          <w:rFonts w:cs="Arial"/>
          <w:sz w:val="20"/>
        </w:rPr>
        <w:t>7</w:t>
      </w:r>
      <w:r w:rsidRPr="0047449A">
        <w:rPr>
          <w:rFonts w:cs="Arial"/>
          <w:sz w:val="20"/>
        </w:rPr>
        <w:t>, no later than the compliance date specified in 40 CFR 63.7495, stated in SC IX.</w:t>
      </w:r>
      <w:r w:rsidR="0047449A" w:rsidRPr="0047449A">
        <w:rPr>
          <w:rFonts w:cs="Arial"/>
          <w:sz w:val="20"/>
        </w:rPr>
        <w:t>3</w:t>
      </w:r>
      <w:r w:rsidRPr="0047449A">
        <w:rPr>
          <w:rFonts w:cs="Arial"/>
          <w:sz w:val="20"/>
        </w:rPr>
        <w:t xml:space="preserve"> (no later than January 31, 2016, except as provided in 40 CFR 63.6(i)), except as specified in paragraph (j) of 40 CFR 63.7510.  The permittee must complete the one-time energy assessment specified in Table 3 of 40 CFR Part 63, Subpart DDDDD no later than the compliance date specified in 40 CFR 63.7495, stated in SC IX.</w:t>
      </w:r>
      <w:r w:rsidR="0047449A" w:rsidRPr="0047449A">
        <w:rPr>
          <w:rFonts w:cs="Arial"/>
          <w:sz w:val="20"/>
        </w:rPr>
        <w:t>3</w:t>
      </w:r>
      <w:r w:rsidRPr="0047449A">
        <w:rPr>
          <w:rFonts w:cs="Arial"/>
          <w:sz w:val="20"/>
        </w:rPr>
        <w:t xml:space="preserve"> (no later than January 31, 2016).  </w:t>
      </w:r>
      <w:r w:rsidRPr="0047449A">
        <w:rPr>
          <w:rFonts w:cs="Arial"/>
          <w:b/>
          <w:sz w:val="20"/>
        </w:rPr>
        <w:t>(40 CFR 63.7510(e))</w:t>
      </w:r>
    </w:p>
    <w:p w14:paraId="0D08E39A" w14:textId="77777777" w:rsidR="00475C48" w:rsidRPr="00475C48" w:rsidRDefault="00475C48" w:rsidP="00475C48">
      <w:pPr>
        <w:ind w:left="360" w:hanging="360"/>
        <w:jc w:val="both"/>
        <w:rPr>
          <w:rFonts w:cs="Arial"/>
          <w:sz w:val="20"/>
        </w:rPr>
      </w:pPr>
    </w:p>
    <w:p w14:paraId="29103F52" w14:textId="0629CACE" w:rsidR="00475C48" w:rsidRPr="0047449A" w:rsidRDefault="00475C48" w:rsidP="0047449A">
      <w:pPr>
        <w:numPr>
          <w:ilvl w:val="0"/>
          <w:numId w:val="46"/>
        </w:numPr>
        <w:jc w:val="both"/>
        <w:rPr>
          <w:rFonts w:cs="Arial"/>
          <w:sz w:val="20"/>
        </w:rPr>
      </w:pPr>
      <w:r w:rsidRPr="0047449A">
        <w:rPr>
          <w:rFonts w:cs="Arial"/>
          <w:sz w:val="20"/>
        </w:rPr>
        <w:t>If the permittee is required to meet an applicable tune-up work practice standard, the permittee must conduct an annual performance tune-up according to 40 CFR 63.7540(a)(10), stated in SC IX.</w:t>
      </w:r>
      <w:r w:rsidR="0047449A" w:rsidRPr="0047449A">
        <w:rPr>
          <w:rFonts w:cs="Arial"/>
          <w:sz w:val="20"/>
        </w:rPr>
        <w:t>7</w:t>
      </w:r>
      <w:r w:rsidRPr="0047449A">
        <w:rPr>
          <w:rFonts w:cs="Arial"/>
          <w:sz w:val="20"/>
        </w:rPr>
        <w:t>.a; biennial performance tune-up according to 40 CFR 63.7540(a)(11), stated in SC IX.</w:t>
      </w:r>
      <w:r w:rsidR="0047449A" w:rsidRPr="0047449A">
        <w:rPr>
          <w:rFonts w:cs="Arial"/>
          <w:sz w:val="20"/>
        </w:rPr>
        <w:t>7</w:t>
      </w:r>
      <w:r w:rsidRPr="0047449A">
        <w:rPr>
          <w:rFonts w:cs="Arial"/>
          <w:sz w:val="20"/>
        </w:rPr>
        <w:t>.b; or 5-year performance tune-up according to 40 CFR 63.7540(a)(12), stated in SC IX.</w:t>
      </w:r>
      <w:r w:rsidR="0047449A" w:rsidRPr="0047449A">
        <w:rPr>
          <w:rFonts w:cs="Arial"/>
          <w:sz w:val="20"/>
        </w:rPr>
        <w:t>7</w:t>
      </w:r>
      <w:r w:rsidRPr="0047449A">
        <w:rPr>
          <w:rFonts w:cs="Arial"/>
          <w:sz w:val="20"/>
        </w:rPr>
        <w:t xml:space="preserve">.c.  Each annual tune-up specified in 40 CFR 63.7540(a)(10) must be no more than 13 months after the previous tune-up.  Each biennial tune-up specified in 40 CFR 63.7540(a)(11) must be conducted no more than 25 months after the previous tune-up. Each 5-year tune-up specified in 40 CFR 63.7540(a)(12) must be conducted no more than 61 months after the previous tune-up.  </w:t>
      </w:r>
      <w:r w:rsidRPr="0047449A">
        <w:rPr>
          <w:rFonts w:cs="Arial"/>
          <w:b/>
          <w:sz w:val="20"/>
        </w:rPr>
        <w:t>(40 CFR 63.7515(d))</w:t>
      </w:r>
    </w:p>
    <w:p w14:paraId="6F5A055A" w14:textId="77777777" w:rsidR="00475C48" w:rsidRPr="00475C48" w:rsidRDefault="00475C48" w:rsidP="00475C48">
      <w:pPr>
        <w:jc w:val="both"/>
        <w:rPr>
          <w:rFonts w:cs="Arial"/>
          <w:sz w:val="20"/>
        </w:rPr>
      </w:pPr>
    </w:p>
    <w:p w14:paraId="6B8C425B" w14:textId="77777777" w:rsidR="00475C48" w:rsidRPr="00475C48" w:rsidRDefault="00475C48" w:rsidP="0047449A">
      <w:pPr>
        <w:numPr>
          <w:ilvl w:val="0"/>
          <w:numId w:val="46"/>
        </w:numPr>
        <w:contextualSpacing/>
        <w:jc w:val="both"/>
        <w:rPr>
          <w:b/>
          <w:sz w:val="20"/>
        </w:rPr>
      </w:pPr>
      <w:r w:rsidRPr="00475C48">
        <w:rPr>
          <w:rFonts w:cs="Arial"/>
          <w:sz w:val="20"/>
        </w:rPr>
        <w:t>For startup and shutdown, the permittee must meet the work practice standards according to items 5 and 6 of Table 3 of 40 CFR Part 63, Subpart DDDDD.</w:t>
      </w:r>
      <w:r w:rsidRPr="00475C48">
        <w:rPr>
          <w:sz w:val="20"/>
        </w:rPr>
        <w:t xml:space="preserve">  </w:t>
      </w:r>
      <w:r w:rsidRPr="00475C48">
        <w:rPr>
          <w:b/>
          <w:sz w:val="20"/>
        </w:rPr>
        <w:t>(</w:t>
      </w:r>
      <w:r w:rsidRPr="00475C48">
        <w:rPr>
          <w:rFonts w:cs="Arial"/>
          <w:b/>
          <w:sz w:val="20"/>
        </w:rPr>
        <w:t>40 CFR </w:t>
      </w:r>
      <w:r w:rsidRPr="00475C48">
        <w:rPr>
          <w:b/>
          <w:sz w:val="20"/>
        </w:rPr>
        <w:t>63.7540(d))</w:t>
      </w:r>
    </w:p>
    <w:p w14:paraId="7EDA9637" w14:textId="77777777" w:rsidR="00475C48" w:rsidRPr="00475C48" w:rsidRDefault="00475C48" w:rsidP="00475C48">
      <w:pPr>
        <w:jc w:val="both"/>
        <w:rPr>
          <w:rFonts w:cs="Arial"/>
          <w:sz w:val="20"/>
        </w:rPr>
      </w:pPr>
    </w:p>
    <w:p w14:paraId="22C1B13F" w14:textId="77777777" w:rsidR="00475C48" w:rsidRPr="00475C48" w:rsidRDefault="00475C48" w:rsidP="00475C48">
      <w:pPr>
        <w:jc w:val="both"/>
        <w:rPr>
          <w:b/>
          <w:u w:val="single"/>
        </w:rPr>
      </w:pPr>
      <w:r w:rsidRPr="00475C48">
        <w:rPr>
          <w:b/>
        </w:rPr>
        <w:t xml:space="preserve">IV.  </w:t>
      </w:r>
      <w:r w:rsidRPr="00475C48">
        <w:rPr>
          <w:b/>
          <w:u w:val="single"/>
        </w:rPr>
        <w:t>DESIGN/EQUIPMENT PARAMETER(S)</w:t>
      </w:r>
    </w:p>
    <w:p w14:paraId="7BB97BB3" w14:textId="77777777" w:rsidR="00475C48" w:rsidRPr="00475C48" w:rsidRDefault="00475C48" w:rsidP="00475C48">
      <w:pPr>
        <w:jc w:val="both"/>
        <w:rPr>
          <w:sz w:val="20"/>
        </w:rPr>
      </w:pPr>
    </w:p>
    <w:p w14:paraId="15CB7C9D" w14:textId="77777777" w:rsidR="00475C48" w:rsidRPr="00475C48" w:rsidRDefault="00475C48" w:rsidP="00475C48">
      <w:pPr>
        <w:ind w:left="360" w:hanging="360"/>
        <w:jc w:val="both"/>
        <w:rPr>
          <w:b/>
          <w:sz w:val="20"/>
        </w:rPr>
      </w:pPr>
      <w:r w:rsidRPr="00475C48">
        <w:rPr>
          <w:sz w:val="20"/>
        </w:rPr>
        <w:t>1.</w:t>
      </w:r>
      <w:r w:rsidRPr="00475C48">
        <w:rPr>
          <w:sz w:val="20"/>
        </w:rPr>
        <w:tab/>
        <w:t xml:space="preserve">The boiler or process heater shall have a heat input capacity of less than 10 MMBtu per hour.  </w:t>
      </w:r>
      <w:r w:rsidRPr="00475C48">
        <w:rPr>
          <w:b/>
          <w:sz w:val="20"/>
        </w:rPr>
        <w:t>(40 CFR Part 63, Subpart DDDDD)</w:t>
      </w:r>
    </w:p>
    <w:p w14:paraId="3A784CCE" w14:textId="77777777" w:rsidR="00475C48" w:rsidRPr="00475C48" w:rsidRDefault="00475C48" w:rsidP="00475C48">
      <w:pPr>
        <w:ind w:left="360" w:hanging="360"/>
        <w:jc w:val="both"/>
        <w:rPr>
          <w:sz w:val="20"/>
        </w:rPr>
      </w:pPr>
    </w:p>
    <w:p w14:paraId="34275666" w14:textId="77777777" w:rsidR="00475C48" w:rsidRPr="00475C48" w:rsidRDefault="00475C48" w:rsidP="00475C48">
      <w:pPr>
        <w:jc w:val="both"/>
        <w:rPr>
          <w:b/>
          <w:u w:val="single"/>
        </w:rPr>
      </w:pPr>
      <w:r w:rsidRPr="00475C48">
        <w:rPr>
          <w:b/>
        </w:rPr>
        <w:t xml:space="preserve">V.  </w:t>
      </w:r>
      <w:r w:rsidRPr="00475C48">
        <w:rPr>
          <w:b/>
          <w:u w:val="single"/>
        </w:rPr>
        <w:t>TESTING/SAMPLING</w:t>
      </w:r>
    </w:p>
    <w:p w14:paraId="642A5F8B" w14:textId="77777777" w:rsidR="00475C48" w:rsidRPr="00475C48" w:rsidRDefault="00475C48" w:rsidP="00475C48">
      <w:pPr>
        <w:jc w:val="both"/>
        <w:rPr>
          <w:b/>
          <w:sz w:val="20"/>
        </w:rPr>
      </w:pPr>
      <w:r w:rsidRPr="00475C48">
        <w:rPr>
          <w:sz w:val="20"/>
        </w:rPr>
        <w:t xml:space="preserve">Records shall be maintained on file for a period of five years.  </w:t>
      </w:r>
      <w:r w:rsidRPr="00475C48">
        <w:rPr>
          <w:b/>
          <w:sz w:val="20"/>
        </w:rPr>
        <w:t>(R 336.1213(3)(b)(ii))</w:t>
      </w:r>
    </w:p>
    <w:p w14:paraId="48A04531" w14:textId="77777777" w:rsidR="00475C48" w:rsidRPr="00475C48" w:rsidRDefault="00475C48" w:rsidP="00475C48">
      <w:pPr>
        <w:jc w:val="both"/>
        <w:rPr>
          <w:sz w:val="20"/>
        </w:rPr>
      </w:pPr>
    </w:p>
    <w:p w14:paraId="478B3FA4" w14:textId="77777777" w:rsidR="00475C48" w:rsidRPr="00475C48" w:rsidRDefault="00475C48" w:rsidP="00475C48">
      <w:pPr>
        <w:jc w:val="both"/>
        <w:rPr>
          <w:sz w:val="20"/>
        </w:rPr>
      </w:pPr>
      <w:r w:rsidRPr="00475C48">
        <w:rPr>
          <w:sz w:val="20"/>
        </w:rPr>
        <w:t>NA</w:t>
      </w:r>
    </w:p>
    <w:p w14:paraId="4415646C" w14:textId="77777777" w:rsidR="00475C48" w:rsidRPr="00475C48" w:rsidRDefault="00475C48" w:rsidP="00475C48">
      <w:pPr>
        <w:jc w:val="both"/>
        <w:rPr>
          <w:color w:val="FF0000"/>
          <w:sz w:val="20"/>
        </w:rPr>
      </w:pPr>
    </w:p>
    <w:p w14:paraId="03BA6804" w14:textId="77777777" w:rsidR="00475C48" w:rsidRPr="00475C48" w:rsidRDefault="00475C48" w:rsidP="00475C48">
      <w:pPr>
        <w:keepNext/>
        <w:jc w:val="both"/>
      </w:pPr>
      <w:r w:rsidRPr="00475C48">
        <w:rPr>
          <w:b/>
        </w:rPr>
        <w:t xml:space="preserve">VI.  </w:t>
      </w:r>
      <w:r w:rsidRPr="00475C48">
        <w:rPr>
          <w:b/>
          <w:u w:val="single"/>
        </w:rPr>
        <w:t>MONITORING/RECORDKEEPING</w:t>
      </w:r>
    </w:p>
    <w:p w14:paraId="213520B2" w14:textId="77777777" w:rsidR="00475C48" w:rsidRPr="00475C48" w:rsidRDefault="00475C48" w:rsidP="00475C48">
      <w:pPr>
        <w:jc w:val="both"/>
        <w:rPr>
          <w:sz w:val="20"/>
        </w:rPr>
      </w:pPr>
      <w:r w:rsidRPr="00475C48">
        <w:rPr>
          <w:sz w:val="20"/>
        </w:rPr>
        <w:t xml:space="preserve">Records shall be maintained on file for a period of five years.  </w:t>
      </w:r>
      <w:r w:rsidRPr="00475C48">
        <w:rPr>
          <w:b/>
          <w:sz w:val="20"/>
        </w:rPr>
        <w:t>(R 336.1213(3)(b)(ii))</w:t>
      </w:r>
    </w:p>
    <w:p w14:paraId="0E340BD5" w14:textId="77777777" w:rsidR="00475C48" w:rsidRPr="00475C48" w:rsidRDefault="00475C48" w:rsidP="00475C48">
      <w:pPr>
        <w:jc w:val="both"/>
        <w:rPr>
          <w:rFonts w:cs="Arial"/>
          <w:sz w:val="20"/>
        </w:rPr>
      </w:pPr>
    </w:p>
    <w:p w14:paraId="7DB6A292" w14:textId="77777777" w:rsidR="00475C48" w:rsidRPr="00AC0896" w:rsidRDefault="00475C48" w:rsidP="009D76F8">
      <w:pPr>
        <w:numPr>
          <w:ilvl w:val="0"/>
          <w:numId w:val="53"/>
        </w:numPr>
        <w:jc w:val="both"/>
        <w:rPr>
          <w:rFonts w:cs="Arial"/>
          <w:sz w:val="20"/>
        </w:rPr>
      </w:pPr>
      <w:r w:rsidRPr="00AC0896">
        <w:rPr>
          <w:rFonts w:cs="Arial"/>
          <w:sz w:val="20"/>
        </w:rPr>
        <w:t>The permittee must keep records according to paragraphs (a)(1) and (2) of 40 CFR 63.7555, as listed below</w:t>
      </w:r>
      <w:r w:rsidR="00AC0896" w:rsidRPr="00AC0896">
        <w:rPr>
          <w:rFonts w:cs="Arial"/>
          <w:sz w:val="20"/>
        </w:rPr>
        <w:t>:</w:t>
      </w:r>
      <w:r w:rsidRPr="00AC0896">
        <w:rPr>
          <w:rFonts w:cs="Arial"/>
          <w:sz w:val="20"/>
        </w:rPr>
        <w:t xml:space="preserve">  </w:t>
      </w:r>
      <w:r w:rsidRPr="00AC0896">
        <w:rPr>
          <w:rFonts w:cs="Arial"/>
          <w:b/>
          <w:sz w:val="20"/>
        </w:rPr>
        <w:t>(40 CFR 63.7555(a))</w:t>
      </w:r>
    </w:p>
    <w:p w14:paraId="6287C415" w14:textId="77777777" w:rsidR="00475C48" w:rsidRPr="00AC0896" w:rsidRDefault="00475C48" w:rsidP="009D76F8">
      <w:pPr>
        <w:numPr>
          <w:ilvl w:val="0"/>
          <w:numId w:val="47"/>
        </w:numPr>
        <w:jc w:val="both"/>
        <w:rPr>
          <w:rFonts w:cs="Arial"/>
          <w:sz w:val="20"/>
        </w:rPr>
      </w:pPr>
      <w:r w:rsidRPr="00AC0896">
        <w:rPr>
          <w:rFonts w:cs="Arial"/>
          <w:sz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AC0896">
        <w:rPr>
          <w:rFonts w:cs="Arial"/>
          <w:b/>
          <w:sz w:val="20"/>
        </w:rPr>
        <w:t>(40 CFR 63.7555(a)(1))</w:t>
      </w:r>
    </w:p>
    <w:p w14:paraId="0D7A3C03" w14:textId="77777777" w:rsidR="00475C48" w:rsidRPr="00475C48" w:rsidRDefault="00475C48" w:rsidP="0047449A">
      <w:pPr>
        <w:numPr>
          <w:ilvl w:val="0"/>
          <w:numId w:val="47"/>
        </w:numPr>
        <w:jc w:val="both"/>
        <w:rPr>
          <w:rFonts w:cs="Arial"/>
          <w:sz w:val="20"/>
        </w:rPr>
      </w:pPr>
      <w:r w:rsidRPr="00475C48">
        <w:rPr>
          <w:rFonts w:cs="Arial"/>
          <w:sz w:val="20"/>
        </w:rPr>
        <w:t xml:space="preserve">Records of performance tests, fuel analyses, or other compliance demonstrations and performance evaluations as required in 40 CFR 63.10(b)(2)(viii).  </w:t>
      </w:r>
      <w:r w:rsidRPr="00475C48">
        <w:rPr>
          <w:rFonts w:cs="Arial"/>
          <w:b/>
          <w:sz w:val="20"/>
        </w:rPr>
        <w:t>(40 CFR 63.7555(a)(2))</w:t>
      </w:r>
    </w:p>
    <w:p w14:paraId="255D0586" w14:textId="77777777" w:rsidR="00475C48" w:rsidRPr="00475C48" w:rsidRDefault="00475C48" w:rsidP="00475C48">
      <w:pPr>
        <w:jc w:val="both"/>
        <w:rPr>
          <w:rFonts w:cs="Arial"/>
          <w:sz w:val="20"/>
        </w:rPr>
      </w:pPr>
    </w:p>
    <w:p w14:paraId="7CA9B5A0" w14:textId="77777777" w:rsidR="00475C48" w:rsidRPr="00475C48" w:rsidRDefault="0047449A" w:rsidP="00475C48">
      <w:pPr>
        <w:ind w:left="360" w:hanging="360"/>
        <w:jc w:val="both"/>
        <w:rPr>
          <w:rFonts w:cs="Arial"/>
          <w:sz w:val="20"/>
        </w:rPr>
      </w:pPr>
      <w:r>
        <w:rPr>
          <w:rFonts w:cs="Arial"/>
          <w:sz w:val="20"/>
        </w:rPr>
        <w:t>2</w:t>
      </w:r>
      <w:r w:rsidR="00475C48" w:rsidRPr="00475C48">
        <w:rPr>
          <w:rFonts w:cs="Arial"/>
          <w:sz w:val="20"/>
        </w:rPr>
        <w:t>.</w:t>
      </w:r>
      <w:r w:rsidR="00475C48" w:rsidRPr="00475C48">
        <w:rPr>
          <w:rFonts w:cs="Arial"/>
          <w:sz w:val="20"/>
        </w:rPr>
        <w:tab/>
        <w:t xml:space="preserve">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  </w:t>
      </w:r>
      <w:r w:rsidR="00475C48" w:rsidRPr="00475C48">
        <w:rPr>
          <w:rFonts w:cs="Arial"/>
          <w:b/>
          <w:sz w:val="20"/>
        </w:rPr>
        <w:t>(40 CFR 63.7555(h))</w:t>
      </w:r>
    </w:p>
    <w:p w14:paraId="15A9B410" w14:textId="77777777" w:rsidR="00475C48" w:rsidRPr="00475C48" w:rsidRDefault="00475C48" w:rsidP="00475C48">
      <w:pPr>
        <w:ind w:left="360" w:hanging="360"/>
        <w:jc w:val="both"/>
        <w:rPr>
          <w:rFonts w:cs="Arial"/>
          <w:sz w:val="20"/>
        </w:rPr>
      </w:pPr>
    </w:p>
    <w:p w14:paraId="2A6D83E2" w14:textId="77777777" w:rsidR="00475C48" w:rsidRPr="00475C48" w:rsidRDefault="0047449A" w:rsidP="00475C48">
      <w:pPr>
        <w:ind w:left="360" w:hanging="360"/>
        <w:jc w:val="both"/>
        <w:rPr>
          <w:rFonts w:cs="Arial"/>
          <w:sz w:val="20"/>
        </w:rPr>
      </w:pPr>
      <w:r>
        <w:rPr>
          <w:rFonts w:cs="Arial"/>
          <w:sz w:val="20"/>
        </w:rPr>
        <w:t>3</w:t>
      </w:r>
      <w:r w:rsidR="00475C48" w:rsidRPr="00475C48">
        <w:rPr>
          <w:rFonts w:cs="Arial"/>
          <w:sz w:val="20"/>
        </w:rPr>
        <w:t>.</w:t>
      </w:r>
      <w:r w:rsidR="00475C48" w:rsidRPr="00475C48">
        <w:rPr>
          <w:rFonts w:cs="Arial"/>
          <w:sz w:val="20"/>
        </w:rPr>
        <w:tab/>
        <w:t xml:space="preserve">The permittee’s records must be in a form suitable and readily available for expeditious review, according to 40 CFR 63.10(b)(1).  </w:t>
      </w:r>
      <w:r w:rsidR="00475C48" w:rsidRPr="00475C48">
        <w:rPr>
          <w:rFonts w:cs="Arial"/>
          <w:b/>
          <w:sz w:val="20"/>
        </w:rPr>
        <w:t>(40 CFR 63.7560(a))</w:t>
      </w:r>
    </w:p>
    <w:p w14:paraId="4669462D" w14:textId="77777777" w:rsidR="00475C48" w:rsidRPr="00475C48" w:rsidRDefault="00475C48" w:rsidP="00475C48">
      <w:pPr>
        <w:ind w:left="360" w:hanging="360"/>
        <w:jc w:val="both"/>
        <w:rPr>
          <w:rFonts w:cs="Arial"/>
          <w:sz w:val="20"/>
        </w:rPr>
      </w:pPr>
    </w:p>
    <w:p w14:paraId="4FB5F45A" w14:textId="77777777" w:rsidR="00475C48" w:rsidRPr="00475C48" w:rsidRDefault="0047449A" w:rsidP="00475C48">
      <w:pPr>
        <w:ind w:left="360" w:hanging="360"/>
        <w:jc w:val="both"/>
        <w:rPr>
          <w:rFonts w:cs="Arial"/>
          <w:sz w:val="20"/>
        </w:rPr>
      </w:pPr>
      <w:r>
        <w:rPr>
          <w:rFonts w:cs="Arial"/>
          <w:sz w:val="20"/>
        </w:rPr>
        <w:t>4</w:t>
      </w:r>
      <w:r w:rsidR="00475C48" w:rsidRPr="00475C48">
        <w:rPr>
          <w:rFonts w:cs="Arial"/>
          <w:sz w:val="20"/>
        </w:rPr>
        <w:t>.</w:t>
      </w:r>
      <w:r w:rsidR="00475C48" w:rsidRPr="00475C48">
        <w:rPr>
          <w:rFonts w:cs="Arial"/>
          <w:sz w:val="20"/>
        </w:rPr>
        <w:tab/>
        <w:t xml:space="preserve">As specified in 40 CFR 63.10(b)(1), the permittee must keep each record for 5 years following the date of each occurrence, measurement, maintenance, corrective action, report, or record.  </w:t>
      </w:r>
      <w:r w:rsidR="00475C48" w:rsidRPr="00475C48">
        <w:rPr>
          <w:rFonts w:cs="Arial"/>
          <w:b/>
          <w:sz w:val="20"/>
        </w:rPr>
        <w:t>(40 CFR 63.7560(b))</w:t>
      </w:r>
    </w:p>
    <w:p w14:paraId="126C0FE4" w14:textId="77777777" w:rsidR="00475C48" w:rsidRPr="00475C48" w:rsidRDefault="00475C48" w:rsidP="00475C48">
      <w:pPr>
        <w:ind w:left="360" w:hanging="360"/>
        <w:jc w:val="both"/>
        <w:rPr>
          <w:rFonts w:cs="Arial"/>
          <w:sz w:val="20"/>
        </w:rPr>
      </w:pPr>
    </w:p>
    <w:p w14:paraId="56AA6695" w14:textId="77777777" w:rsidR="00475C48" w:rsidRPr="00457073" w:rsidRDefault="0047449A" w:rsidP="00457073">
      <w:pPr>
        <w:ind w:left="360" w:hanging="360"/>
        <w:jc w:val="both"/>
        <w:rPr>
          <w:rFonts w:cs="Arial"/>
          <w:sz w:val="20"/>
        </w:rPr>
      </w:pPr>
      <w:r>
        <w:rPr>
          <w:rFonts w:cs="Arial"/>
          <w:sz w:val="20"/>
        </w:rPr>
        <w:t>5</w:t>
      </w:r>
      <w:r w:rsidR="00475C48" w:rsidRPr="00475C48">
        <w:rPr>
          <w:rFonts w:cs="Arial"/>
          <w:sz w:val="20"/>
        </w:rPr>
        <w:t>.</w:t>
      </w:r>
      <w:r w:rsidR="00475C48" w:rsidRPr="00475C48">
        <w:rPr>
          <w:rFonts w:cs="Arial"/>
          <w:sz w:val="20"/>
        </w:rPr>
        <w:tab/>
        <w:t xml:space="preserve">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  </w:t>
      </w:r>
      <w:r w:rsidR="00475C48" w:rsidRPr="00475C48">
        <w:rPr>
          <w:rFonts w:cs="Arial"/>
          <w:b/>
          <w:sz w:val="20"/>
        </w:rPr>
        <w:t>(40 CFR 63.7560(c)</w:t>
      </w:r>
      <w:r w:rsidR="00BC74F1">
        <w:rPr>
          <w:rFonts w:cs="Arial"/>
          <w:b/>
          <w:sz w:val="20"/>
        </w:rPr>
        <w:t>)</w:t>
      </w:r>
    </w:p>
    <w:p w14:paraId="6AF8BBB5" w14:textId="77777777" w:rsidR="00787518" w:rsidRDefault="00787518" w:rsidP="00475C48">
      <w:pPr>
        <w:jc w:val="both"/>
        <w:rPr>
          <w:b/>
        </w:rPr>
      </w:pPr>
    </w:p>
    <w:p w14:paraId="6345FE2C" w14:textId="77777777" w:rsidR="00475C48" w:rsidRPr="00475C48" w:rsidRDefault="00475C48" w:rsidP="00475C48">
      <w:pPr>
        <w:jc w:val="both"/>
        <w:rPr>
          <w:b/>
          <w:u w:val="single"/>
        </w:rPr>
      </w:pPr>
      <w:r w:rsidRPr="00475C48">
        <w:rPr>
          <w:b/>
        </w:rPr>
        <w:t xml:space="preserve">VII.  </w:t>
      </w:r>
      <w:r w:rsidRPr="00475C48">
        <w:rPr>
          <w:b/>
          <w:u w:val="single"/>
        </w:rPr>
        <w:t>REPORTING</w:t>
      </w:r>
    </w:p>
    <w:p w14:paraId="0F34BBB9" w14:textId="77777777" w:rsidR="00475C48" w:rsidRPr="00475C48" w:rsidRDefault="00475C48" w:rsidP="00475C48">
      <w:pPr>
        <w:jc w:val="both"/>
        <w:rPr>
          <w:sz w:val="20"/>
        </w:rPr>
      </w:pPr>
    </w:p>
    <w:p w14:paraId="75126499" w14:textId="77777777" w:rsidR="00475C48" w:rsidRPr="00475C48" w:rsidRDefault="00475C48" w:rsidP="00475C48">
      <w:pPr>
        <w:ind w:left="360" w:hanging="360"/>
        <w:jc w:val="both"/>
        <w:rPr>
          <w:b/>
          <w:sz w:val="20"/>
        </w:rPr>
      </w:pPr>
      <w:r w:rsidRPr="00475C48">
        <w:rPr>
          <w:sz w:val="20"/>
        </w:rPr>
        <w:t>1.</w:t>
      </w:r>
      <w:r w:rsidRPr="00475C48">
        <w:rPr>
          <w:sz w:val="20"/>
        </w:rPr>
        <w:tab/>
        <w:t xml:space="preserve">Prompt reporting of deviations pursuant to General Conditions 21 and 22 of Part A.  </w:t>
      </w:r>
      <w:r w:rsidRPr="00475C48">
        <w:rPr>
          <w:b/>
          <w:sz w:val="20"/>
        </w:rPr>
        <w:t>(R 336.1213(3)(c)(ii))</w:t>
      </w:r>
    </w:p>
    <w:p w14:paraId="5DAA2ADB" w14:textId="77777777" w:rsidR="00475C48" w:rsidRPr="00475C48" w:rsidRDefault="00475C48" w:rsidP="00475C48">
      <w:pPr>
        <w:ind w:left="360" w:hanging="360"/>
        <w:jc w:val="both"/>
        <w:rPr>
          <w:sz w:val="20"/>
        </w:rPr>
      </w:pPr>
    </w:p>
    <w:p w14:paraId="643AF557" w14:textId="77777777" w:rsidR="00475C48" w:rsidRPr="00475C48" w:rsidRDefault="00475C48" w:rsidP="00475C48">
      <w:pPr>
        <w:ind w:left="360" w:hanging="360"/>
        <w:jc w:val="both"/>
        <w:rPr>
          <w:b/>
          <w:sz w:val="20"/>
        </w:rPr>
      </w:pPr>
      <w:r w:rsidRPr="00475C48">
        <w:rPr>
          <w:sz w:val="20"/>
        </w:rPr>
        <w:t>2.</w:t>
      </w:r>
      <w:r w:rsidRPr="00475C48">
        <w:rPr>
          <w:sz w:val="20"/>
        </w:rPr>
        <w:tab/>
        <w:t>Semiannual reporting of monitoring and deviations pursuant to General Condition 23 of Part A.  The report shall be postmarked or</w:t>
      </w:r>
      <w:r w:rsidRPr="00475C48">
        <w:rPr>
          <w:b/>
          <w:sz w:val="20"/>
        </w:rPr>
        <w:t xml:space="preserve"> </w:t>
      </w:r>
      <w:r w:rsidRPr="00475C48">
        <w:rPr>
          <w:sz w:val="20"/>
        </w:rPr>
        <w:t xml:space="preserve">received by the appropriate AQD District Office by March 15 for reporting period July 1 to December 31 and September 15 for reporting period January 1 to June 30.  </w:t>
      </w:r>
      <w:r w:rsidRPr="00475C48">
        <w:rPr>
          <w:b/>
          <w:sz w:val="20"/>
        </w:rPr>
        <w:t>(R 336.1213(3)(c)(i))</w:t>
      </w:r>
    </w:p>
    <w:p w14:paraId="44E2E605" w14:textId="77777777" w:rsidR="00475C48" w:rsidRPr="00475C48" w:rsidRDefault="00475C48" w:rsidP="00475C48">
      <w:pPr>
        <w:ind w:left="360" w:hanging="360"/>
        <w:jc w:val="both"/>
        <w:rPr>
          <w:sz w:val="20"/>
        </w:rPr>
      </w:pPr>
    </w:p>
    <w:p w14:paraId="4F9F185F" w14:textId="77777777" w:rsidR="00475C48" w:rsidRPr="00475C48" w:rsidRDefault="00475C48" w:rsidP="00475C48">
      <w:pPr>
        <w:ind w:left="360" w:hanging="360"/>
        <w:jc w:val="both"/>
        <w:rPr>
          <w:sz w:val="20"/>
        </w:rPr>
      </w:pPr>
      <w:r w:rsidRPr="00475C48">
        <w:rPr>
          <w:sz w:val="20"/>
        </w:rPr>
        <w:t>3.</w:t>
      </w:r>
      <w:r w:rsidRPr="00475C48">
        <w:rPr>
          <w:sz w:val="20"/>
        </w:rPr>
        <w:tab/>
        <w:t>Annual certification of compliance pursuant to General Conditions 19 and 20 of Part A.  The report shall be postmarked or</w:t>
      </w:r>
      <w:r w:rsidRPr="00475C48">
        <w:rPr>
          <w:b/>
          <w:sz w:val="20"/>
        </w:rPr>
        <w:t xml:space="preserve"> </w:t>
      </w:r>
      <w:r w:rsidRPr="00475C48">
        <w:rPr>
          <w:sz w:val="20"/>
        </w:rPr>
        <w:t xml:space="preserve">received by the appropriate AQD District Office by March 15 for the previous calendar year.  </w:t>
      </w:r>
      <w:r w:rsidRPr="00475C48">
        <w:rPr>
          <w:b/>
          <w:sz w:val="20"/>
        </w:rPr>
        <w:t>(R 336.1213(4)(c))</w:t>
      </w:r>
    </w:p>
    <w:p w14:paraId="2576C416" w14:textId="77777777" w:rsidR="00475C48" w:rsidRPr="00475C48" w:rsidRDefault="00475C48" w:rsidP="00475C48">
      <w:pPr>
        <w:jc w:val="both"/>
        <w:rPr>
          <w:rFonts w:cs="Arial"/>
          <w:sz w:val="20"/>
        </w:rPr>
      </w:pPr>
    </w:p>
    <w:p w14:paraId="584D5615" w14:textId="77777777" w:rsidR="00475C48" w:rsidRPr="00475C48" w:rsidRDefault="00475C48" w:rsidP="0047449A">
      <w:pPr>
        <w:numPr>
          <w:ilvl w:val="0"/>
          <w:numId w:val="48"/>
        </w:numPr>
        <w:contextualSpacing/>
        <w:jc w:val="both"/>
        <w:rPr>
          <w:b/>
          <w:sz w:val="20"/>
        </w:rPr>
      </w:pPr>
      <w:r w:rsidRPr="00475C48">
        <w:rPr>
          <w:rFonts w:cs="Arial"/>
          <w:sz w:val="20"/>
        </w:rPr>
        <w:t xml:space="preserve">The permittee must meet the notification requirements in 40 CFR 63.7545 according to the schedule in 40 CFR 63.7545, both stated in </w:t>
      </w:r>
      <w:r w:rsidRPr="00457073">
        <w:rPr>
          <w:rFonts w:cs="Arial"/>
          <w:sz w:val="20"/>
        </w:rPr>
        <w:t>SC VII.8 through SC VII.1</w:t>
      </w:r>
      <w:r w:rsidR="00457073" w:rsidRPr="00457073">
        <w:rPr>
          <w:rFonts w:cs="Arial"/>
          <w:sz w:val="20"/>
        </w:rPr>
        <w:t>1</w:t>
      </w:r>
      <w:r w:rsidRPr="00475C48">
        <w:rPr>
          <w:rFonts w:cs="Arial"/>
          <w:sz w:val="20"/>
        </w:rPr>
        <w:t>, and in Subpart A of 40 CFR</w:t>
      </w:r>
      <w:r w:rsidR="00BC74F1">
        <w:rPr>
          <w:rFonts w:cs="Arial"/>
          <w:sz w:val="20"/>
        </w:rPr>
        <w:t xml:space="preserve"> Part</w:t>
      </w:r>
      <w:r w:rsidRPr="00475C48">
        <w:rPr>
          <w:rFonts w:cs="Arial"/>
          <w:sz w:val="20"/>
        </w:rPr>
        <w:t xml:space="preserve"> 63.  </w:t>
      </w:r>
      <w:r w:rsidRPr="00475C48">
        <w:rPr>
          <w:rFonts w:cs="Arial"/>
          <w:b/>
          <w:sz w:val="20"/>
        </w:rPr>
        <w:t>(</w:t>
      </w:r>
      <w:r w:rsidRPr="00475C48">
        <w:rPr>
          <w:b/>
          <w:sz w:val="20"/>
        </w:rPr>
        <w:t>40 CFR 63.7495(d))</w:t>
      </w:r>
    </w:p>
    <w:p w14:paraId="29EC5885" w14:textId="77777777" w:rsidR="00475C48" w:rsidRPr="00475C48" w:rsidRDefault="00475C48" w:rsidP="00475C48">
      <w:pPr>
        <w:jc w:val="both"/>
        <w:rPr>
          <w:sz w:val="20"/>
        </w:rPr>
      </w:pPr>
    </w:p>
    <w:p w14:paraId="6B0CA794" w14:textId="77777777" w:rsidR="00475C48" w:rsidRPr="00475C48" w:rsidRDefault="00475C48" w:rsidP="0047449A">
      <w:pPr>
        <w:numPr>
          <w:ilvl w:val="0"/>
          <w:numId w:val="54"/>
        </w:numPr>
        <w:jc w:val="both"/>
        <w:rPr>
          <w:rFonts w:cs="Arial"/>
          <w:sz w:val="20"/>
        </w:rPr>
      </w:pPr>
      <w:r w:rsidRPr="00475C48">
        <w:rPr>
          <w:rFonts w:cs="Arial"/>
          <w:sz w:val="20"/>
        </w:rPr>
        <w:t xml:space="preserve">If the permittee owns or operates an existing unit with a heat input capacity of less than 10 million Btu per hour or a unit in the unit designed to burn gas 1 subcategory, the permittee must submit a signed statement in the Notification of Compliance Status report that indicates that the permittee conducted a tune-up of the unit.  </w:t>
      </w:r>
    </w:p>
    <w:p w14:paraId="5F85BA9F" w14:textId="77777777" w:rsidR="00475C48" w:rsidRPr="00475C48" w:rsidRDefault="00475C48" w:rsidP="00475C48">
      <w:pPr>
        <w:ind w:left="360"/>
        <w:jc w:val="both"/>
        <w:rPr>
          <w:rFonts w:cs="Arial"/>
          <w:sz w:val="20"/>
        </w:rPr>
      </w:pPr>
      <w:r w:rsidRPr="00475C48">
        <w:rPr>
          <w:rFonts w:cs="Arial"/>
          <w:b/>
          <w:sz w:val="20"/>
        </w:rPr>
        <w:t>(40 CFR 63.7530(d))</w:t>
      </w:r>
    </w:p>
    <w:p w14:paraId="2855484B" w14:textId="77777777" w:rsidR="00475C48" w:rsidRPr="00475C48" w:rsidRDefault="00475C48" w:rsidP="00475C48">
      <w:pPr>
        <w:jc w:val="both"/>
        <w:rPr>
          <w:rFonts w:cs="Arial"/>
          <w:sz w:val="20"/>
        </w:rPr>
      </w:pPr>
    </w:p>
    <w:p w14:paraId="6AC3399D" w14:textId="5B6D317F" w:rsidR="00475C48" w:rsidRPr="00475C48" w:rsidRDefault="00475C48" w:rsidP="0047449A">
      <w:pPr>
        <w:numPr>
          <w:ilvl w:val="0"/>
          <w:numId w:val="54"/>
        </w:numPr>
        <w:contextualSpacing/>
        <w:jc w:val="both"/>
        <w:rPr>
          <w:rFonts w:cs="Arial"/>
          <w:sz w:val="20"/>
        </w:rPr>
      </w:pPr>
      <w:r w:rsidRPr="00475C48">
        <w:rPr>
          <w:rFonts w:cs="Arial"/>
          <w:sz w:val="20"/>
        </w:rPr>
        <w:t xml:space="preserve">The permittee must include with the Notification of Compliance Status a signed certification that either the energy assessment was completed according to Table 3 of 40 CFR Part 63, Subpart DDDDD, and that the assessment is an accurate depiction of the facility at the time of the assessment, or that the maximum number of on-site technical hours specified in the definition of energy assessment applicable to the facility has been expended.  </w:t>
      </w:r>
      <w:r w:rsidRPr="00475C48">
        <w:rPr>
          <w:rFonts w:cs="Arial"/>
          <w:b/>
          <w:sz w:val="20"/>
        </w:rPr>
        <w:t>(40</w:t>
      </w:r>
      <w:r w:rsidR="00BC74F1">
        <w:rPr>
          <w:rFonts w:cs="Arial"/>
          <w:b/>
          <w:sz w:val="20"/>
        </w:rPr>
        <w:t> </w:t>
      </w:r>
      <w:r w:rsidRPr="00475C48">
        <w:rPr>
          <w:rFonts w:cs="Arial"/>
          <w:b/>
          <w:sz w:val="20"/>
        </w:rPr>
        <w:t>CFR 63.7530(e))</w:t>
      </w:r>
    </w:p>
    <w:p w14:paraId="5E862A1A" w14:textId="77777777" w:rsidR="00475C48" w:rsidRPr="00475C48" w:rsidRDefault="00475C48" w:rsidP="00475C48">
      <w:pPr>
        <w:jc w:val="both"/>
        <w:rPr>
          <w:rFonts w:cs="Arial"/>
          <w:sz w:val="20"/>
        </w:rPr>
      </w:pPr>
    </w:p>
    <w:p w14:paraId="5C0A2121" w14:textId="77777777" w:rsidR="00475C48" w:rsidRPr="00475C48" w:rsidRDefault="00475C48" w:rsidP="0047449A">
      <w:pPr>
        <w:numPr>
          <w:ilvl w:val="0"/>
          <w:numId w:val="54"/>
        </w:numPr>
        <w:contextualSpacing/>
        <w:jc w:val="both"/>
        <w:rPr>
          <w:rFonts w:cs="Arial"/>
          <w:sz w:val="20"/>
        </w:rPr>
      </w:pPr>
      <w:r w:rsidRPr="00475C48">
        <w:rPr>
          <w:rFonts w:cs="Arial"/>
          <w:sz w:val="20"/>
        </w:rPr>
        <w:t xml:space="preserve">The permittee must submit the Notification of Compliance Status containing the results of the initial compliance demonstration according to the requirements in 40 CFR 63.7545(e), stated in </w:t>
      </w:r>
      <w:r w:rsidRPr="00457073">
        <w:rPr>
          <w:rFonts w:cs="Arial"/>
          <w:sz w:val="20"/>
        </w:rPr>
        <w:t xml:space="preserve">SC VII.11.  </w:t>
      </w:r>
      <w:r w:rsidRPr="00475C48">
        <w:rPr>
          <w:rFonts w:cs="Arial"/>
          <w:b/>
          <w:sz w:val="20"/>
        </w:rPr>
        <w:t>(40 CFR 63.7530(f))</w:t>
      </w:r>
    </w:p>
    <w:p w14:paraId="0BA5C83B" w14:textId="77777777" w:rsidR="00475C48" w:rsidRPr="00475C48" w:rsidRDefault="00475C48" w:rsidP="00475C48">
      <w:pPr>
        <w:ind w:left="720"/>
        <w:contextualSpacing/>
        <w:rPr>
          <w:rFonts w:cs="Arial"/>
          <w:sz w:val="20"/>
        </w:rPr>
      </w:pPr>
    </w:p>
    <w:p w14:paraId="71FF3FB8" w14:textId="77777777" w:rsidR="00475C48" w:rsidRPr="00475C48" w:rsidRDefault="00475C48" w:rsidP="0047449A">
      <w:pPr>
        <w:numPr>
          <w:ilvl w:val="0"/>
          <w:numId w:val="54"/>
        </w:numPr>
        <w:contextualSpacing/>
        <w:jc w:val="both"/>
        <w:rPr>
          <w:rFonts w:cs="Arial"/>
          <w:sz w:val="20"/>
        </w:rPr>
      </w:pPr>
      <w:r w:rsidRPr="00475C48">
        <w:rPr>
          <w:rFonts w:cs="Arial"/>
          <w:sz w:val="20"/>
        </w:rPr>
        <w:t xml:space="preserve">The permittee must report each instance in which they did not meet each emission limit and operating limit in Tables 1 through 4 </w:t>
      </w:r>
      <w:r w:rsidRPr="00475C48">
        <w:rPr>
          <w:rFonts w:cs="Arial"/>
          <w:vanish/>
          <w:sz w:val="20"/>
        </w:rPr>
        <w:t xml:space="preserve">or 11 through 13 </w:t>
      </w:r>
      <w:r w:rsidRPr="00475C48">
        <w:rPr>
          <w:rFonts w:cs="Arial"/>
          <w:sz w:val="20"/>
        </w:rPr>
        <w:t xml:space="preserve">to this subpart that applies. </w:t>
      </w:r>
      <w:r w:rsidR="00BC74F1">
        <w:rPr>
          <w:rFonts w:cs="Arial"/>
          <w:sz w:val="20"/>
        </w:rPr>
        <w:t xml:space="preserve"> </w:t>
      </w:r>
      <w:r w:rsidRPr="00475C48">
        <w:rPr>
          <w:rFonts w:cs="Arial"/>
          <w:sz w:val="20"/>
        </w:rPr>
        <w:t xml:space="preserve">These instances are deviations from the emission limits or operating limits, respectively, in this subpart. </w:t>
      </w:r>
      <w:r w:rsidR="00BC74F1">
        <w:rPr>
          <w:rFonts w:cs="Arial"/>
          <w:sz w:val="20"/>
        </w:rPr>
        <w:t xml:space="preserve"> </w:t>
      </w:r>
      <w:r w:rsidRPr="00475C48">
        <w:rPr>
          <w:rFonts w:cs="Arial"/>
          <w:sz w:val="20"/>
        </w:rPr>
        <w:t xml:space="preserve">These deviations must be reported according to the requirements in 40 CFR 63.7550, cited </w:t>
      </w:r>
      <w:r w:rsidRPr="00457073">
        <w:rPr>
          <w:rFonts w:cs="Arial"/>
          <w:sz w:val="20"/>
        </w:rPr>
        <w:t>in SC VII 1</w:t>
      </w:r>
      <w:r w:rsidR="00457073" w:rsidRPr="00457073">
        <w:rPr>
          <w:rFonts w:cs="Arial"/>
          <w:sz w:val="20"/>
        </w:rPr>
        <w:t>4</w:t>
      </w:r>
      <w:r w:rsidRPr="00457073">
        <w:rPr>
          <w:rFonts w:cs="Arial"/>
          <w:sz w:val="20"/>
        </w:rPr>
        <w:t>.</w:t>
      </w:r>
      <w:r w:rsidR="00BC74F1">
        <w:rPr>
          <w:rFonts w:cs="Arial"/>
          <w:sz w:val="20"/>
        </w:rPr>
        <w:t xml:space="preserve"> </w:t>
      </w:r>
      <w:r w:rsidRPr="00457073">
        <w:rPr>
          <w:rFonts w:cs="Arial"/>
          <w:sz w:val="20"/>
        </w:rPr>
        <w:t xml:space="preserve"> </w:t>
      </w:r>
      <w:r w:rsidRPr="00475C48">
        <w:rPr>
          <w:rFonts w:cs="Arial"/>
          <w:b/>
          <w:sz w:val="20"/>
        </w:rPr>
        <w:t>(40 CFR 63.7540(b))</w:t>
      </w:r>
    </w:p>
    <w:p w14:paraId="683C7033" w14:textId="77777777" w:rsidR="00475C48" w:rsidRPr="00475C48" w:rsidRDefault="00475C48" w:rsidP="00475C48">
      <w:pPr>
        <w:jc w:val="both"/>
        <w:rPr>
          <w:rFonts w:cs="Arial"/>
          <w:sz w:val="20"/>
        </w:rPr>
      </w:pPr>
    </w:p>
    <w:p w14:paraId="71A94631" w14:textId="77777777" w:rsidR="00475C48" w:rsidRPr="00475C48" w:rsidRDefault="00475C48" w:rsidP="0047449A">
      <w:pPr>
        <w:numPr>
          <w:ilvl w:val="0"/>
          <w:numId w:val="54"/>
        </w:numPr>
        <w:jc w:val="both"/>
        <w:rPr>
          <w:rFonts w:cs="Arial"/>
          <w:sz w:val="20"/>
        </w:rPr>
      </w:pPr>
      <w:r w:rsidRPr="00475C48">
        <w:rPr>
          <w:rFonts w:cs="Arial"/>
          <w:sz w:val="20"/>
        </w:rPr>
        <w:t xml:space="preserve">The permittee must submit to the Administrator all of the notifications in 40 CFR 63.7(b) and (c), 40 CFR 63.8(e), (f)(4) and (6), and 40 CFR 63.9(b) through (h) that apply to the permittee by the dates specified.  </w:t>
      </w:r>
      <w:r w:rsidRPr="00475C48">
        <w:rPr>
          <w:rFonts w:cs="Arial"/>
          <w:b/>
          <w:sz w:val="20"/>
        </w:rPr>
        <w:t>(40 CFR 63.7545(a))</w:t>
      </w:r>
    </w:p>
    <w:p w14:paraId="05F6B4B3" w14:textId="77777777" w:rsidR="00475C48" w:rsidRPr="00475C48" w:rsidRDefault="00475C48" w:rsidP="00475C48">
      <w:pPr>
        <w:jc w:val="both"/>
        <w:rPr>
          <w:rFonts w:cs="Arial"/>
          <w:sz w:val="20"/>
        </w:rPr>
      </w:pPr>
    </w:p>
    <w:p w14:paraId="647EE3E8" w14:textId="77777777" w:rsidR="00475C48" w:rsidRPr="00475C48" w:rsidRDefault="00475C48" w:rsidP="0047449A">
      <w:pPr>
        <w:numPr>
          <w:ilvl w:val="0"/>
          <w:numId w:val="54"/>
        </w:numPr>
        <w:jc w:val="both"/>
        <w:rPr>
          <w:rFonts w:cs="Arial"/>
          <w:sz w:val="20"/>
        </w:rPr>
      </w:pPr>
      <w:r w:rsidRPr="00475C48">
        <w:rPr>
          <w:rFonts w:cs="Arial"/>
          <w:sz w:val="20"/>
        </w:rPr>
        <w:t xml:space="preserve">As specified in 40 CFR 63.9(b)(2), if </w:t>
      </w:r>
      <w:r w:rsidR="00BC74F1">
        <w:rPr>
          <w:rFonts w:cs="Arial"/>
          <w:sz w:val="20"/>
        </w:rPr>
        <w:t xml:space="preserve">the </w:t>
      </w:r>
      <w:r w:rsidRPr="00475C48">
        <w:rPr>
          <w:rFonts w:cs="Arial"/>
          <w:sz w:val="20"/>
        </w:rPr>
        <w:t xml:space="preserve">permittee starts up the affected source before January 31, 2013, the permittee must submit an Initial Notification not later than 120 days after January 31, 2013.  </w:t>
      </w:r>
      <w:r w:rsidRPr="00475C48">
        <w:rPr>
          <w:rFonts w:cs="Arial"/>
          <w:b/>
          <w:sz w:val="20"/>
        </w:rPr>
        <w:t>(40 CFR 63.7545(b))</w:t>
      </w:r>
    </w:p>
    <w:p w14:paraId="72FA33EA" w14:textId="77777777" w:rsidR="00475C48" w:rsidRPr="00475C48" w:rsidRDefault="00475C48" w:rsidP="00475C48">
      <w:pPr>
        <w:ind w:firstLine="480"/>
        <w:jc w:val="both"/>
        <w:rPr>
          <w:rFonts w:cs="Arial"/>
          <w:sz w:val="20"/>
        </w:rPr>
      </w:pPr>
    </w:p>
    <w:p w14:paraId="03A682C9" w14:textId="77777777" w:rsidR="00475C48" w:rsidRPr="00475C48" w:rsidRDefault="00475C48" w:rsidP="0047449A">
      <w:pPr>
        <w:numPr>
          <w:ilvl w:val="0"/>
          <w:numId w:val="54"/>
        </w:numPr>
        <w:jc w:val="both"/>
        <w:rPr>
          <w:rFonts w:cs="Arial"/>
          <w:sz w:val="20"/>
        </w:rPr>
      </w:pPr>
      <w:r w:rsidRPr="00475C48">
        <w:rPr>
          <w:rFonts w:cs="Arial"/>
          <w:sz w:val="20"/>
        </w:rPr>
        <w:t>If the permittee is required to conduct an initial compliance demonstration as specified in 40 CFR 63.7530, the permittee must submit a Notification of Compliance Status according to 40 CFR 63.9(h)(2)(ii).  For the initial compliance demonstration for each boiler or process heater, the permittee must submit the Notification of Compliance Status, including all performance test results and fuel analyses, before the close of business on the 60</w:t>
      </w:r>
      <w:r w:rsidRPr="004C0811">
        <w:rPr>
          <w:rFonts w:cs="Arial"/>
          <w:sz w:val="20"/>
          <w:vertAlign w:val="superscript"/>
        </w:rPr>
        <w:t>th</w:t>
      </w:r>
      <w:r w:rsidRPr="00475C48">
        <w:rPr>
          <w:rFonts w:cs="Arial"/>
          <w:sz w:val="20"/>
        </w:rPr>
        <w:t xml:space="preserve"> day following the completion of all performance test and/or other initial compliance demonstrations for all boiler or process heaters at the facility according to 40 CFR 63.10(d)(2).  The Notification of Compliance Status report must contain all the information specified in paragraphs (e)(1) through (8), as applicable.  If the permittee is not required to conduct an initial compliance demonstration as specified in 40 CFR 63.7530(a), the Notification of Compliance Status must only contain the information specified in paragraphs (e)(1) and (8) and must be submitted within 60 days of the January 31, 2016 compliance date</w:t>
      </w:r>
      <w:r w:rsidR="00787518">
        <w:rPr>
          <w:rFonts w:cs="Arial"/>
          <w:sz w:val="20"/>
        </w:rPr>
        <w:t>:</w:t>
      </w:r>
      <w:r w:rsidRPr="00475C48">
        <w:rPr>
          <w:rFonts w:cs="Arial"/>
          <w:sz w:val="20"/>
        </w:rPr>
        <w:t xml:space="preserve">  </w:t>
      </w:r>
      <w:r w:rsidRPr="00475C48">
        <w:rPr>
          <w:rFonts w:cs="Arial"/>
          <w:b/>
          <w:sz w:val="20"/>
        </w:rPr>
        <w:t>(40 CFR 63.7545(e))</w:t>
      </w:r>
    </w:p>
    <w:p w14:paraId="25F4065A" w14:textId="77777777" w:rsidR="00475C48" w:rsidRPr="00787518" w:rsidRDefault="00475C48" w:rsidP="009D76F8">
      <w:pPr>
        <w:numPr>
          <w:ilvl w:val="1"/>
          <w:numId w:val="55"/>
        </w:numPr>
        <w:ind w:left="720"/>
        <w:jc w:val="both"/>
        <w:rPr>
          <w:rFonts w:cs="Arial"/>
          <w:sz w:val="20"/>
        </w:rPr>
      </w:pPr>
      <w:r w:rsidRPr="00787518">
        <w:rPr>
          <w:rFonts w:cs="Arial"/>
          <w:sz w:val="20"/>
        </w:rPr>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  </w:t>
      </w:r>
      <w:r w:rsidRPr="00787518">
        <w:rPr>
          <w:rFonts w:cs="Arial"/>
          <w:b/>
          <w:sz w:val="20"/>
        </w:rPr>
        <w:t>(40 CFR 63.7545(e)(1))</w:t>
      </w:r>
    </w:p>
    <w:p w14:paraId="1DA4806A" w14:textId="77777777" w:rsidR="00475C48" w:rsidRPr="00475C48" w:rsidRDefault="00475C48" w:rsidP="0087115A">
      <w:pPr>
        <w:numPr>
          <w:ilvl w:val="1"/>
          <w:numId w:val="55"/>
        </w:numPr>
        <w:ind w:left="720"/>
        <w:jc w:val="both"/>
        <w:rPr>
          <w:rFonts w:cs="Arial"/>
          <w:sz w:val="20"/>
        </w:rPr>
      </w:pPr>
      <w:r w:rsidRPr="00475C48">
        <w:rPr>
          <w:rFonts w:cs="Arial"/>
          <w:sz w:val="20"/>
        </w:rPr>
        <w:t xml:space="preserve">In addition to the information required in 40 CFR 63.9(h)(2), your notification of compliance status must include the following certification(s) of compliance, as applicable, and signed by a responsible official:  </w:t>
      </w:r>
      <w:r w:rsidRPr="00475C48">
        <w:rPr>
          <w:rFonts w:cs="Arial"/>
          <w:b/>
          <w:sz w:val="20"/>
        </w:rPr>
        <w:t>(40 CFR 63.7545(e)(8))</w:t>
      </w:r>
    </w:p>
    <w:p w14:paraId="4ADF348E" w14:textId="0710BD97" w:rsidR="00475C48" w:rsidRPr="00475C48" w:rsidRDefault="00475C48" w:rsidP="0087115A">
      <w:pPr>
        <w:ind w:left="990" w:hanging="270"/>
        <w:jc w:val="both"/>
        <w:rPr>
          <w:rFonts w:cs="Arial"/>
          <w:b/>
          <w:sz w:val="20"/>
        </w:rPr>
      </w:pPr>
      <w:r w:rsidRPr="00475C48">
        <w:rPr>
          <w:rFonts w:cs="Arial"/>
          <w:sz w:val="20"/>
        </w:rPr>
        <w:t>i.</w:t>
      </w:r>
      <w:r w:rsidR="0096282B">
        <w:rPr>
          <w:rFonts w:cs="Arial"/>
          <w:sz w:val="20"/>
        </w:rPr>
        <w:tab/>
      </w:r>
      <w:r w:rsidRPr="00475C48">
        <w:rPr>
          <w:rFonts w:cs="Arial"/>
          <w:sz w:val="20"/>
        </w:rPr>
        <w:t>“This facility completed the required initial tune-up for all of the boilers and process heaters covered by 40</w:t>
      </w:r>
      <w:r w:rsidR="00E03865">
        <w:rPr>
          <w:rFonts w:cs="Arial"/>
          <w:sz w:val="20"/>
        </w:rPr>
        <w:t> </w:t>
      </w:r>
      <w:r w:rsidRPr="00475C48">
        <w:rPr>
          <w:rFonts w:cs="Arial"/>
          <w:sz w:val="20"/>
        </w:rPr>
        <w:t xml:space="preserve">CFR Part 63, Subpart DDDDD at this site according to the procedures in 40 CFR 63.7540(a)(10)(i) through (vi).”  </w:t>
      </w:r>
      <w:r w:rsidRPr="00475C48">
        <w:rPr>
          <w:rFonts w:cs="Arial"/>
          <w:b/>
          <w:sz w:val="20"/>
        </w:rPr>
        <w:t>(40 CFR 63.7545(e)(8)(i))</w:t>
      </w:r>
    </w:p>
    <w:p w14:paraId="6FF00173" w14:textId="77777777" w:rsidR="00475C48" w:rsidRPr="00475C48" w:rsidRDefault="00475C48" w:rsidP="0087115A">
      <w:pPr>
        <w:ind w:left="990" w:hanging="270"/>
        <w:jc w:val="both"/>
        <w:rPr>
          <w:rFonts w:cs="Arial"/>
          <w:sz w:val="20"/>
        </w:rPr>
      </w:pPr>
      <w:r w:rsidRPr="00475C48">
        <w:rPr>
          <w:rFonts w:cs="Arial"/>
          <w:sz w:val="20"/>
        </w:rPr>
        <w:t>ii.</w:t>
      </w:r>
      <w:r w:rsidR="0096282B">
        <w:rPr>
          <w:rFonts w:cs="Arial"/>
          <w:sz w:val="20"/>
        </w:rPr>
        <w:tab/>
      </w:r>
      <w:r w:rsidRPr="00475C48">
        <w:rPr>
          <w:rFonts w:cs="Arial"/>
          <w:sz w:val="20"/>
        </w:rPr>
        <w:t xml:space="preserve">“This facility has had an energy assessment performed according to 40 CFR 63.7530(e).”  </w:t>
      </w:r>
      <w:r w:rsidRPr="00475C48">
        <w:rPr>
          <w:rFonts w:cs="Arial"/>
          <w:b/>
          <w:sz w:val="20"/>
        </w:rPr>
        <w:t>(40 CFR 63.7545(e)(8)(ii))</w:t>
      </w:r>
    </w:p>
    <w:p w14:paraId="65749F1F" w14:textId="77777777" w:rsidR="00475C48" w:rsidRPr="00475C48" w:rsidRDefault="00475C48" w:rsidP="0087115A">
      <w:pPr>
        <w:ind w:left="990" w:hanging="270"/>
        <w:jc w:val="both"/>
        <w:rPr>
          <w:rFonts w:cs="Arial"/>
          <w:b/>
          <w:sz w:val="20"/>
        </w:rPr>
      </w:pPr>
      <w:r w:rsidRPr="00475C48">
        <w:rPr>
          <w:rFonts w:cs="Arial"/>
          <w:sz w:val="20"/>
        </w:rPr>
        <w:t>iii.</w:t>
      </w:r>
      <w:r w:rsidR="008D631E">
        <w:rPr>
          <w:rFonts w:cs="Arial"/>
          <w:sz w:val="20"/>
        </w:rPr>
        <w:tab/>
      </w:r>
      <w:r w:rsidRPr="00475C48">
        <w:rPr>
          <w:rFonts w:cs="Arial"/>
          <w:sz w:val="20"/>
        </w:rPr>
        <w:t xml:space="preserve">Except for units that burn only natural gas, refinery gas, or other gas 1 fuel, or units that qualify for a statutory exemption as provided in section 129(g)(1) of the Clean Air Act, include the following: “No secondary materials that are solid waste were combusted in any affected unit.”  </w:t>
      </w:r>
      <w:r w:rsidRPr="00475C48">
        <w:rPr>
          <w:rFonts w:cs="Arial"/>
          <w:b/>
          <w:sz w:val="20"/>
        </w:rPr>
        <w:t>(40 CFR 63.7545(e)(8)(iii)))</w:t>
      </w:r>
    </w:p>
    <w:p w14:paraId="46095C53" w14:textId="77777777" w:rsidR="00475C48" w:rsidRPr="00475C48" w:rsidRDefault="00475C48" w:rsidP="00475C48">
      <w:pPr>
        <w:jc w:val="both"/>
        <w:rPr>
          <w:rFonts w:cs="Arial"/>
          <w:sz w:val="20"/>
        </w:rPr>
      </w:pPr>
    </w:p>
    <w:p w14:paraId="7027C3DA" w14:textId="77777777" w:rsidR="00475C48" w:rsidRPr="00E12F15" w:rsidRDefault="00475C48" w:rsidP="009D76F8">
      <w:pPr>
        <w:numPr>
          <w:ilvl w:val="0"/>
          <w:numId w:val="54"/>
        </w:numPr>
        <w:jc w:val="both"/>
        <w:rPr>
          <w:rFonts w:cs="Arial"/>
          <w:sz w:val="20"/>
        </w:rPr>
      </w:pPr>
      <w:r w:rsidRPr="00E12F15">
        <w:rPr>
          <w:rFonts w:cs="Arial"/>
          <w:sz w:val="20"/>
        </w:rPr>
        <w:t xml:space="preserve">If the permittee has switched fuels or made a physical change to the boiler or process heater and the fuel switch or physical change resulted in the applicability of a different subcategory, the permittee must provide notice of the date upon which the permittee switched fuels or made the physical change within 30 days of the switch/change. </w:t>
      </w:r>
      <w:r w:rsidR="00E03865">
        <w:rPr>
          <w:rFonts w:cs="Arial"/>
          <w:sz w:val="20"/>
        </w:rPr>
        <w:t xml:space="preserve"> </w:t>
      </w:r>
      <w:r w:rsidRPr="00E12F15">
        <w:rPr>
          <w:rFonts w:cs="Arial"/>
          <w:sz w:val="20"/>
        </w:rPr>
        <w:t xml:space="preserve">The notification must identify:  </w:t>
      </w:r>
      <w:r w:rsidRPr="00E12F15">
        <w:rPr>
          <w:rFonts w:cs="Arial"/>
          <w:b/>
          <w:sz w:val="20"/>
        </w:rPr>
        <w:t>(40 CFR 63.7545(h))</w:t>
      </w:r>
    </w:p>
    <w:p w14:paraId="40916B05" w14:textId="77777777" w:rsidR="00475C48" w:rsidRPr="00E12F15" w:rsidRDefault="00475C48" w:rsidP="009D76F8">
      <w:pPr>
        <w:numPr>
          <w:ilvl w:val="0"/>
          <w:numId w:val="58"/>
        </w:numPr>
        <w:jc w:val="both"/>
        <w:rPr>
          <w:rFonts w:cs="Arial"/>
          <w:sz w:val="20"/>
        </w:rPr>
      </w:pPr>
      <w:r w:rsidRPr="00E12F15">
        <w:rPr>
          <w:rFonts w:cs="Arial"/>
          <w:sz w:val="20"/>
        </w:rPr>
        <w:t xml:space="preserve">The name of the owner or operator of the affected source, as defined in 40 CFR 63.7490, stated in </w:t>
      </w:r>
      <w:r w:rsidRPr="004C0811">
        <w:rPr>
          <w:rFonts w:cs="Arial"/>
          <w:sz w:val="20"/>
        </w:rPr>
        <w:t>SC IX.1</w:t>
      </w:r>
      <w:r w:rsidRPr="00E12F15">
        <w:rPr>
          <w:rFonts w:cs="Arial"/>
          <w:sz w:val="20"/>
        </w:rPr>
        <w:t xml:space="preserve">, the location of the source, the boiler(s) and process heater(s) that have switched fuels, were physically changed, and the date of the notice.  </w:t>
      </w:r>
      <w:r w:rsidRPr="00E12F15">
        <w:rPr>
          <w:rFonts w:cs="Arial"/>
          <w:b/>
          <w:sz w:val="20"/>
        </w:rPr>
        <w:t>(40 CFR 63.7545(h)(1))</w:t>
      </w:r>
    </w:p>
    <w:p w14:paraId="25C37D27" w14:textId="77777777" w:rsidR="00475C48" w:rsidRPr="00E12F15" w:rsidRDefault="00475C48" w:rsidP="009D76F8">
      <w:pPr>
        <w:numPr>
          <w:ilvl w:val="0"/>
          <w:numId w:val="58"/>
        </w:numPr>
        <w:contextualSpacing/>
        <w:jc w:val="both"/>
        <w:rPr>
          <w:rFonts w:cs="Arial"/>
          <w:sz w:val="20"/>
        </w:rPr>
      </w:pPr>
      <w:r w:rsidRPr="00E12F15">
        <w:rPr>
          <w:rFonts w:cs="Arial"/>
          <w:sz w:val="20"/>
        </w:rPr>
        <w:t xml:space="preserve">The currently applicable subcategory under 40 CFR Part 63, Subpart DDDDD.  </w:t>
      </w:r>
      <w:r w:rsidRPr="00E12F15">
        <w:rPr>
          <w:rFonts w:cs="Arial"/>
          <w:b/>
          <w:sz w:val="20"/>
        </w:rPr>
        <w:t>(40 CFR 63.7545(h)(2))</w:t>
      </w:r>
    </w:p>
    <w:p w14:paraId="57A50EF1" w14:textId="77777777" w:rsidR="00475C48" w:rsidRPr="00475C48" w:rsidRDefault="00475C48" w:rsidP="0047449A">
      <w:pPr>
        <w:numPr>
          <w:ilvl w:val="0"/>
          <w:numId w:val="58"/>
        </w:numPr>
        <w:jc w:val="both"/>
        <w:rPr>
          <w:rFonts w:cs="Arial"/>
          <w:sz w:val="20"/>
        </w:rPr>
      </w:pPr>
      <w:r w:rsidRPr="00475C48">
        <w:rPr>
          <w:rFonts w:cs="Arial"/>
          <w:sz w:val="20"/>
        </w:rPr>
        <w:t xml:space="preserve">The date upon which the fuel switch or physical change occurred.  </w:t>
      </w:r>
      <w:r w:rsidRPr="00475C48">
        <w:rPr>
          <w:rFonts w:cs="Arial"/>
          <w:b/>
          <w:sz w:val="20"/>
        </w:rPr>
        <w:t>(40 CFR 63.7545(h)(3))</w:t>
      </w:r>
    </w:p>
    <w:p w14:paraId="723B2238" w14:textId="77777777" w:rsidR="00475C48" w:rsidRPr="00475C48" w:rsidRDefault="00475C48" w:rsidP="00475C48">
      <w:pPr>
        <w:ind w:left="720" w:hanging="360"/>
        <w:jc w:val="both"/>
        <w:rPr>
          <w:rFonts w:cs="Arial"/>
          <w:sz w:val="20"/>
        </w:rPr>
      </w:pPr>
    </w:p>
    <w:p w14:paraId="619CA30C" w14:textId="77777777" w:rsidR="00475C48" w:rsidRPr="00475C48" w:rsidRDefault="00475C48" w:rsidP="0047449A">
      <w:pPr>
        <w:numPr>
          <w:ilvl w:val="0"/>
          <w:numId w:val="54"/>
        </w:numPr>
        <w:jc w:val="both"/>
        <w:rPr>
          <w:rFonts w:cs="Arial"/>
          <w:sz w:val="20"/>
        </w:rPr>
      </w:pPr>
      <w:r w:rsidRPr="00475C48">
        <w:rPr>
          <w:rFonts w:cs="Arial"/>
          <w:sz w:val="20"/>
        </w:rPr>
        <w:t xml:space="preserve">The permittee must submit each report in Table 9 of 40 CFR Part 63, Subpart DDDDD that applies.  </w:t>
      </w:r>
      <w:r w:rsidRPr="00475C48">
        <w:rPr>
          <w:rFonts w:cs="Arial"/>
          <w:b/>
          <w:sz w:val="20"/>
        </w:rPr>
        <w:t>(40 CFR 63.7550(a))</w:t>
      </w:r>
    </w:p>
    <w:p w14:paraId="5127E1FE" w14:textId="77777777" w:rsidR="00475C48" w:rsidRPr="00475C48" w:rsidRDefault="00475C48" w:rsidP="00475C48">
      <w:pPr>
        <w:jc w:val="both"/>
        <w:rPr>
          <w:rFonts w:cs="Arial"/>
          <w:sz w:val="20"/>
        </w:rPr>
      </w:pPr>
    </w:p>
    <w:p w14:paraId="0215B6ED" w14:textId="28460546" w:rsidR="00475C48" w:rsidRPr="00864F0C" w:rsidRDefault="00475C48" w:rsidP="009D76F8">
      <w:pPr>
        <w:numPr>
          <w:ilvl w:val="0"/>
          <w:numId w:val="54"/>
        </w:numPr>
        <w:contextualSpacing/>
        <w:jc w:val="both"/>
        <w:rPr>
          <w:rFonts w:cs="Arial"/>
          <w:sz w:val="20"/>
        </w:rPr>
      </w:pPr>
      <w:r w:rsidRPr="00864F0C">
        <w:rPr>
          <w:rFonts w:cs="Arial"/>
          <w:sz w:val="20"/>
        </w:rPr>
        <w:t>Unless the EPA Administrator has approved a different schedule for submission of reports under 40 CFR 63.10(a), the permittee must submit each report, according to paragraph (h) of 40 CFR 63.7550, stated in SC VII.1</w:t>
      </w:r>
      <w:r w:rsidR="00495101" w:rsidRPr="00864F0C">
        <w:rPr>
          <w:rFonts w:cs="Arial"/>
          <w:sz w:val="20"/>
        </w:rPr>
        <w:t>7</w:t>
      </w:r>
      <w:r w:rsidRPr="00864F0C">
        <w:rPr>
          <w:rFonts w:cs="Arial"/>
          <w:sz w:val="20"/>
        </w:rPr>
        <w:t>, by the date in Table 9 of 40 CFR Part 63, Subpart DDDDD and according to the requirements in paragraphs (b)(1) through (4) of 40 CFR 63.7550, as listed below.  For units that are subject only to a requirement to conduct an annual tune-up according to 40 CFR 63.7540(a)(10), stated in SC IX.</w:t>
      </w:r>
      <w:r w:rsidR="00495101" w:rsidRPr="00864F0C">
        <w:rPr>
          <w:rFonts w:cs="Arial"/>
          <w:sz w:val="20"/>
        </w:rPr>
        <w:t>7</w:t>
      </w:r>
      <w:r w:rsidRPr="00864F0C">
        <w:rPr>
          <w:rFonts w:cs="Arial"/>
          <w:sz w:val="20"/>
        </w:rPr>
        <w:t>.a, biennial tune-up according to 40 CFR 63.7540(a)(11), stated in SC IX.</w:t>
      </w:r>
      <w:r w:rsidR="00495101" w:rsidRPr="00864F0C">
        <w:rPr>
          <w:rFonts w:cs="Arial"/>
          <w:sz w:val="20"/>
        </w:rPr>
        <w:t>7</w:t>
      </w:r>
      <w:r w:rsidRPr="00864F0C">
        <w:rPr>
          <w:rFonts w:cs="Arial"/>
          <w:sz w:val="20"/>
        </w:rPr>
        <w:t>.b, or 5-year tune-up according to 40 CFR 63.7540(a)(12), stated in SC IX.</w:t>
      </w:r>
      <w:r w:rsidR="00495101" w:rsidRPr="00864F0C">
        <w:rPr>
          <w:rFonts w:cs="Arial"/>
          <w:sz w:val="20"/>
        </w:rPr>
        <w:t>7</w:t>
      </w:r>
      <w:r w:rsidRPr="00864F0C">
        <w:rPr>
          <w:rFonts w:cs="Arial"/>
          <w:sz w:val="20"/>
        </w:rPr>
        <w:t>.c, and not subject to emission limits or Table 4 operating limits, the permittee may submit only an annual, biennial, or 5-year compliance report, as applicable, as specified in paragraphs (b)(1) through (4) of 40 CFR 63.7550, as listed below, instead of a semiannual compliance report</w:t>
      </w:r>
      <w:r w:rsidR="00864F0C" w:rsidRPr="00864F0C">
        <w:rPr>
          <w:rFonts w:cs="Arial"/>
          <w:sz w:val="20"/>
        </w:rPr>
        <w:t>:</w:t>
      </w:r>
      <w:r w:rsidRPr="00864F0C">
        <w:rPr>
          <w:rFonts w:cs="Arial"/>
          <w:sz w:val="20"/>
        </w:rPr>
        <w:t xml:space="preserve">  </w:t>
      </w:r>
      <w:r w:rsidRPr="00864F0C">
        <w:rPr>
          <w:rFonts w:cs="Arial"/>
          <w:b/>
          <w:sz w:val="20"/>
        </w:rPr>
        <w:t>(40 CFR 63.7550(b))</w:t>
      </w:r>
    </w:p>
    <w:p w14:paraId="161759EC" w14:textId="75630E05" w:rsidR="00475C48" w:rsidRPr="00864F0C" w:rsidRDefault="00475C48" w:rsidP="009D76F8">
      <w:pPr>
        <w:numPr>
          <w:ilvl w:val="0"/>
          <w:numId w:val="49"/>
        </w:numPr>
        <w:jc w:val="both"/>
        <w:rPr>
          <w:rFonts w:cs="Arial"/>
          <w:sz w:val="20"/>
        </w:rPr>
      </w:pPr>
      <w:r w:rsidRPr="00864F0C">
        <w:rPr>
          <w:rFonts w:cs="Arial"/>
          <w:sz w:val="20"/>
        </w:rPr>
        <w:t>The first semiannual compliance report must cover the period beginning on the compliance date that is specified for each boiler or process heater in 40 CFR 63.7495, stated in SC IX.</w:t>
      </w:r>
      <w:r w:rsidR="00495101" w:rsidRPr="00864F0C">
        <w:rPr>
          <w:rFonts w:cs="Arial"/>
          <w:sz w:val="20"/>
        </w:rPr>
        <w:t>3</w:t>
      </w:r>
      <w:r w:rsidRPr="00864F0C">
        <w:rPr>
          <w:rFonts w:cs="Arial"/>
          <w:sz w:val="20"/>
        </w:rPr>
        <w:t>, and ending on June 30 or December 31, whichever date is the first date that occurs at least 180 days after the compliance date that is specified for the source in 40 CFR 63.7495, stated in SC IX.</w:t>
      </w:r>
      <w:r w:rsidR="00495101" w:rsidRPr="00864F0C">
        <w:rPr>
          <w:rFonts w:cs="Arial"/>
          <w:sz w:val="20"/>
        </w:rPr>
        <w:t>3</w:t>
      </w:r>
      <w:r w:rsidRPr="00864F0C">
        <w:rPr>
          <w:rFonts w:cs="Arial"/>
          <w:sz w:val="20"/>
        </w:rPr>
        <w:t xml:space="preserve">. </w:t>
      </w:r>
      <w:r w:rsidR="00E03865">
        <w:rPr>
          <w:rFonts w:cs="Arial"/>
          <w:sz w:val="20"/>
        </w:rPr>
        <w:t xml:space="preserve"> </w:t>
      </w:r>
      <w:r w:rsidRPr="00864F0C">
        <w:rPr>
          <w:rFonts w:cs="Arial"/>
          <w:sz w:val="20"/>
        </w:rPr>
        <w:t xml:space="preserve">If submitting an annual, biennial, or 5-year compliance report, the first compliance report must cover the period beginning on the compliance date that is specified for each boiler or process heater in 40 CFR 63.7495 and ending on December 31 within 1, 2, or 5 years, as applicable, after the January 31, 2016 compliance date.  </w:t>
      </w:r>
      <w:r w:rsidRPr="00864F0C">
        <w:rPr>
          <w:rFonts w:cs="Arial"/>
          <w:b/>
          <w:sz w:val="20"/>
        </w:rPr>
        <w:t>(40 CFR 63.7550(b)(1))</w:t>
      </w:r>
    </w:p>
    <w:p w14:paraId="18E17294" w14:textId="361E815B" w:rsidR="00475C48" w:rsidRPr="00475C48" w:rsidRDefault="00475C48" w:rsidP="0047449A">
      <w:pPr>
        <w:numPr>
          <w:ilvl w:val="0"/>
          <w:numId w:val="49"/>
        </w:numPr>
        <w:jc w:val="both"/>
        <w:rPr>
          <w:rFonts w:cs="Arial"/>
          <w:sz w:val="20"/>
        </w:rPr>
      </w:pPr>
      <w:r w:rsidRPr="00475C48">
        <w:rPr>
          <w:rFonts w:cs="Arial"/>
          <w:sz w:val="20"/>
        </w:rPr>
        <w:t>The first semiannual compliance report must be postmarked or submitted no later than July 31 or January</w:t>
      </w:r>
      <w:r w:rsidR="00E03865">
        <w:rPr>
          <w:rFonts w:cs="Arial"/>
          <w:sz w:val="20"/>
        </w:rPr>
        <w:t> </w:t>
      </w:r>
      <w:r w:rsidRPr="00475C48">
        <w:rPr>
          <w:rFonts w:cs="Arial"/>
          <w:sz w:val="20"/>
        </w:rPr>
        <w:t xml:space="preserve">31, whichever date is the first date following the end of the first calendar half after the compliance date that is specified for each boiler or process heater in 40 CFR 63.7495, stated in </w:t>
      </w:r>
      <w:r w:rsidRPr="00495101">
        <w:rPr>
          <w:rFonts w:cs="Arial"/>
          <w:sz w:val="20"/>
        </w:rPr>
        <w:t>SC IX.</w:t>
      </w:r>
      <w:r w:rsidR="00495101" w:rsidRPr="00495101">
        <w:rPr>
          <w:rFonts w:cs="Arial"/>
          <w:sz w:val="20"/>
        </w:rPr>
        <w:t>3</w:t>
      </w:r>
      <w:r w:rsidRPr="00495101">
        <w:rPr>
          <w:rFonts w:cs="Arial"/>
          <w:sz w:val="20"/>
        </w:rPr>
        <w:t xml:space="preserve">.  </w:t>
      </w:r>
      <w:r w:rsidRPr="00475C48">
        <w:rPr>
          <w:rFonts w:cs="Arial"/>
          <w:sz w:val="20"/>
        </w:rPr>
        <w:t xml:space="preserve">The first annual, biennial, or 5-year compliance report must be postmarked or submitted no later than January 31.  </w:t>
      </w:r>
    </w:p>
    <w:p w14:paraId="1BF558F5" w14:textId="77777777" w:rsidR="00475C48" w:rsidRPr="00475C48" w:rsidRDefault="00475C48" w:rsidP="00864F0C">
      <w:pPr>
        <w:ind w:left="720"/>
        <w:jc w:val="both"/>
        <w:rPr>
          <w:rFonts w:cs="Arial"/>
          <w:sz w:val="20"/>
        </w:rPr>
      </w:pPr>
      <w:r w:rsidRPr="00475C48">
        <w:rPr>
          <w:rFonts w:cs="Arial"/>
          <w:b/>
          <w:sz w:val="20"/>
        </w:rPr>
        <w:t>(40 CFR 63.7550(b)(2), (40 CFR 63.10(a)(5))</w:t>
      </w:r>
    </w:p>
    <w:p w14:paraId="2E626388" w14:textId="4B555C98" w:rsidR="00475C48" w:rsidRPr="00864F0C" w:rsidRDefault="00475C48" w:rsidP="009D76F8">
      <w:pPr>
        <w:numPr>
          <w:ilvl w:val="0"/>
          <w:numId w:val="49"/>
        </w:numPr>
        <w:jc w:val="both"/>
        <w:rPr>
          <w:rFonts w:cs="Arial"/>
          <w:sz w:val="20"/>
        </w:rPr>
      </w:pPr>
      <w:r w:rsidRPr="00864F0C">
        <w:rPr>
          <w:rFonts w:cs="Arial"/>
          <w:sz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864F0C">
        <w:rPr>
          <w:rFonts w:cs="Arial"/>
          <w:b/>
          <w:sz w:val="20"/>
        </w:rPr>
        <w:t>(40 CFR 63.7550(b)(3))</w:t>
      </w:r>
    </w:p>
    <w:p w14:paraId="0F91188C" w14:textId="11B7D487" w:rsidR="00475C48" w:rsidRPr="00475C48" w:rsidRDefault="00475C48" w:rsidP="0047449A">
      <w:pPr>
        <w:numPr>
          <w:ilvl w:val="0"/>
          <w:numId w:val="49"/>
        </w:numPr>
        <w:jc w:val="both"/>
        <w:rPr>
          <w:rFonts w:cs="Arial"/>
          <w:sz w:val="20"/>
        </w:rPr>
      </w:pPr>
      <w:r w:rsidRPr="00475C48">
        <w:rPr>
          <w:rFonts w:cs="Arial"/>
          <w:sz w:val="20"/>
        </w:rPr>
        <w:t>Each subsequent semiannual compliance report must be postmarked or submitted no later than September 15 or March 15, whichever date is the first date following the end of the semiannual reporting period. Annual, biennial, and 5-year compliance reports must be postmarked or submitted no later than March</w:t>
      </w:r>
      <w:r w:rsidR="00E03865">
        <w:rPr>
          <w:rFonts w:cs="Arial"/>
          <w:sz w:val="20"/>
        </w:rPr>
        <w:t> </w:t>
      </w:r>
      <w:r w:rsidRPr="00475C48">
        <w:rPr>
          <w:rFonts w:cs="Arial"/>
          <w:sz w:val="20"/>
        </w:rPr>
        <w:t xml:space="preserve">15.  </w:t>
      </w:r>
      <w:r w:rsidRPr="00475C48">
        <w:rPr>
          <w:rFonts w:cs="Arial"/>
          <w:b/>
          <w:sz w:val="20"/>
        </w:rPr>
        <w:t>(40 CFR 63.7550(b)(4), (40 CFR 63.10(a)(5))</w:t>
      </w:r>
    </w:p>
    <w:p w14:paraId="4C6778EB" w14:textId="77777777" w:rsidR="00475C48" w:rsidRPr="00475C48" w:rsidRDefault="00475C48" w:rsidP="00475C48">
      <w:pPr>
        <w:jc w:val="both"/>
        <w:rPr>
          <w:rFonts w:cs="Arial"/>
          <w:sz w:val="20"/>
        </w:rPr>
      </w:pPr>
    </w:p>
    <w:p w14:paraId="3896A2D8" w14:textId="5460F464" w:rsidR="00475C48" w:rsidRPr="00475C48" w:rsidRDefault="00475C48" w:rsidP="0047449A">
      <w:pPr>
        <w:numPr>
          <w:ilvl w:val="0"/>
          <w:numId w:val="54"/>
        </w:numPr>
        <w:jc w:val="both"/>
        <w:rPr>
          <w:rFonts w:cs="Arial"/>
          <w:b/>
          <w:color w:val="FF0000"/>
          <w:sz w:val="20"/>
        </w:rPr>
      </w:pPr>
      <w:r w:rsidRPr="00475C48">
        <w:rPr>
          <w:rFonts w:cs="Arial"/>
          <w:sz w:val="20"/>
        </w:rPr>
        <w:t xml:space="preserve">The first and subsequent compliance reports may be submitted according to the dates specified in SC VII.2 for semiannual ROP reporting. </w:t>
      </w:r>
      <w:r w:rsidRPr="00475C48">
        <w:rPr>
          <w:rFonts w:cs="Arial"/>
          <w:b/>
          <w:sz w:val="20"/>
        </w:rPr>
        <w:t>(40 CFR 63.7550(b)(5))</w:t>
      </w:r>
    </w:p>
    <w:p w14:paraId="05F1F949" w14:textId="77777777" w:rsidR="00475C48" w:rsidRPr="00475C48" w:rsidRDefault="00475C48" w:rsidP="00475C48">
      <w:pPr>
        <w:jc w:val="both"/>
        <w:rPr>
          <w:rFonts w:cs="Arial"/>
          <w:sz w:val="20"/>
        </w:rPr>
      </w:pPr>
    </w:p>
    <w:p w14:paraId="2EF51D91" w14:textId="77777777" w:rsidR="00475C48" w:rsidRPr="00257A1A" w:rsidRDefault="00475C48" w:rsidP="009D76F8">
      <w:pPr>
        <w:numPr>
          <w:ilvl w:val="0"/>
          <w:numId w:val="54"/>
        </w:numPr>
        <w:jc w:val="both"/>
        <w:rPr>
          <w:rFonts w:cs="Arial"/>
          <w:sz w:val="20"/>
        </w:rPr>
      </w:pPr>
      <w:r w:rsidRPr="00257A1A">
        <w:rPr>
          <w:rFonts w:cs="Arial"/>
          <w:sz w:val="20"/>
        </w:rPr>
        <w:t>A compliance report must contain the following information depending on how the permittee chooses to comply with the limits set in this rule</w:t>
      </w:r>
      <w:r w:rsidR="00257A1A" w:rsidRPr="00257A1A">
        <w:rPr>
          <w:rFonts w:cs="Arial"/>
          <w:sz w:val="20"/>
        </w:rPr>
        <w:t>:</w:t>
      </w:r>
      <w:r w:rsidRPr="00257A1A">
        <w:rPr>
          <w:rFonts w:cs="Arial"/>
          <w:b/>
          <w:sz w:val="20"/>
        </w:rPr>
        <w:t xml:space="preserve">  (40 CFR 63.7550(c))</w:t>
      </w:r>
    </w:p>
    <w:p w14:paraId="0C7C186C" w14:textId="77777777" w:rsidR="00475C48" w:rsidRPr="00257A1A" w:rsidRDefault="00475C48" w:rsidP="009D76F8">
      <w:pPr>
        <w:numPr>
          <w:ilvl w:val="0"/>
          <w:numId w:val="50"/>
        </w:numPr>
        <w:jc w:val="both"/>
        <w:rPr>
          <w:rFonts w:cs="Arial"/>
          <w:sz w:val="20"/>
        </w:rPr>
      </w:pPr>
      <w:r w:rsidRPr="00257A1A">
        <w:rPr>
          <w:rFonts w:cs="Arial"/>
          <w:sz w:val="20"/>
        </w:rPr>
        <w:t xml:space="preserve">If the facility is subject to the requirements of a tune up the permittee must submit a compliance report with the information in SC </w:t>
      </w:r>
      <w:proofErr w:type="spellStart"/>
      <w:r w:rsidRPr="00257A1A">
        <w:rPr>
          <w:rFonts w:cs="Arial"/>
          <w:sz w:val="20"/>
        </w:rPr>
        <w:t>VII.18</w:t>
      </w:r>
      <w:proofErr w:type="spellEnd"/>
      <w:r w:rsidRPr="00257A1A">
        <w:rPr>
          <w:rFonts w:cs="Arial"/>
          <w:sz w:val="20"/>
        </w:rPr>
        <w:t xml:space="preserve"> (d)(i) through (iii) and (ix)  </w:t>
      </w:r>
      <w:r w:rsidRPr="00257A1A">
        <w:rPr>
          <w:rFonts w:cs="Arial"/>
          <w:b/>
          <w:sz w:val="20"/>
        </w:rPr>
        <w:t>(40 CFR 63.7550(c)(1))</w:t>
      </w:r>
    </w:p>
    <w:p w14:paraId="0FC1AB6C" w14:textId="77777777" w:rsidR="00475C48" w:rsidRPr="00475C48" w:rsidRDefault="00475C48" w:rsidP="00257A1A">
      <w:pPr>
        <w:numPr>
          <w:ilvl w:val="0"/>
          <w:numId w:val="50"/>
        </w:numPr>
        <w:ind w:left="0" w:firstLine="360"/>
        <w:rPr>
          <w:rFonts w:cs="Arial"/>
          <w:sz w:val="20"/>
        </w:rPr>
      </w:pPr>
      <w:r w:rsidRPr="00475C48">
        <w:rPr>
          <w:rFonts w:cs="Arial"/>
          <w:sz w:val="20"/>
        </w:rPr>
        <w:t>40 CFR 63.7550(c)(5) is as follows:</w:t>
      </w:r>
    </w:p>
    <w:p w14:paraId="13DA0CF4" w14:textId="77777777" w:rsidR="00475C48" w:rsidRPr="00475C48" w:rsidRDefault="00475C48" w:rsidP="00C56A13">
      <w:pPr>
        <w:numPr>
          <w:ilvl w:val="2"/>
          <w:numId w:val="50"/>
        </w:numPr>
        <w:ind w:left="900" w:hanging="90"/>
        <w:rPr>
          <w:rFonts w:cs="Arial"/>
          <w:sz w:val="20"/>
        </w:rPr>
      </w:pPr>
      <w:r w:rsidRPr="00475C48">
        <w:rPr>
          <w:rFonts w:cs="Arial"/>
          <w:sz w:val="20"/>
        </w:rPr>
        <w:t xml:space="preserve">Company and Facility name and address.  </w:t>
      </w:r>
      <w:r w:rsidRPr="00475C48">
        <w:rPr>
          <w:rFonts w:cs="Arial"/>
          <w:b/>
          <w:sz w:val="20"/>
        </w:rPr>
        <w:t>(40 CFR 63.7550(c)(5)(i))</w:t>
      </w:r>
    </w:p>
    <w:p w14:paraId="2F2FA164" w14:textId="77777777" w:rsidR="00475C48" w:rsidRPr="00475C48" w:rsidRDefault="00475C48" w:rsidP="00D72132">
      <w:pPr>
        <w:numPr>
          <w:ilvl w:val="2"/>
          <w:numId w:val="50"/>
        </w:numPr>
        <w:ind w:left="900" w:hanging="90"/>
        <w:jc w:val="both"/>
        <w:rPr>
          <w:rFonts w:cs="Arial"/>
          <w:sz w:val="20"/>
        </w:rPr>
      </w:pPr>
      <w:r w:rsidRPr="00475C48">
        <w:rPr>
          <w:rFonts w:cs="Arial"/>
          <w:sz w:val="20"/>
        </w:rPr>
        <w:t xml:space="preserve">Process unit information, emissions limitations, and operating parameter limitations.  </w:t>
      </w:r>
      <w:r w:rsidRPr="00475C48">
        <w:rPr>
          <w:rFonts w:cs="Arial"/>
          <w:b/>
          <w:sz w:val="20"/>
        </w:rPr>
        <w:t>(40 CFR 63.7550(c)(5)(ii))</w:t>
      </w:r>
    </w:p>
    <w:p w14:paraId="514F4E5F" w14:textId="77777777" w:rsidR="00475C48" w:rsidRPr="00475C48" w:rsidRDefault="00475C48" w:rsidP="00C56A13">
      <w:pPr>
        <w:numPr>
          <w:ilvl w:val="2"/>
          <w:numId w:val="50"/>
        </w:numPr>
        <w:ind w:left="900" w:hanging="90"/>
        <w:rPr>
          <w:rFonts w:cs="Arial"/>
          <w:sz w:val="20"/>
        </w:rPr>
      </w:pPr>
      <w:r w:rsidRPr="00475C48">
        <w:rPr>
          <w:rFonts w:cs="Arial"/>
          <w:sz w:val="20"/>
        </w:rPr>
        <w:t xml:space="preserve">Date of report and beginning and ending dates of the reporting period.  </w:t>
      </w:r>
      <w:r w:rsidRPr="00475C48">
        <w:rPr>
          <w:rFonts w:cs="Arial"/>
          <w:b/>
          <w:sz w:val="20"/>
        </w:rPr>
        <w:t>(40 CFR 63.7550(c)(5)(iii))</w:t>
      </w:r>
    </w:p>
    <w:p w14:paraId="6A7E7291" w14:textId="77777777" w:rsidR="00475C48" w:rsidRPr="00475C48" w:rsidRDefault="00475C48" w:rsidP="00C56A13">
      <w:pPr>
        <w:numPr>
          <w:ilvl w:val="2"/>
          <w:numId w:val="50"/>
        </w:numPr>
        <w:ind w:left="900" w:hanging="90"/>
        <w:rPr>
          <w:rFonts w:cs="Arial"/>
          <w:sz w:val="20"/>
        </w:rPr>
      </w:pPr>
      <w:r w:rsidRPr="00475C48">
        <w:rPr>
          <w:rFonts w:cs="Arial"/>
          <w:sz w:val="20"/>
        </w:rPr>
        <w:t xml:space="preserve">The total operating time during the reporting period.  </w:t>
      </w:r>
      <w:r w:rsidRPr="00475C48">
        <w:rPr>
          <w:rFonts w:cs="Arial"/>
          <w:b/>
          <w:sz w:val="20"/>
        </w:rPr>
        <w:t>(40 CFR 63.7550(c)(5)(iv))</w:t>
      </w:r>
    </w:p>
    <w:p w14:paraId="0FFE1FA3" w14:textId="77777777" w:rsidR="00475C48" w:rsidRPr="00475C48" w:rsidRDefault="00475C48" w:rsidP="00C56A13">
      <w:pPr>
        <w:numPr>
          <w:ilvl w:val="2"/>
          <w:numId w:val="50"/>
        </w:numPr>
        <w:ind w:left="900" w:hanging="90"/>
        <w:jc w:val="both"/>
        <w:rPr>
          <w:rFonts w:cs="Arial"/>
          <w:sz w:val="20"/>
        </w:rPr>
      </w:pPr>
      <w:r w:rsidRPr="00475C48">
        <w:rPr>
          <w:rFonts w:cs="Arial"/>
          <w:sz w:val="20"/>
        </w:rPr>
        <w:t xml:space="preserve">Include the date of the most recent tune-up for each unit subject to only the requirement to conduct an annual tune-up according to 40 CFR 63.7540(a)(10), stated </w:t>
      </w:r>
      <w:r w:rsidRPr="00495101">
        <w:rPr>
          <w:rFonts w:cs="Arial"/>
          <w:sz w:val="20"/>
        </w:rPr>
        <w:t>in SC IX.</w:t>
      </w:r>
      <w:r w:rsidR="00495101" w:rsidRPr="00495101">
        <w:rPr>
          <w:rFonts w:cs="Arial"/>
          <w:sz w:val="20"/>
        </w:rPr>
        <w:t>7</w:t>
      </w:r>
      <w:r w:rsidRPr="00495101">
        <w:rPr>
          <w:rFonts w:cs="Arial"/>
          <w:sz w:val="20"/>
        </w:rPr>
        <w:t>.a, biennial tune-up according to 40 CFR 63.7540(a)(10), stated in SC IX.</w:t>
      </w:r>
      <w:r w:rsidR="00495101" w:rsidRPr="00495101">
        <w:rPr>
          <w:rFonts w:cs="Arial"/>
          <w:sz w:val="20"/>
        </w:rPr>
        <w:t>7</w:t>
      </w:r>
      <w:r w:rsidRPr="00495101">
        <w:rPr>
          <w:rFonts w:cs="Arial"/>
          <w:sz w:val="20"/>
        </w:rPr>
        <w:t>.b, or 5-year tune-up according to 40 CFR 63.7540(a)(12), stated in SC IX.</w:t>
      </w:r>
      <w:r w:rsidR="00495101" w:rsidRPr="00495101">
        <w:rPr>
          <w:rFonts w:cs="Arial"/>
          <w:sz w:val="20"/>
        </w:rPr>
        <w:t>7</w:t>
      </w:r>
      <w:r w:rsidRPr="00495101">
        <w:rPr>
          <w:rFonts w:cs="Arial"/>
          <w:sz w:val="20"/>
        </w:rPr>
        <w:t xml:space="preserve">.c. Include the date </w:t>
      </w:r>
      <w:r w:rsidRPr="00475C48">
        <w:rPr>
          <w:rFonts w:cs="Arial"/>
          <w:sz w:val="20"/>
        </w:rPr>
        <w:t xml:space="preserve">of the most recent burner inspection if it was not done annually, biennially, or on a 5-year period and was delayed until the next scheduled or unscheduled unit shutdown.  </w:t>
      </w:r>
      <w:r w:rsidRPr="00475C48">
        <w:rPr>
          <w:rFonts w:cs="Arial"/>
          <w:b/>
          <w:sz w:val="20"/>
        </w:rPr>
        <w:t>(40 CFR 63.7550(c)(5)(xiv))</w:t>
      </w:r>
    </w:p>
    <w:p w14:paraId="23106677" w14:textId="77777777" w:rsidR="00475C48" w:rsidRPr="00475C48" w:rsidRDefault="00475C48" w:rsidP="00475C48">
      <w:pPr>
        <w:jc w:val="both"/>
        <w:rPr>
          <w:rFonts w:cs="Arial"/>
          <w:sz w:val="20"/>
        </w:rPr>
      </w:pPr>
    </w:p>
    <w:p w14:paraId="4737AA30" w14:textId="77777777" w:rsidR="00475C48" w:rsidRPr="009D2BDF" w:rsidRDefault="00475C48" w:rsidP="009D2BDF">
      <w:pPr>
        <w:numPr>
          <w:ilvl w:val="0"/>
          <w:numId w:val="54"/>
        </w:numPr>
        <w:ind w:left="630" w:hanging="540"/>
        <w:contextualSpacing/>
        <w:jc w:val="both"/>
        <w:rPr>
          <w:rFonts w:cs="Arial"/>
          <w:sz w:val="20"/>
        </w:rPr>
      </w:pPr>
      <w:r w:rsidRPr="009D2BDF">
        <w:rPr>
          <w:rFonts w:cs="Arial"/>
          <w:sz w:val="20"/>
        </w:rPr>
        <w:t>The permittee must submit the reports according to the procedures specified in paragraphs (h)(1) through (3) of 40 CFR 63.7550, as listed below</w:t>
      </w:r>
      <w:r w:rsidR="009D2BDF" w:rsidRPr="009D2BDF">
        <w:rPr>
          <w:rFonts w:cs="Arial"/>
          <w:sz w:val="20"/>
        </w:rPr>
        <w:t>:</w:t>
      </w:r>
      <w:r w:rsidRPr="009D2BDF">
        <w:rPr>
          <w:rFonts w:cs="Arial"/>
          <w:sz w:val="20"/>
        </w:rPr>
        <w:t xml:space="preserve">  </w:t>
      </w:r>
      <w:r w:rsidRPr="009D2BDF">
        <w:rPr>
          <w:rFonts w:cs="Arial"/>
          <w:b/>
          <w:sz w:val="20"/>
        </w:rPr>
        <w:t>(40 CFR 63.7550(h))</w:t>
      </w:r>
    </w:p>
    <w:p w14:paraId="3D88CDCD" w14:textId="7C41EF7F" w:rsidR="00475C48" w:rsidRPr="00C1438C" w:rsidRDefault="00475C48" w:rsidP="0020199D">
      <w:pPr>
        <w:numPr>
          <w:ilvl w:val="1"/>
          <w:numId w:val="51"/>
        </w:numPr>
        <w:spacing w:after="60"/>
        <w:ind w:left="990"/>
        <w:jc w:val="both"/>
        <w:rPr>
          <w:rFonts w:cs="Arial"/>
          <w:sz w:val="20"/>
        </w:rPr>
      </w:pPr>
      <w:r w:rsidRPr="00C1438C">
        <w:rPr>
          <w:rFonts w:cs="Arial"/>
          <w:sz w:val="20"/>
        </w:rPr>
        <w:t xml:space="preserve">The permittee must submit all reports required by Table 9 of 40 CFR Part 63, Subpart DDDDD electronically to the EPA via the CEDRI. (CEDRI can be accessed through the EPA’s CDX.) </w:t>
      </w:r>
      <w:r w:rsidR="00E03865">
        <w:rPr>
          <w:rFonts w:cs="Arial"/>
          <w:sz w:val="20"/>
        </w:rPr>
        <w:t xml:space="preserve"> </w:t>
      </w:r>
      <w:r w:rsidRPr="00C1438C">
        <w:rPr>
          <w:rFonts w:cs="Arial"/>
          <w:sz w:val="20"/>
        </w:rPr>
        <w:t xml:space="preserve">The permittee must use the appropriate electronic report in CEDRI for this subpart.  Instead of using the electronic report in CEDRI for this subpart, the permittee may submit an alternate electronic file consistent with the XML schema listed on the </w:t>
      </w:r>
      <w:proofErr w:type="spellStart"/>
      <w:r w:rsidRPr="00C1438C">
        <w:rPr>
          <w:rFonts w:cs="Arial"/>
          <w:sz w:val="20"/>
        </w:rPr>
        <w:t>CEDRI</w:t>
      </w:r>
      <w:proofErr w:type="spellEnd"/>
      <w:r w:rsidRPr="00C1438C">
        <w:rPr>
          <w:rFonts w:cs="Arial"/>
          <w:sz w:val="20"/>
        </w:rPr>
        <w:t xml:space="preserve"> website (</w:t>
      </w:r>
      <w:r w:rsidRPr="00796780">
        <w:rPr>
          <w:rFonts w:cs="Arial"/>
          <w:sz w:val="20"/>
          <w:u w:val="single"/>
        </w:rPr>
        <w:t>http://</w:t>
      </w:r>
      <w:proofErr w:type="spellStart"/>
      <w:r w:rsidRPr="00796780">
        <w:rPr>
          <w:rFonts w:cs="Arial"/>
          <w:sz w:val="20"/>
          <w:u w:val="single"/>
        </w:rPr>
        <w:t>www.epa.gov</w:t>
      </w:r>
      <w:proofErr w:type="spellEnd"/>
      <w:r w:rsidRPr="00796780">
        <w:rPr>
          <w:rFonts w:cs="Arial"/>
          <w:sz w:val="20"/>
          <w:u w:val="single"/>
        </w:rPr>
        <w:t>/</w:t>
      </w:r>
      <w:proofErr w:type="spellStart"/>
      <w:r w:rsidRPr="00796780">
        <w:rPr>
          <w:rFonts w:cs="Arial"/>
          <w:sz w:val="20"/>
          <w:u w:val="single"/>
        </w:rPr>
        <w:t>ttn</w:t>
      </w:r>
      <w:proofErr w:type="spellEnd"/>
      <w:r w:rsidRPr="00796780">
        <w:rPr>
          <w:rFonts w:cs="Arial"/>
          <w:sz w:val="20"/>
          <w:u w:val="single"/>
        </w:rPr>
        <w:t>/chief/</w:t>
      </w:r>
      <w:proofErr w:type="spellStart"/>
      <w:r w:rsidRPr="00796780">
        <w:rPr>
          <w:rFonts w:cs="Arial"/>
          <w:sz w:val="20"/>
          <w:u w:val="single"/>
        </w:rPr>
        <w:t>cedri</w:t>
      </w:r>
      <w:proofErr w:type="spellEnd"/>
      <w:r w:rsidRPr="00796780">
        <w:rPr>
          <w:rFonts w:cs="Arial"/>
          <w:sz w:val="20"/>
          <w:u w:val="single"/>
        </w:rPr>
        <w:t>/</w:t>
      </w:r>
      <w:proofErr w:type="spellStart"/>
      <w:r w:rsidRPr="00796780">
        <w:rPr>
          <w:rFonts w:cs="Arial"/>
          <w:sz w:val="20"/>
          <w:u w:val="single"/>
        </w:rPr>
        <w:t>index.html</w:t>
      </w:r>
      <w:proofErr w:type="spellEnd"/>
      <w:r w:rsidRPr="00C1438C">
        <w:rPr>
          <w:rFonts w:cs="Arial"/>
          <w:sz w:val="20"/>
        </w:rPr>
        <w:t xml:space="preserve">),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90-days after the form become available in CEDRI.  </w:t>
      </w:r>
      <w:r w:rsidRPr="00C1438C">
        <w:rPr>
          <w:rFonts w:cs="Arial"/>
          <w:b/>
          <w:sz w:val="20"/>
        </w:rPr>
        <w:t>(40 CFR 63.7550(h)(3))</w:t>
      </w:r>
    </w:p>
    <w:p w14:paraId="444C0D8F" w14:textId="77777777" w:rsidR="00E03865" w:rsidRDefault="00E03865" w:rsidP="00475C48">
      <w:pPr>
        <w:jc w:val="both"/>
        <w:rPr>
          <w:rFonts w:cs="Arial"/>
          <w:b/>
          <w:sz w:val="20"/>
        </w:rPr>
      </w:pPr>
    </w:p>
    <w:p w14:paraId="34B109DB" w14:textId="77777777" w:rsidR="00475C48" w:rsidRPr="00475C48" w:rsidRDefault="00475C48" w:rsidP="00475C48">
      <w:pPr>
        <w:jc w:val="both"/>
        <w:rPr>
          <w:rFonts w:cs="Arial"/>
          <w:b/>
          <w:sz w:val="20"/>
        </w:rPr>
      </w:pPr>
      <w:r w:rsidRPr="00475C48">
        <w:rPr>
          <w:rFonts w:cs="Arial"/>
          <w:b/>
          <w:sz w:val="20"/>
        </w:rPr>
        <w:t>See Appendix 8</w:t>
      </w:r>
    </w:p>
    <w:p w14:paraId="06D3E769" w14:textId="77777777" w:rsidR="00475C48" w:rsidRPr="00475C48" w:rsidRDefault="00475C48" w:rsidP="00475C48">
      <w:pPr>
        <w:jc w:val="both"/>
        <w:rPr>
          <w:rFonts w:cs="Arial"/>
          <w:sz w:val="20"/>
        </w:rPr>
      </w:pPr>
    </w:p>
    <w:p w14:paraId="0A615A40" w14:textId="77777777" w:rsidR="00475C48" w:rsidRPr="00475C48" w:rsidRDefault="00475C48" w:rsidP="00475C48">
      <w:pPr>
        <w:jc w:val="both"/>
      </w:pPr>
      <w:r w:rsidRPr="00475C48">
        <w:rPr>
          <w:b/>
        </w:rPr>
        <w:t xml:space="preserve">VIII.  </w:t>
      </w:r>
      <w:r w:rsidRPr="00475C48">
        <w:rPr>
          <w:b/>
          <w:u w:val="single"/>
        </w:rPr>
        <w:t>STACK/VENT RESTRICTION(S)</w:t>
      </w:r>
    </w:p>
    <w:p w14:paraId="53CFF814" w14:textId="77777777" w:rsidR="00475C48" w:rsidRPr="00475C48" w:rsidRDefault="00475C48" w:rsidP="00475C48">
      <w:pPr>
        <w:jc w:val="both"/>
        <w:rPr>
          <w:sz w:val="20"/>
        </w:rPr>
      </w:pPr>
    </w:p>
    <w:p w14:paraId="6C6D0542" w14:textId="77777777" w:rsidR="00475C48" w:rsidRPr="00475C48" w:rsidRDefault="00475C48" w:rsidP="00475C48">
      <w:pPr>
        <w:jc w:val="both"/>
        <w:rPr>
          <w:sz w:val="20"/>
        </w:rPr>
      </w:pPr>
      <w:r w:rsidRPr="00475C48">
        <w:rPr>
          <w:sz w:val="20"/>
        </w:rPr>
        <w:t>NA</w:t>
      </w:r>
    </w:p>
    <w:p w14:paraId="2D6FA7B1" w14:textId="77777777" w:rsidR="00475C48" w:rsidRPr="00475C48" w:rsidRDefault="00475C48" w:rsidP="00475C48">
      <w:pPr>
        <w:jc w:val="both"/>
        <w:rPr>
          <w:sz w:val="20"/>
        </w:rPr>
      </w:pPr>
    </w:p>
    <w:p w14:paraId="2F810EBD" w14:textId="77777777" w:rsidR="00475C48" w:rsidRPr="00475C48" w:rsidRDefault="00475C48" w:rsidP="00475C48">
      <w:pPr>
        <w:jc w:val="both"/>
      </w:pPr>
      <w:r w:rsidRPr="00475C48">
        <w:rPr>
          <w:b/>
        </w:rPr>
        <w:t xml:space="preserve">IX.  </w:t>
      </w:r>
      <w:r w:rsidRPr="00475C48">
        <w:rPr>
          <w:b/>
          <w:u w:val="single"/>
        </w:rPr>
        <w:t>OTHER REQUIREMENT(S)</w:t>
      </w:r>
    </w:p>
    <w:p w14:paraId="051F2F8C" w14:textId="77777777" w:rsidR="00475C48" w:rsidRPr="00475C48" w:rsidRDefault="00475C48" w:rsidP="00475C48">
      <w:pPr>
        <w:jc w:val="both"/>
        <w:rPr>
          <w:sz w:val="20"/>
        </w:rPr>
      </w:pPr>
    </w:p>
    <w:p w14:paraId="186FBAE5" w14:textId="77777777" w:rsidR="00475C48" w:rsidRPr="00475C48" w:rsidRDefault="00475C48" w:rsidP="00475C48">
      <w:pPr>
        <w:ind w:left="360" w:hanging="360"/>
        <w:jc w:val="both"/>
        <w:rPr>
          <w:rFonts w:cs="Arial"/>
          <w:sz w:val="20"/>
        </w:rPr>
      </w:pPr>
      <w:r w:rsidRPr="00475C48">
        <w:rPr>
          <w:rFonts w:cs="Arial"/>
          <w:sz w:val="20"/>
        </w:rPr>
        <w:t>1.</w:t>
      </w:r>
      <w:r w:rsidRPr="00475C48">
        <w:rPr>
          <w:rFonts w:cs="Arial"/>
          <w:sz w:val="20"/>
        </w:rPr>
        <w:tab/>
        <w:t>40 CFR Part 63, Subpart DDDDD applies to existing affected sources as described in paragraph (a)(1) of 40 CFR 63.7490, as listed below</w:t>
      </w:r>
      <w:r w:rsidR="0020199D">
        <w:rPr>
          <w:rFonts w:cs="Arial"/>
          <w:sz w:val="20"/>
        </w:rPr>
        <w:t>:</w:t>
      </w:r>
      <w:r w:rsidRPr="00475C48">
        <w:rPr>
          <w:rFonts w:cs="Arial"/>
          <w:sz w:val="20"/>
        </w:rPr>
        <w:t xml:space="preserve">  </w:t>
      </w:r>
      <w:r w:rsidRPr="00475C48">
        <w:rPr>
          <w:rFonts w:cs="Arial"/>
          <w:b/>
          <w:sz w:val="20"/>
        </w:rPr>
        <w:t>(40 CFR 63.7490(a))</w:t>
      </w:r>
    </w:p>
    <w:p w14:paraId="11619D0A" w14:textId="77777777" w:rsidR="00475C48" w:rsidRPr="00475C48" w:rsidRDefault="00475C48" w:rsidP="00475C48">
      <w:pPr>
        <w:ind w:left="720" w:hanging="360"/>
        <w:jc w:val="both"/>
        <w:rPr>
          <w:rFonts w:cs="Arial"/>
          <w:sz w:val="20"/>
        </w:rPr>
      </w:pPr>
      <w:r w:rsidRPr="00475C48">
        <w:rPr>
          <w:rFonts w:cs="Arial"/>
          <w:sz w:val="20"/>
        </w:rPr>
        <w:t>a.</w:t>
      </w:r>
      <w:r w:rsidRPr="00475C48">
        <w:rPr>
          <w:rFonts w:cs="Arial"/>
          <w:sz w:val="20"/>
        </w:rPr>
        <w:tab/>
        <w:t xml:space="preserve">The affected source of 40 CFR Part 63, Subpart DDDDD is the collection at a major source of all existing industrial, commercial, and institutional boilers and process heaters within a subcategory as defined in 40 CFR 63.7575.  </w:t>
      </w:r>
      <w:r w:rsidRPr="00475C48">
        <w:rPr>
          <w:rFonts w:cs="Arial"/>
          <w:b/>
          <w:sz w:val="20"/>
        </w:rPr>
        <w:t>(40 CFR 63.7490(a)(1))</w:t>
      </w:r>
    </w:p>
    <w:p w14:paraId="68D244CC" w14:textId="5AE5BACD" w:rsidR="00A26563" w:rsidRDefault="00A26563">
      <w:pPr>
        <w:rPr>
          <w:rFonts w:cs="Arial"/>
          <w:sz w:val="20"/>
        </w:rPr>
      </w:pPr>
      <w:r>
        <w:rPr>
          <w:rFonts w:cs="Arial"/>
          <w:sz w:val="20"/>
        </w:rPr>
        <w:br w:type="page"/>
      </w:r>
    </w:p>
    <w:p w14:paraId="3A3C22BD" w14:textId="77777777" w:rsidR="00475C48" w:rsidRPr="00475C48" w:rsidRDefault="00475C48" w:rsidP="00475C48">
      <w:pPr>
        <w:ind w:left="360" w:hanging="360"/>
        <w:jc w:val="both"/>
        <w:rPr>
          <w:rFonts w:cs="Arial"/>
          <w:sz w:val="20"/>
        </w:rPr>
      </w:pPr>
    </w:p>
    <w:p w14:paraId="65A640D7" w14:textId="77777777" w:rsidR="00475C48" w:rsidRPr="0020199D" w:rsidRDefault="00475C48" w:rsidP="009D76F8">
      <w:pPr>
        <w:numPr>
          <w:ilvl w:val="0"/>
          <w:numId w:val="53"/>
        </w:numPr>
        <w:contextualSpacing/>
        <w:jc w:val="both"/>
        <w:rPr>
          <w:rFonts w:cs="Arial"/>
          <w:sz w:val="20"/>
        </w:rPr>
      </w:pPr>
      <w:r w:rsidRPr="0020199D">
        <w:rPr>
          <w:rFonts w:cs="Arial"/>
          <w:sz w:val="20"/>
        </w:rPr>
        <w:t>A boiler or process heater is existing if it is not new or reconstructed, as defined below</w:t>
      </w:r>
      <w:r w:rsidR="0020199D" w:rsidRPr="0020199D">
        <w:rPr>
          <w:rFonts w:cs="Arial"/>
          <w:sz w:val="20"/>
        </w:rPr>
        <w:t>:</w:t>
      </w:r>
      <w:r w:rsidRPr="0020199D">
        <w:rPr>
          <w:rFonts w:cs="Arial"/>
          <w:sz w:val="20"/>
        </w:rPr>
        <w:t xml:space="preserve">  </w:t>
      </w:r>
      <w:r w:rsidRPr="0020199D">
        <w:rPr>
          <w:rFonts w:cs="Arial"/>
          <w:b/>
          <w:sz w:val="20"/>
        </w:rPr>
        <w:t>(40 CFR 63.7490(d))</w:t>
      </w:r>
    </w:p>
    <w:p w14:paraId="3612662D" w14:textId="77777777" w:rsidR="00475C48" w:rsidRPr="0020199D" w:rsidRDefault="00475C48" w:rsidP="009D76F8">
      <w:pPr>
        <w:numPr>
          <w:ilvl w:val="0"/>
          <w:numId w:val="61"/>
        </w:numPr>
        <w:contextualSpacing/>
        <w:jc w:val="both"/>
        <w:rPr>
          <w:rFonts w:cs="Arial"/>
          <w:sz w:val="20"/>
        </w:rPr>
      </w:pPr>
      <w:r w:rsidRPr="0020199D">
        <w:rPr>
          <w:rFonts w:cs="Arial"/>
          <w:sz w:val="20"/>
        </w:rPr>
        <w:t xml:space="preserve">A boiler or process heater is new if the permittee commences construction of the boiler or process heater after June 4, 2010, and the permittee meets the applicability criteria at the time the permittee commences construction.  </w:t>
      </w:r>
      <w:r w:rsidRPr="0020199D">
        <w:rPr>
          <w:rFonts w:cs="Arial"/>
          <w:b/>
          <w:sz w:val="20"/>
        </w:rPr>
        <w:t>(40 CFR 63.7490(b))</w:t>
      </w:r>
    </w:p>
    <w:p w14:paraId="7AE69FAA" w14:textId="268C86C2" w:rsidR="00475C48" w:rsidRPr="00475C48" w:rsidRDefault="00475C48" w:rsidP="00475C48">
      <w:pPr>
        <w:ind w:left="720" w:hanging="360"/>
        <w:jc w:val="both"/>
        <w:rPr>
          <w:rFonts w:cs="Arial"/>
          <w:sz w:val="20"/>
        </w:rPr>
      </w:pPr>
      <w:r w:rsidRPr="00475C48">
        <w:rPr>
          <w:rFonts w:cs="Arial"/>
          <w:sz w:val="20"/>
        </w:rPr>
        <w:t>b.</w:t>
      </w:r>
      <w:r w:rsidRPr="00475C48">
        <w:rPr>
          <w:rFonts w:cs="Arial"/>
          <w:sz w:val="20"/>
        </w:rPr>
        <w:tab/>
        <w:t>A boiler or process heater is reconstructed if the permittee meets the reconstruction criteria as defined in 40</w:t>
      </w:r>
      <w:r w:rsidR="00E03865">
        <w:rPr>
          <w:rFonts w:cs="Arial"/>
          <w:sz w:val="20"/>
        </w:rPr>
        <w:t> </w:t>
      </w:r>
      <w:r w:rsidRPr="00475C48">
        <w:rPr>
          <w:rFonts w:cs="Arial"/>
          <w:sz w:val="20"/>
        </w:rPr>
        <w:t xml:space="preserve">CFR 63.2, the permittee commences reconstruction after June 4, 2010, and the permittee meets the applicability criteria at the time the permittee commence reconstruction.  </w:t>
      </w:r>
      <w:r w:rsidRPr="00475C48">
        <w:rPr>
          <w:rFonts w:cs="Arial"/>
          <w:b/>
          <w:sz w:val="20"/>
        </w:rPr>
        <w:t>(40 CFR 63.7490(c))</w:t>
      </w:r>
    </w:p>
    <w:p w14:paraId="7C883C5B" w14:textId="77777777" w:rsidR="00475C48" w:rsidRPr="00475C48" w:rsidRDefault="00475C48" w:rsidP="00475C48">
      <w:pPr>
        <w:jc w:val="both"/>
        <w:rPr>
          <w:sz w:val="20"/>
        </w:rPr>
      </w:pPr>
    </w:p>
    <w:p w14:paraId="11807C27" w14:textId="77777777" w:rsidR="00475C48" w:rsidRPr="00475C48" w:rsidRDefault="00495101" w:rsidP="00475C48">
      <w:pPr>
        <w:ind w:left="360" w:hanging="360"/>
        <w:jc w:val="both"/>
        <w:rPr>
          <w:rFonts w:cs="Arial"/>
          <w:b/>
          <w:sz w:val="20"/>
        </w:rPr>
      </w:pPr>
      <w:r>
        <w:rPr>
          <w:rFonts w:cs="Arial"/>
          <w:sz w:val="20"/>
        </w:rPr>
        <w:t>3</w:t>
      </w:r>
      <w:r w:rsidR="00475C48" w:rsidRPr="00475C48">
        <w:rPr>
          <w:rFonts w:cs="Arial"/>
          <w:sz w:val="20"/>
        </w:rPr>
        <w:t>.</w:t>
      </w:r>
      <w:r w:rsidR="00475C48" w:rsidRPr="00475C48">
        <w:rPr>
          <w:rFonts w:cs="Arial"/>
          <w:sz w:val="20"/>
        </w:rPr>
        <w:tab/>
        <w:t xml:space="preserve">If the permittee has an existing boiler or process heater, the permittee must comply with 40 CFR Part 63, Subpart DDDDD no later than January 31, 2016, except as provided in 40 CFR 63.6(i).  </w:t>
      </w:r>
      <w:r w:rsidR="00475C48" w:rsidRPr="00475C48">
        <w:rPr>
          <w:rFonts w:cs="Arial"/>
          <w:b/>
          <w:sz w:val="20"/>
        </w:rPr>
        <w:t>(40 CFR 63.7495(b))</w:t>
      </w:r>
    </w:p>
    <w:p w14:paraId="092798D9" w14:textId="77777777" w:rsidR="00475C48" w:rsidRPr="00475C48" w:rsidRDefault="00475C48" w:rsidP="00475C48">
      <w:pPr>
        <w:jc w:val="both"/>
        <w:rPr>
          <w:rFonts w:cs="Arial"/>
          <w:sz w:val="20"/>
        </w:rPr>
      </w:pPr>
    </w:p>
    <w:p w14:paraId="4F1F648B" w14:textId="77777777" w:rsidR="00475C48" w:rsidRPr="00C327AC" w:rsidRDefault="00475C48" w:rsidP="009D76F8">
      <w:pPr>
        <w:numPr>
          <w:ilvl w:val="0"/>
          <w:numId w:val="62"/>
        </w:numPr>
        <w:jc w:val="both"/>
        <w:rPr>
          <w:rFonts w:cs="Arial"/>
          <w:sz w:val="20"/>
        </w:rPr>
      </w:pPr>
      <w:r w:rsidRPr="00C327AC">
        <w:rPr>
          <w:rFonts w:cs="Arial"/>
          <w:sz w:val="20"/>
        </w:rPr>
        <w:t>If the permittee has an area source that increases its emissions or its potential to emit such that it becomes a major source of HAP, paragraph (c)(2) of 40 CFR 63.7495, as listed below, applies to the permittee</w:t>
      </w:r>
      <w:r w:rsidR="00C327AC" w:rsidRPr="00C327AC">
        <w:rPr>
          <w:rFonts w:cs="Arial"/>
          <w:sz w:val="20"/>
        </w:rPr>
        <w:t>:</w:t>
      </w:r>
      <w:r w:rsidRPr="00C327AC">
        <w:rPr>
          <w:rFonts w:cs="Arial"/>
          <w:sz w:val="20"/>
        </w:rPr>
        <w:t xml:space="preserve">  </w:t>
      </w:r>
      <w:r w:rsidRPr="00C327AC">
        <w:rPr>
          <w:rFonts w:cs="Arial"/>
          <w:b/>
          <w:sz w:val="20"/>
        </w:rPr>
        <w:t>(40 CFR 63.7495(c))</w:t>
      </w:r>
    </w:p>
    <w:p w14:paraId="02610CAE" w14:textId="77777777" w:rsidR="00475C48" w:rsidRPr="00475C48" w:rsidRDefault="00475C48" w:rsidP="00475C48">
      <w:pPr>
        <w:ind w:left="720" w:hanging="360"/>
        <w:jc w:val="both"/>
        <w:rPr>
          <w:rFonts w:cs="Arial"/>
          <w:sz w:val="20"/>
        </w:rPr>
      </w:pPr>
      <w:r w:rsidRPr="00475C48">
        <w:rPr>
          <w:rFonts w:cs="Arial"/>
          <w:sz w:val="20"/>
        </w:rPr>
        <w:t>a.</w:t>
      </w:r>
      <w:r w:rsidRPr="00475C48">
        <w:rPr>
          <w:rFonts w:cs="Arial"/>
          <w:sz w:val="20"/>
        </w:rPr>
        <w:tab/>
        <w:t xml:space="preserve">Any existing boiler or process heater at the existing source must be in compliance with 40 CFR Part 63, Subpart DDDDD within 3 years after the source becomes a major source.  </w:t>
      </w:r>
      <w:r w:rsidRPr="00475C48">
        <w:rPr>
          <w:rFonts w:cs="Arial"/>
          <w:b/>
          <w:sz w:val="20"/>
        </w:rPr>
        <w:t>(40 CFR 63.7495(c)(2))</w:t>
      </w:r>
    </w:p>
    <w:p w14:paraId="60301D11" w14:textId="77777777" w:rsidR="00475C48" w:rsidRPr="00475C48" w:rsidRDefault="00475C48" w:rsidP="00475C48">
      <w:pPr>
        <w:ind w:left="360" w:hanging="360"/>
        <w:jc w:val="both"/>
        <w:rPr>
          <w:rFonts w:cs="Arial"/>
          <w:sz w:val="20"/>
        </w:rPr>
      </w:pPr>
    </w:p>
    <w:p w14:paraId="30D7F550" w14:textId="77777777" w:rsidR="00475C48" w:rsidRPr="00495101" w:rsidRDefault="00495101" w:rsidP="00495101">
      <w:pPr>
        <w:ind w:left="360" w:hanging="360"/>
        <w:jc w:val="both"/>
        <w:rPr>
          <w:rFonts w:cs="Arial"/>
          <w:b/>
          <w:sz w:val="20"/>
        </w:rPr>
      </w:pPr>
      <w:r>
        <w:rPr>
          <w:rFonts w:cs="Arial"/>
          <w:sz w:val="20"/>
        </w:rPr>
        <w:t>5</w:t>
      </w:r>
      <w:r w:rsidR="00475C48" w:rsidRPr="00475C48">
        <w:rPr>
          <w:rFonts w:cs="Arial"/>
          <w:sz w:val="20"/>
        </w:rPr>
        <w:t>.</w:t>
      </w:r>
      <w:r w:rsidR="00475C48" w:rsidRPr="00475C48">
        <w:rPr>
          <w:rFonts w:cs="Arial"/>
          <w:sz w:val="20"/>
        </w:rPr>
        <w:tab/>
        <w:t xml:space="preserve">The permittee must be in compliance with the emission limits, work practice standards, and operating limits of 40 CFR Part 63, Subpart DDDDD. These emission and operating limits apply at all times the affected unit is operating except for the periods noted in 40 CFR 63.7500(f), stated in </w:t>
      </w:r>
      <w:r w:rsidR="00475C48" w:rsidRPr="00495101">
        <w:rPr>
          <w:rFonts w:cs="Arial"/>
          <w:sz w:val="20"/>
        </w:rPr>
        <w:t xml:space="preserve">SC III.4.  </w:t>
      </w:r>
      <w:r w:rsidR="00475C48" w:rsidRPr="00495101">
        <w:rPr>
          <w:rFonts w:cs="Arial"/>
          <w:b/>
          <w:sz w:val="20"/>
        </w:rPr>
        <w:t>(40 CFR 63.7505(a))</w:t>
      </w:r>
    </w:p>
    <w:p w14:paraId="67EACA43" w14:textId="77777777" w:rsidR="00475C48" w:rsidRPr="00495101" w:rsidRDefault="00475C48" w:rsidP="00475C48">
      <w:pPr>
        <w:jc w:val="both"/>
        <w:rPr>
          <w:rFonts w:cs="Arial"/>
          <w:sz w:val="20"/>
        </w:rPr>
      </w:pPr>
    </w:p>
    <w:p w14:paraId="355E6221" w14:textId="77777777" w:rsidR="00475C48" w:rsidRPr="00475C48" w:rsidRDefault="00495101" w:rsidP="00475C48">
      <w:pPr>
        <w:ind w:left="360" w:hanging="360"/>
        <w:jc w:val="both"/>
        <w:rPr>
          <w:rFonts w:cs="Arial"/>
          <w:sz w:val="20"/>
        </w:rPr>
      </w:pPr>
      <w:r w:rsidRPr="00495101">
        <w:rPr>
          <w:rFonts w:cs="Arial"/>
          <w:sz w:val="20"/>
        </w:rPr>
        <w:t>6</w:t>
      </w:r>
      <w:r w:rsidR="00475C48" w:rsidRPr="00495101">
        <w:rPr>
          <w:rFonts w:cs="Arial"/>
          <w:sz w:val="20"/>
        </w:rPr>
        <w:t>.</w:t>
      </w:r>
      <w:r w:rsidR="00475C48" w:rsidRPr="00495101">
        <w:rPr>
          <w:rFonts w:cs="Arial"/>
          <w:sz w:val="20"/>
        </w:rPr>
        <w:tab/>
        <w:t>For affected sources (as defined in 40 CFR 63.7490, stated in SC IX.1) that have not operated since the previous compliance demonstration and more than one year has passed since the previous compliance demonstration, the permittee must complete a subsequent tune-up by following the procedures described in 40 CFR 63.7540(a)(10)(i) through (vi), stated in SC IX.</w:t>
      </w:r>
      <w:r w:rsidRPr="00495101">
        <w:rPr>
          <w:rFonts w:cs="Arial"/>
          <w:sz w:val="20"/>
        </w:rPr>
        <w:t>7</w:t>
      </w:r>
      <w:r w:rsidR="00475C48" w:rsidRPr="00495101">
        <w:rPr>
          <w:rFonts w:cs="Arial"/>
          <w:sz w:val="20"/>
        </w:rPr>
        <w:t>.a, and the schedule described in 40 CFR 63.7540(a)(13), stated in SC IX.</w:t>
      </w:r>
      <w:r w:rsidRPr="00495101">
        <w:rPr>
          <w:rFonts w:cs="Arial"/>
          <w:sz w:val="20"/>
        </w:rPr>
        <w:t>7</w:t>
      </w:r>
      <w:r w:rsidR="00475C48" w:rsidRPr="00495101">
        <w:rPr>
          <w:rFonts w:cs="Arial"/>
          <w:sz w:val="20"/>
        </w:rPr>
        <w:t xml:space="preserve">.d, for units that are not operating </w:t>
      </w:r>
      <w:r w:rsidR="00475C48" w:rsidRPr="00475C48">
        <w:rPr>
          <w:rFonts w:cs="Arial"/>
          <w:sz w:val="20"/>
        </w:rPr>
        <w:t xml:space="preserve">at the time of their scheduled tune-up.  </w:t>
      </w:r>
      <w:r w:rsidR="00475C48" w:rsidRPr="00475C48">
        <w:rPr>
          <w:rFonts w:cs="Arial"/>
          <w:b/>
          <w:sz w:val="20"/>
        </w:rPr>
        <w:t>(40 CFR 63.7515(g))</w:t>
      </w:r>
    </w:p>
    <w:p w14:paraId="00E75426" w14:textId="77777777" w:rsidR="00475C48" w:rsidRPr="00475C48" w:rsidRDefault="00475C48" w:rsidP="00475C48">
      <w:pPr>
        <w:jc w:val="both"/>
        <w:rPr>
          <w:rFonts w:cs="Arial"/>
          <w:sz w:val="20"/>
        </w:rPr>
      </w:pPr>
    </w:p>
    <w:p w14:paraId="4593E635" w14:textId="77777777" w:rsidR="00475C48" w:rsidRPr="00C327AC" w:rsidRDefault="00475C48" w:rsidP="002B5413">
      <w:pPr>
        <w:numPr>
          <w:ilvl w:val="0"/>
          <w:numId w:val="63"/>
        </w:numPr>
        <w:jc w:val="both"/>
        <w:rPr>
          <w:rFonts w:cs="Arial"/>
          <w:sz w:val="20"/>
        </w:rPr>
      </w:pPr>
      <w:r w:rsidRPr="00C327AC">
        <w:rPr>
          <w:rFonts w:cs="Arial"/>
          <w:sz w:val="20"/>
        </w:rPr>
        <w:t>The permittee must demonstrate continuous compliance with the work practice standards in Table 3 of 40 CFR Part 63, Subpart DDDDD that applies according to the methods specified in paragraphs (a)(10) through (13) of 40 CFR 63.7540, as listed below</w:t>
      </w:r>
      <w:r w:rsidR="00C327AC" w:rsidRPr="00C327AC">
        <w:rPr>
          <w:rFonts w:cs="Arial"/>
          <w:sz w:val="20"/>
        </w:rPr>
        <w:t>:</w:t>
      </w:r>
      <w:r w:rsidRPr="00C327AC">
        <w:rPr>
          <w:rFonts w:cs="Arial"/>
          <w:sz w:val="20"/>
        </w:rPr>
        <w:t xml:space="preserve">  </w:t>
      </w:r>
      <w:r w:rsidRPr="00C327AC">
        <w:rPr>
          <w:rFonts w:cs="Arial"/>
          <w:b/>
          <w:sz w:val="20"/>
        </w:rPr>
        <w:t>(40 CFR 63.7540(a))</w:t>
      </w:r>
    </w:p>
    <w:p w14:paraId="55F36621" w14:textId="77777777" w:rsidR="00CE6843" w:rsidRPr="00CE6843" w:rsidRDefault="00475C48" w:rsidP="003E514A">
      <w:pPr>
        <w:numPr>
          <w:ilvl w:val="1"/>
          <w:numId w:val="52"/>
        </w:numPr>
        <w:ind w:left="630" w:hanging="270"/>
        <w:jc w:val="both"/>
        <w:rPr>
          <w:rFonts w:cs="Arial"/>
          <w:sz w:val="20"/>
        </w:rPr>
      </w:pPr>
      <w:r w:rsidRPr="00CE6843">
        <w:rPr>
          <w:rFonts w:cs="Arial"/>
          <w:sz w:val="20"/>
        </w:rPr>
        <w:t xml:space="preserve">If the boiler or process heater has a heat input capacity of 10 million Btu per hour or greater, the permittee must conduct an annual tune-up of the boiler or process heater to demonstrate continuous compliance as specified in paragraphs (a)(10)(i) through (vi) of 40 CFR 63.7540, as listed below. </w:t>
      </w:r>
      <w:r w:rsidR="00E03865">
        <w:rPr>
          <w:rFonts w:cs="Arial"/>
          <w:sz w:val="20"/>
        </w:rPr>
        <w:t xml:space="preserve"> </w:t>
      </w:r>
      <w:r w:rsidRPr="00CE6843">
        <w:rPr>
          <w:rFonts w:cs="Arial"/>
          <w:sz w:val="20"/>
        </w:rPr>
        <w:t>The tune-up must be conducted while burning the type of fuel (or fuels in case of units that routinely burn a mixture) that provided the majority of the heat input to the boiler or process heater over the 12 months prior to the tune-up.</w:t>
      </w:r>
      <w:r w:rsidR="00E03865">
        <w:rPr>
          <w:rFonts w:cs="Arial"/>
          <w:sz w:val="20"/>
        </w:rPr>
        <w:t xml:space="preserve"> </w:t>
      </w:r>
      <w:r w:rsidRPr="00CE6843">
        <w:rPr>
          <w:rFonts w:cs="Arial"/>
          <w:sz w:val="20"/>
        </w:rPr>
        <w:t xml:space="preserve"> This frequency does not apply to units with continuous oxygen trim systems that maintain an optimum air to fuel ratio</w:t>
      </w:r>
      <w:r w:rsidR="00736224" w:rsidRPr="00CE6843">
        <w:rPr>
          <w:rFonts w:cs="Arial"/>
          <w:sz w:val="20"/>
        </w:rPr>
        <w:t>:</w:t>
      </w:r>
      <w:r w:rsidRPr="00CE6843">
        <w:rPr>
          <w:rFonts w:cs="Arial"/>
          <w:sz w:val="20"/>
        </w:rPr>
        <w:t xml:space="preserve">  </w:t>
      </w:r>
      <w:r w:rsidRPr="00CE6843">
        <w:rPr>
          <w:rFonts w:cs="Arial"/>
          <w:b/>
          <w:sz w:val="20"/>
        </w:rPr>
        <w:t>(40 CFR 63.7540(a)(10))</w:t>
      </w:r>
    </w:p>
    <w:p w14:paraId="75A1F459" w14:textId="77777777" w:rsidR="00CE6843" w:rsidRPr="00CE6843" w:rsidRDefault="00475C48" w:rsidP="003E514A">
      <w:pPr>
        <w:ind w:left="900" w:hanging="270"/>
        <w:jc w:val="both"/>
        <w:rPr>
          <w:rFonts w:cs="Arial"/>
          <w:sz w:val="20"/>
        </w:rPr>
      </w:pPr>
      <w:r w:rsidRPr="00CE6843">
        <w:rPr>
          <w:rFonts w:cs="Arial"/>
          <w:sz w:val="20"/>
        </w:rPr>
        <w:t>i.</w:t>
      </w:r>
      <w:r w:rsidRPr="00CE6843">
        <w:rPr>
          <w:rFonts w:cs="Arial"/>
          <w:sz w:val="20"/>
        </w:rPr>
        <w:tab/>
        <w:t xml:space="preserve">As applicable, inspect the burner, and clean or replace any components of the burner as necessary (the permittee may perform the burner inspection any time prior to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CE6843">
        <w:rPr>
          <w:rFonts w:cs="Arial"/>
          <w:b/>
          <w:sz w:val="20"/>
        </w:rPr>
        <w:t>(40 CFR 63.7540(a)(10)(i))</w:t>
      </w:r>
    </w:p>
    <w:p w14:paraId="6127FDE8" w14:textId="77777777" w:rsidR="00475C48" w:rsidRPr="00CE6843" w:rsidRDefault="00475C48" w:rsidP="003E514A">
      <w:pPr>
        <w:ind w:left="900" w:hanging="270"/>
        <w:jc w:val="both"/>
        <w:rPr>
          <w:rFonts w:cs="Arial"/>
          <w:sz w:val="20"/>
        </w:rPr>
      </w:pPr>
      <w:r w:rsidRPr="00CE6843">
        <w:rPr>
          <w:rFonts w:cs="Arial"/>
          <w:sz w:val="20"/>
        </w:rPr>
        <w:t>ii.</w:t>
      </w:r>
      <w:r w:rsidRPr="00CE6843">
        <w:rPr>
          <w:rFonts w:cs="Arial"/>
          <w:sz w:val="20"/>
        </w:rPr>
        <w:tab/>
        <w:t xml:space="preserve">Inspect the flame pattern, as applicable, and adjust the burner as necessary to optimize the flame pattern. The adjustment should be consistent with the manufacturer's specifications, if available.  </w:t>
      </w:r>
      <w:r w:rsidRPr="00CE6843">
        <w:rPr>
          <w:rFonts w:cs="Arial"/>
          <w:b/>
          <w:sz w:val="20"/>
        </w:rPr>
        <w:t>(40 CFR 63.7540(a)(10)(ii))</w:t>
      </w:r>
    </w:p>
    <w:p w14:paraId="5644859F" w14:textId="77777777" w:rsidR="00475C48" w:rsidRPr="00475C48" w:rsidRDefault="00475C48" w:rsidP="003E514A">
      <w:pPr>
        <w:ind w:left="900" w:hanging="270"/>
        <w:jc w:val="both"/>
        <w:rPr>
          <w:rFonts w:cs="Arial"/>
          <w:sz w:val="20"/>
        </w:rPr>
      </w:pPr>
      <w:r w:rsidRPr="00475C48">
        <w:rPr>
          <w:rFonts w:cs="Arial"/>
          <w:sz w:val="20"/>
        </w:rPr>
        <w:t>iii.</w:t>
      </w:r>
      <w:r w:rsidRPr="00475C48">
        <w:rPr>
          <w:rFonts w:cs="Arial"/>
          <w:sz w:val="20"/>
        </w:rPr>
        <w:tab/>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475C48">
        <w:rPr>
          <w:rFonts w:cs="Arial"/>
          <w:b/>
          <w:sz w:val="20"/>
        </w:rPr>
        <w:t>(40 CFR 63.7540(a)(10)(iii))</w:t>
      </w:r>
    </w:p>
    <w:p w14:paraId="1DC70486" w14:textId="77777777" w:rsidR="00475C48" w:rsidRPr="00475C48" w:rsidRDefault="00475C48" w:rsidP="003E514A">
      <w:pPr>
        <w:ind w:left="900" w:hanging="270"/>
        <w:jc w:val="both"/>
        <w:rPr>
          <w:rFonts w:cs="Arial"/>
          <w:sz w:val="20"/>
        </w:rPr>
      </w:pPr>
      <w:r w:rsidRPr="00475C48">
        <w:rPr>
          <w:rFonts w:cs="Arial"/>
          <w:sz w:val="20"/>
        </w:rPr>
        <w:t>iv.</w:t>
      </w:r>
      <w:r w:rsidRPr="00475C48">
        <w:rPr>
          <w:rFonts w:cs="Arial"/>
          <w:sz w:val="20"/>
        </w:rPr>
        <w:tab/>
        <w:t xml:space="preserve">Optimize total emissions of CO. </w:t>
      </w:r>
      <w:r w:rsidR="00E03865">
        <w:rPr>
          <w:rFonts w:cs="Arial"/>
          <w:sz w:val="20"/>
        </w:rPr>
        <w:t xml:space="preserve"> </w:t>
      </w:r>
      <w:r w:rsidRPr="00475C48">
        <w:rPr>
          <w:rFonts w:cs="Arial"/>
          <w:sz w:val="20"/>
        </w:rPr>
        <w:t>This optimization should be consistent with the manufacturer's specifications, if available, and with any NO</w:t>
      </w:r>
      <w:r w:rsidRPr="00475C48">
        <w:rPr>
          <w:rFonts w:cs="Arial"/>
          <w:sz w:val="14"/>
          <w:szCs w:val="14"/>
          <w:vertAlign w:val="subscript"/>
        </w:rPr>
        <w:t>X</w:t>
      </w:r>
      <w:r w:rsidRPr="00475C48">
        <w:rPr>
          <w:rFonts w:cs="Arial"/>
          <w:sz w:val="20"/>
        </w:rPr>
        <w:t xml:space="preserve"> requirement to which the unit is subject.  </w:t>
      </w:r>
      <w:r w:rsidRPr="00475C48">
        <w:rPr>
          <w:rFonts w:cs="Arial"/>
          <w:b/>
          <w:sz w:val="20"/>
        </w:rPr>
        <w:t>(40 CFR 63.7540(a)(10)(iv))</w:t>
      </w:r>
    </w:p>
    <w:p w14:paraId="77054166" w14:textId="77777777" w:rsidR="00475C48" w:rsidRPr="00475C48" w:rsidRDefault="00475C48" w:rsidP="003E514A">
      <w:pPr>
        <w:ind w:left="900" w:hanging="270"/>
        <w:jc w:val="both"/>
        <w:rPr>
          <w:rFonts w:cs="Arial"/>
          <w:sz w:val="20"/>
        </w:rPr>
      </w:pPr>
      <w:r w:rsidRPr="00475C48">
        <w:rPr>
          <w:rFonts w:cs="Arial"/>
          <w:sz w:val="20"/>
        </w:rPr>
        <w:t>v.</w:t>
      </w:r>
      <w:r w:rsidRPr="00475C48">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E03865">
        <w:rPr>
          <w:rFonts w:cs="Arial"/>
          <w:sz w:val="20"/>
        </w:rPr>
        <w:t xml:space="preserve"> </w:t>
      </w:r>
      <w:r w:rsidRPr="00475C48">
        <w:rPr>
          <w:rFonts w:cs="Arial"/>
          <w:sz w:val="20"/>
        </w:rPr>
        <w:t xml:space="preserve">Measurements may be taken using a portable CO analyzer.  </w:t>
      </w:r>
      <w:r w:rsidRPr="00475C48">
        <w:rPr>
          <w:rFonts w:cs="Arial"/>
          <w:b/>
          <w:sz w:val="20"/>
        </w:rPr>
        <w:t>(40 CFR 63.7540(a)(10)(v))</w:t>
      </w:r>
    </w:p>
    <w:p w14:paraId="1FAAD327" w14:textId="77777777" w:rsidR="00475C48" w:rsidRPr="00475C48" w:rsidRDefault="00475C48" w:rsidP="008D41B0">
      <w:pPr>
        <w:ind w:left="900" w:hanging="270"/>
        <w:jc w:val="both"/>
        <w:rPr>
          <w:rFonts w:cs="Arial"/>
          <w:sz w:val="20"/>
        </w:rPr>
      </w:pPr>
      <w:r w:rsidRPr="00475C48">
        <w:rPr>
          <w:rFonts w:cs="Arial"/>
          <w:sz w:val="20"/>
        </w:rPr>
        <w:t>vi.</w:t>
      </w:r>
      <w:r w:rsidRPr="00475C48">
        <w:rPr>
          <w:rFonts w:cs="Arial"/>
          <w:sz w:val="20"/>
        </w:rPr>
        <w:tab/>
        <w:t>Maintain on-site and submit, if requested by the Administrator, a report containing the information in paragraphs (a)(10)(vi)(A) through (C) of 40 CFR 63.7540, as listed below</w:t>
      </w:r>
      <w:r w:rsidR="003E514A">
        <w:rPr>
          <w:rFonts w:cs="Arial"/>
          <w:sz w:val="20"/>
        </w:rPr>
        <w:t>:</w:t>
      </w:r>
      <w:r w:rsidRPr="00475C48">
        <w:rPr>
          <w:rFonts w:cs="Arial"/>
          <w:sz w:val="20"/>
        </w:rPr>
        <w:t xml:space="preserve">  </w:t>
      </w:r>
      <w:r w:rsidRPr="00475C48">
        <w:rPr>
          <w:rFonts w:cs="Arial"/>
          <w:b/>
          <w:sz w:val="20"/>
        </w:rPr>
        <w:t>(40 CFR 63.7540(a)(10)(vi))</w:t>
      </w:r>
    </w:p>
    <w:p w14:paraId="777344A0" w14:textId="77777777" w:rsidR="00475C48" w:rsidRPr="00475C48" w:rsidRDefault="00475C48" w:rsidP="008D41B0">
      <w:pPr>
        <w:numPr>
          <w:ilvl w:val="0"/>
          <w:numId w:val="60"/>
        </w:numPr>
        <w:ind w:left="1260"/>
        <w:jc w:val="both"/>
        <w:rPr>
          <w:rFonts w:cs="Arial"/>
          <w:sz w:val="20"/>
        </w:rPr>
      </w:pPr>
      <w:r w:rsidRPr="00475C48">
        <w:rPr>
          <w:rFonts w:cs="Arial"/>
          <w:sz w:val="20"/>
        </w:rPr>
        <w:t xml:space="preserve">The concentrations of CO in the effluent stream in parts per million by volume, and oxygen in volume percent, measured at high fire or typical operating load, before and after the tune-up of the boiler or process heater.  </w:t>
      </w:r>
      <w:r w:rsidRPr="00475C48">
        <w:rPr>
          <w:rFonts w:cs="Arial"/>
          <w:b/>
          <w:sz w:val="20"/>
        </w:rPr>
        <w:t>(40 CFR 63.7540(a)(10)(vi)(A))</w:t>
      </w:r>
    </w:p>
    <w:p w14:paraId="1C1C9694" w14:textId="77777777" w:rsidR="00475C48" w:rsidRPr="00475C48" w:rsidRDefault="00475C48" w:rsidP="008D41B0">
      <w:pPr>
        <w:numPr>
          <w:ilvl w:val="0"/>
          <w:numId w:val="60"/>
        </w:numPr>
        <w:ind w:left="1260"/>
        <w:jc w:val="both"/>
        <w:rPr>
          <w:rFonts w:cs="Arial"/>
          <w:sz w:val="20"/>
        </w:rPr>
      </w:pPr>
      <w:r w:rsidRPr="00475C48">
        <w:rPr>
          <w:rFonts w:cs="Arial"/>
          <w:sz w:val="20"/>
        </w:rPr>
        <w:t xml:space="preserve">A description of any corrective actions taken as a part of the tune-up.  </w:t>
      </w:r>
      <w:r w:rsidRPr="00475C48">
        <w:rPr>
          <w:rFonts w:cs="Arial"/>
          <w:b/>
          <w:sz w:val="20"/>
        </w:rPr>
        <w:t>(40 CFR 63.7540(a)(10)(vi)(B))</w:t>
      </w:r>
    </w:p>
    <w:p w14:paraId="0FC96756" w14:textId="77777777" w:rsidR="00475C48" w:rsidRPr="00475C48" w:rsidRDefault="00475C48" w:rsidP="008D41B0">
      <w:pPr>
        <w:numPr>
          <w:ilvl w:val="0"/>
          <w:numId w:val="60"/>
        </w:numPr>
        <w:ind w:left="1260"/>
        <w:jc w:val="both"/>
        <w:rPr>
          <w:rFonts w:cs="Arial"/>
          <w:sz w:val="20"/>
        </w:rPr>
      </w:pPr>
      <w:r w:rsidRPr="00475C48">
        <w:rPr>
          <w:rFonts w:cs="Arial"/>
          <w:sz w:val="20"/>
        </w:rPr>
        <w:t xml:space="preserve">The type and amount of fuel used over the 12 months prior to the tune-up, but only if the unit was physically and legally capable of using more than one type of fuel during that period. </w:t>
      </w:r>
      <w:r w:rsidR="00E03865">
        <w:rPr>
          <w:rFonts w:cs="Arial"/>
          <w:sz w:val="20"/>
        </w:rPr>
        <w:t xml:space="preserve"> </w:t>
      </w:r>
      <w:r w:rsidRPr="00475C48">
        <w:rPr>
          <w:rFonts w:cs="Arial"/>
          <w:sz w:val="20"/>
        </w:rPr>
        <w:t xml:space="preserve">Units sharing a fuel meter may estimate the fuel used by each unit.  </w:t>
      </w:r>
      <w:r w:rsidRPr="00475C48">
        <w:rPr>
          <w:rFonts w:cs="Arial"/>
          <w:b/>
          <w:sz w:val="20"/>
        </w:rPr>
        <w:t>(40 CFR 63.7540(a)(10)(vi)(C))</w:t>
      </w:r>
    </w:p>
    <w:p w14:paraId="3C8E113B" w14:textId="77777777" w:rsidR="00475C48" w:rsidRPr="00475C48" w:rsidRDefault="00475C48" w:rsidP="008D41B0">
      <w:pPr>
        <w:ind w:left="1440"/>
        <w:jc w:val="both"/>
        <w:rPr>
          <w:rFonts w:cs="Arial"/>
          <w:sz w:val="20"/>
        </w:rPr>
      </w:pPr>
    </w:p>
    <w:p w14:paraId="3137C6BF" w14:textId="77777777" w:rsidR="00475C48" w:rsidRPr="00694092" w:rsidRDefault="00475C48" w:rsidP="00694092">
      <w:pPr>
        <w:numPr>
          <w:ilvl w:val="1"/>
          <w:numId w:val="52"/>
        </w:numPr>
        <w:ind w:left="720" w:hanging="450"/>
        <w:jc w:val="both"/>
        <w:rPr>
          <w:rFonts w:cs="Arial"/>
          <w:sz w:val="20"/>
        </w:rPr>
      </w:pPr>
      <w:r w:rsidRPr="00694092">
        <w:rPr>
          <w:rFonts w:cs="Arial"/>
          <w:sz w:val="20"/>
        </w:rPr>
        <w:t xml:space="preserve">If the boiler or process heater has a heat input capacity of less than 10 million Btu per hour (except as specified in paragraph (a)(12) of 40 CFR 63.7540), the permittee must conduct a biennial tune-up of the boiler or process heater as specified in paragraphs (a)(10)(i) through (vi) of 40 CFR 63.7540 to demonstrate continuous compliance.  </w:t>
      </w:r>
      <w:r w:rsidRPr="00694092">
        <w:rPr>
          <w:rFonts w:cs="Arial"/>
          <w:b/>
          <w:sz w:val="20"/>
        </w:rPr>
        <w:t>(40 CFR 63.7540(a)(11))</w:t>
      </w:r>
    </w:p>
    <w:p w14:paraId="43D05DB6" w14:textId="77777777" w:rsidR="00475C48" w:rsidRPr="00694092" w:rsidRDefault="00475C48" w:rsidP="009D76F8">
      <w:pPr>
        <w:numPr>
          <w:ilvl w:val="1"/>
          <w:numId w:val="52"/>
        </w:numPr>
        <w:ind w:left="720" w:hanging="450"/>
        <w:contextualSpacing/>
        <w:jc w:val="both"/>
        <w:rPr>
          <w:rFonts w:cs="Arial"/>
          <w:sz w:val="20"/>
        </w:rPr>
      </w:pPr>
      <w:r w:rsidRPr="00694092">
        <w:rPr>
          <w:rFonts w:cs="Arial"/>
          <w:sz w:val="20"/>
        </w:rPr>
        <w:t xml:space="preserve">If the boiler or process heater has a continuous oxygen trim system that maintains an optimum air to fuel ratio, or a heat input capacity of less than or equal to 5 million Btu per hour and the unit is in the units designed to burn gas 1 subcategory, the permittee must conduct a tune-up of the boiler or process heater every 5 years as specified in paragraphs (a)(10)(i) through (vi) of 40 CFR 63.7540 to demonstrate continuous compliance. </w:t>
      </w:r>
      <w:r w:rsidR="00644C0E">
        <w:rPr>
          <w:rFonts w:cs="Arial"/>
          <w:sz w:val="20"/>
        </w:rPr>
        <w:t xml:space="preserve"> </w:t>
      </w:r>
      <w:r w:rsidRPr="00694092">
        <w:rPr>
          <w:rFonts w:cs="Arial"/>
          <w:sz w:val="20"/>
        </w:rPr>
        <w:t xml:space="preserve">The permittee may delay the burner inspection specified in paragraph (a)(10)(i) of 40 CFR 63.7540 until the next scheduled or unscheduled unit shutdown, but the permittee must inspect each burner at least once every 72 months.  If an oxygen trim system is utilized on a unit without emission standards to reduce the tune-up frequency to once every 5 years, set the oxygen level no lower than the oxygen concentration measured during the most recent tune-up.  </w:t>
      </w:r>
      <w:r w:rsidRPr="00694092">
        <w:rPr>
          <w:rFonts w:cs="Arial"/>
          <w:b/>
          <w:sz w:val="20"/>
        </w:rPr>
        <w:t>(40 CFR 63.7540(a)(12))</w:t>
      </w:r>
    </w:p>
    <w:p w14:paraId="2BA7DE2B" w14:textId="77777777" w:rsidR="00475C48" w:rsidRPr="00475C48" w:rsidRDefault="00475C48" w:rsidP="00694092">
      <w:pPr>
        <w:numPr>
          <w:ilvl w:val="1"/>
          <w:numId w:val="52"/>
        </w:numPr>
        <w:ind w:left="720"/>
        <w:jc w:val="both"/>
        <w:rPr>
          <w:rFonts w:cs="Arial"/>
          <w:sz w:val="20"/>
        </w:rPr>
      </w:pPr>
      <w:r w:rsidRPr="00475C48">
        <w:rPr>
          <w:rFonts w:cs="Arial"/>
          <w:sz w:val="20"/>
        </w:rPr>
        <w:t xml:space="preserve">If the unit is not operating on the required date for a tune-up, the tune-up must be conducted within 30 calendar days of startup.  </w:t>
      </w:r>
      <w:r w:rsidRPr="00475C48">
        <w:rPr>
          <w:rFonts w:cs="Arial"/>
          <w:b/>
          <w:sz w:val="20"/>
        </w:rPr>
        <w:t>(40 CFR 63.7540(a)(13))</w:t>
      </w:r>
    </w:p>
    <w:p w14:paraId="6202E34C" w14:textId="77777777" w:rsidR="00475C48" w:rsidRPr="00475C48" w:rsidRDefault="00475C48" w:rsidP="00475C48">
      <w:pPr>
        <w:jc w:val="both"/>
        <w:rPr>
          <w:sz w:val="20"/>
        </w:rPr>
      </w:pPr>
    </w:p>
    <w:p w14:paraId="23D6C5FC" w14:textId="77777777" w:rsidR="00475C48" w:rsidRPr="00475C48" w:rsidRDefault="00495101" w:rsidP="00475C48">
      <w:pPr>
        <w:ind w:left="360" w:hanging="360"/>
        <w:jc w:val="both"/>
        <w:rPr>
          <w:sz w:val="20"/>
        </w:rPr>
      </w:pPr>
      <w:r>
        <w:rPr>
          <w:rFonts w:cs="Arial"/>
          <w:sz w:val="20"/>
        </w:rPr>
        <w:t>8</w:t>
      </w:r>
      <w:r w:rsidR="00475C48" w:rsidRPr="00475C48">
        <w:rPr>
          <w:rFonts w:cs="Arial"/>
          <w:sz w:val="20"/>
        </w:rPr>
        <w:t>.</w:t>
      </w:r>
      <w:r w:rsidR="00475C48" w:rsidRPr="00475C48">
        <w:rPr>
          <w:rFonts w:cs="Arial"/>
          <w:sz w:val="20"/>
        </w:rPr>
        <w:tab/>
        <w:t xml:space="preserve">Table 10 of 40 CFR Part 63, Subpart DDDDD shows which parts of the General Provisions in 40 CFR 63.1 through 63.15 applies to the permittee.  </w:t>
      </w:r>
      <w:r w:rsidR="00475C48" w:rsidRPr="00475C48">
        <w:rPr>
          <w:rFonts w:cs="Arial"/>
          <w:b/>
          <w:sz w:val="20"/>
        </w:rPr>
        <w:t>(</w:t>
      </w:r>
      <w:r w:rsidR="00475C48" w:rsidRPr="00475C48">
        <w:rPr>
          <w:b/>
          <w:sz w:val="20"/>
        </w:rPr>
        <w:t>40 CFR 63.7565)</w:t>
      </w:r>
    </w:p>
    <w:p w14:paraId="01761331" w14:textId="77777777" w:rsidR="00475C48" w:rsidRPr="00475C48" w:rsidRDefault="00475C48" w:rsidP="00475C48">
      <w:pPr>
        <w:jc w:val="both"/>
        <w:rPr>
          <w:sz w:val="20"/>
        </w:rPr>
      </w:pPr>
    </w:p>
    <w:p w14:paraId="29CAEC95" w14:textId="77777777" w:rsidR="00475C48" w:rsidRPr="00475C48" w:rsidRDefault="00475C48" w:rsidP="00475C48">
      <w:pPr>
        <w:jc w:val="both"/>
        <w:rPr>
          <w:sz w:val="20"/>
        </w:rPr>
      </w:pPr>
    </w:p>
    <w:p w14:paraId="68E2E94B" w14:textId="77777777" w:rsidR="00475C48" w:rsidRPr="00475C48" w:rsidRDefault="00475C48" w:rsidP="00475C48">
      <w:pPr>
        <w:jc w:val="both"/>
        <w:rPr>
          <w:b/>
          <w:sz w:val="20"/>
        </w:rPr>
      </w:pPr>
      <w:r w:rsidRPr="00475C48">
        <w:rPr>
          <w:b/>
          <w:sz w:val="20"/>
          <w:u w:val="single"/>
        </w:rPr>
        <w:t>Footnotes</w:t>
      </w:r>
      <w:r w:rsidRPr="00475C48">
        <w:rPr>
          <w:b/>
          <w:sz w:val="20"/>
        </w:rPr>
        <w:t>:</w:t>
      </w:r>
    </w:p>
    <w:p w14:paraId="641CCD6E" w14:textId="77777777" w:rsidR="00475C48" w:rsidRPr="00475C48" w:rsidRDefault="00475C48" w:rsidP="00475C48">
      <w:pPr>
        <w:jc w:val="both"/>
        <w:rPr>
          <w:sz w:val="20"/>
        </w:rPr>
      </w:pPr>
      <w:r w:rsidRPr="00475C48">
        <w:rPr>
          <w:sz w:val="20"/>
          <w:vertAlign w:val="superscript"/>
        </w:rPr>
        <w:t xml:space="preserve">1 </w:t>
      </w:r>
      <w:r w:rsidRPr="00475C48">
        <w:rPr>
          <w:sz w:val="20"/>
        </w:rPr>
        <w:t>This condition is state only enforceable and was established pursuant to Rule 201(1)(b).</w:t>
      </w:r>
    </w:p>
    <w:p w14:paraId="4001DBC3" w14:textId="77777777" w:rsidR="00475C48" w:rsidRPr="00475C48" w:rsidRDefault="00475C48" w:rsidP="00475C48">
      <w:pPr>
        <w:jc w:val="both"/>
      </w:pPr>
      <w:r w:rsidRPr="00475C48">
        <w:rPr>
          <w:sz w:val="20"/>
          <w:vertAlign w:val="superscript"/>
        </w:rPr>
        <w:t xml:space="preserve">2 </w:t>
      </w:r>
      <w:r w:rsidRPr="00475C48">
        <w:rPr>
          <w:sz w:val="20"/>
        </w:rPr>
        <w:t>This condition is federally enforceable and was established pursuant to Rule 201(1)(a).</w:t>
      </w:r>
    </w:p>
    <w:p w14:paraId="2258A9C6" w14:textId="77777777" w:rsidR="00DB32EE" w:rsidRDefault="00DB32EE" w:rsidP="00393A6F">
      <w:pPr>
        <w:pStyle w:val="Heading1"/>
      </w:pPr>
    </w:p>
    <w:p w14:paraId="3E75D3EA" w14:textId="77777777" w:rsidR="00C655D5" w:rsidRDefault="00C655D5" w:rsidP="00C655D5"/>
    <w:p w14:paraId="494FA0AF" w14:textId="77777777" w:rsidR="00C655D5" w:rsidRDefault="00C655D5" w:rsidP="00C655D5"/>
    <w:p w14:paraId="0ED429E7" w14:textId="77777777" w:rsidR="00C655D5" w:rsidRDefault="00C655D5" w:rsidP="00C655D5"/>
    <w:p w14:paraId="7C582B9A" w14:textId="77777777" w:rsidR="00C655D5" w:rsidRDefault="00C655D5" w:rsidP="00C655D5"/>
    <w:p w14:paraId="5D8DA4FC" w14:textId="77777777" w:rsidR="00C655D5" w:rsidRDefault="00C655D5" w:rsidP="00C655D5"/>
    <w:p w14:paraId="1DFF4312" w14:textId="77777777" w:rsidR="00C655D5" w:rsidRDefault="00C655D5" w:rsidP="00C655D5"/>
    <w:p w14:paraId="64BCD61D" w14:textId="77777777" w:rsidR="00C655D5" w:rsidRDefault="00C655D5" w:rsidP="00C655D5"/>
    <w:p w14:paraId="3B6F08CD" w14:textId="77777777" w:rsidR="00C655D5" w:rsidRDefault="00C655D5" w:rsidP="00C655D5"/>
    <w:p w14:paraId="2DB17A63" w14:textId="77777777" w:rsidR="00C655D5" w:rsidRDefault="00C655D5" w:rsidP="00C655D5"/>
    <w:p w14:paraId="0CB1009C" w14:textId="77777777" w:rsidR="00C655D5" w:rsidRDefault="00C655D5" w:rsidP="00C655D5"/>
    <w:p w14:paraId="7D710F93" w14:textId="77777777" w:rsidR="00C655D5" w:rsidRDefault="00C655D5" w:rsidP="00C655D5"/>
    <w:p w14:paraId="756F6F5D" w14:textId="77777777" w:rsidR="00C655D5" w:rsidRDefault="00C655D5" w:rsidP="00C655D5"/>
    <w:p w14:paraId="4F103174" w14:textId="77777777" w:rsidR="00C655D5" w:rsidRDefault="00C655D5" w:rsidP="00C655D5"/>
    <w:p w14:paraId="3B4613EB" w14:textId="77777777" w:rsidR="00C655D5" w:rsidRDefault="00C655D5" w:rsidP="00C655D5"/>
    <w:p w14:paraId="0A7703FA" w14:textId="77777777" w:rsidR="00C655D5" w:rsidRDefault="00C655D5" w:rsidP="00C655D5"/>
    <w:p w14:paraId="12E04CFD" w14:textId="77777777" w:rsidR="00C655D5" w:rsidRDefault="00C655D5" w:rsidP="00C655D5"/>
    <w:p w14:paraId="41F63E1B" w14:textId="77777777" w:rsidR="00C655D5" w:rsidRDefault="00C655D5" w:rsidP="00C655D5"/>
    <w:p w14:paraId="1EB9747E" w14:textId="77777777" w:rsidR="00C655D5" w:rsidRDefault="00C655D5" w:rsidP="00C655D5"/>
    <w:p w14:paraId="4BB6C1B7" w14:textId="77777777" w:rsidR="00C655D5" w:rsidRDefault="00C655D5" w:rsidP="00C655D5"/>
    <w:p w14:paraId="4AEE9C05" w14:textId="77777777" w:rsidR="0034744B" w:rsidRPr="00440957" w:rsidRDefault="0034744B" w:rsidP="00393A6F">
      <w:pPr>
        <w:pStyle w:val="Heading1"/>
        <w:rPr>
          <w:sz w:val="20"/>
          <w:szCs w:val="20"/>
        </w:rPr>
      </w:pPr>
      <w:bookmarkStart w:id="79" w:name="_Toc524520624"/>
      <w:r w:rsidRPr="00393A6F">
        <w:t xml:space="preserve">D.  FLEXIBLE GROUP </w:t>
      </w:r>
      <w:bookmarkEnd w:id="66"/>
      <w:r w:rsidR="00456F47" w:rsidRPr="00393A6F">
        <w:t>CONDITIONS</w:t>
      </w:r>
      <w:bookmarkEnd w:id="79"/>
    </w:p>
    <w:p w14:paraId="3EE44FB2" w14:textId="77777777" w:rsidR="0034744B" w:rsidRPr="008E1254" w:rsidRDefault="0034744B" w:rsidP="00991194">
      <w:pPr>
        <w:jc w:val="center"/>
        <w:rPr>
          <w:sz w:val="20"/>
        </w:rPr>
      </w:pPr>
    </w:p>
    <w:p w14:paraId="57D23E5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7AFB321" w14:textId="77777777" w:rsidR="009602B7" w:rsidRPr="00FE0AD0" w:rsidRDefault="009602B7" w:rsidP="0034744B">
      <w:pPr>
        <w:jc w:val="both"/>
        <w:rPr>
          <w:sz w:val="20"/>
        </w:rPr>
      </w:pPr>
    </w:p>
    <w:p w14:paraId="6A77D30D"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11E8804D" w14:textId="77777777" w:rsidR="0034744B" w:rsidRPr="002B5ED5" w:rsidRDefault="0034744B" w:rsidP="001F649E">
      <w:pPr>
        <w:pStyle w:val="Heading2"/>
        <w:numPr>
          <w:ilvl w:val="0"/>
          <w:numId w:val="0"/>
        </w:numPr>
        <w:rPr>
          <w:bCs/>
          <w:sz w:val="22"/>
          <w:szCs w:val="22"/>
        </w:rPr>
      </w:pPr>
      <w:bookmarkStart w:id="80" w:name="_Toc2571646"/>
      <w:bookmarkStart w:id="81" w:name="_Toc524520625"/>
      <w:r w:rsidRPr="002B5ED5">
        <w:rPr>
          <w:bCs/>
          <w:sz w:val="22"/>
          <w:szCs w:val="22"/>
        </w:rPr>
        <w:t>FLEXIBLE GROUP SUMMARY TABLE</w:t>
      </w:r>
      <w:bookmarkEnd w:id="80"/>
      <w:bookmarkEnd w:id="81"/>
    </w:p>
    <w:p w14:paraId="1F8ED700"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5DAEA59" w14:textId="77777777" w:rsidR="0034744B" w:rsidRPr="007713F1" w:rsidRDefault="0034744B" w:rsidP="0034744B">
      <w:pPr>
        <w:rPr>
          <w:sz w:val="20"/>
        </w:rPr>
      </w:pPr>
    </w:p>
    <w:tbl>
      <w:tblPr>
        <w:tblW w:w="10260" w:type="dxa"/>
        <w:tblInd w:w="-23" w:type="dxa"/>
        <w:tblBorders>
          <w:top w:val="double" w:sz="6" w:space="0" w:color="auto"/>
          <w:left w:val="double" w:sz="6" w:space="0" w:color="auto"/>
          <w:bottom w:val="double" w:sz="4" w:space="0" w:color="auto"/>
          <w:right w:val="double" w:sz="6" w:space="0" w:color="auto"/>
          <w:insideH w:val="double" w:sz="4" w:space="0" w:color="auto"/>
          <w:insideV w:val="single" w:sz="6" w:space="0" w:color="auto"/>
        </w:tblBorders>
        <w:tblLayout w:type="fixed"/>
        <w:tblLook w:val="0000" w:firstRow="0" w:lastRow="0" w:firstColumn="0" w:lastColumn="0" w:noHBand="0" w:noVBand="0"/>
      </w:tblPr>
      <w:tblGrid>
        <w:gridCol w:w="2471"/>
        <w:gridCol w:w="5130"/>
        <w:gridCol w:w="2659"/>
      </w:tblGrid>
      <w:tr w:rsidR="00234667" w14:paraId="2C5A570A" w14:textId="77777777" w:rsidTr="00E450C1">
        <w:trPr>
          <w:cantSplit/>
          <w:tblHeader/>
        </w:trPr>
        <w:tc>
          <w:tcPr>
            <w:tcW w:w="2471" w:type="dxa"/>
            <w:shd w:val="pct10" w:color="auto" w:fill="auto"/>
          </w:tcPr>
          <w:p w14:paraId="7A5D3FE1" w14:textId="77777777" w:rsidR="00234667" w:rsidRPr="006D3561" w:rsidRDefault="00234667" w:rsidP="00991194">
            <w:pPr>
              <w:jc w:val="center"/>
              <w:rPr>
                <w:rFonts w:cs="Arial"/>
                <w:b/>
                <w:sz w:val="20"/>
              </w:rPr>
            </w:pPr>
            <w:r w:rsidRPr="006D3561">
              <w:rPr>
                <w:rFonts w:cs="Arial"/>
                <w:b/>
                <w:sz w:val="20"/>
              </w:rPr>
              <w:t>Flexible Group ID</w:t>
            </w:r>
          </w:p>
        </w:tc>
        <w:tc>
          <w:tcPr>
            <w:tcW w:w="5130" w:type="dxa"/>
            <w:shd w:val="pct10" w:color="auto" w:fill="auto"/>
          </w:tcPr>
          <w:p w14:paraId="66689BFD" w14:textId="77777777" w:rsidR="00234667" w:rsidRPr="006D3561" w:rsidRDefault="00234667" w:rsidP="00991194">
            <w:pPr>
              <w:jc w:val="center"/>
              <w:rPr>
                <w:rFonts w:cs="Arial"/>
                <w:b/>
                <w:sz w:val="20"/>
              </w:rPr>
            </w:pPr>
            <w:r w:rsidRPr="006D3561">
              <w:rPr>
                <w:rFonts w:cs="Arial"/>
                <w:b/>
                <w:sz w:val="20"/>
              </w:rPr>
              <w:t>Flexible Group Description</w:t>
            </w:r>
          </w:p>
        </w:tc>
        <w:tc>
          <w:tcPr>
            <w:tcW w:w="2659" w:type="dxa"/>
            <w:shd w:val="pct10" w:color="auto" w:fill="auto"/>
          </w:tcPr>
          <w:p w14:paraId="56351F7C" w14:textId="77777777" w:rsidR="00234667" w:rsidRPr="006D3561" w:rsidRDefault="00234667" w:rsidP="00991194">
            <w:pPr>
              <w:jc w:val="center"/>
              <w:rPr>
                <w:rFonts w:cs="Arial"/>
                <w:b/>
                <w:sz w:val="20"/>
              </w:rPr>
            </w:pPr>
            <w:r w:rsidRPr="006D3561">
              <w:rPr>
                <w:rFonts w:cs="Arial"/>
                <w:b/>
                <w:sz w:val="20"/>
              </w:rPr>
              <w:t>Associated</w:t>
            </w:r>
          </w:p>
          <w:p w14:paraId="4F05CB70" w14:textId="77777777" w:rsidR="00234667" w:rsidRPr="006D3561" w:rsidRDefault="00234667" w:rsidP="00991194">
            <w:pPr>
              <w:jc w:val="center"/>
              <w:rPr>
                <w:rFonts w:cs="Arial"/>
                <w:b/>
                <w:sz w:val="20"/>
              </w:rPr>
            </w:pPr>
            <w:r w:rsidRPr="006D3561">
              <w:rPr>
                <w:rFonts w:cs="Arial"/>
                <w:b/>
                <w:sz w:val="20"/>
              </w:rPr>
              <w:t>Emission Unit IDs</w:t>
            </w:r>
          </w:p>
        </w:tc>
      </w:tr>
      <w:tr w:rsidR="00234667" w14:paraId="48621F73" w14:textId="77777777" w:rsidTr="00E450C1">
        <w:trPr>
          <w:cantSplit/>
        </w:trPr>
        <w:tc>
          <w:tcPr>
            <w:tcW w:w="2471" w:type="dxa"/>
          </w:tcPr>
          <w:p w14:paraId="20C9DBD3" w14:textId="77777777" w:rsidR="00234667" w:rsidRPr="001B5E34" w:rsidRDefault="00CD6436" w:rsidP="00991194">
            <w:pPr>
              <w:rPr>
                <w:rFonts w:cs="Arial"/>
                <w:sz w:val="20"/>
              </w:rPr>
            </w:pPr>
            <w:r w:rsidRPr="00411557">
              <w:rPr>
                <w:rFonts w:cs="Arial"/>
                <w:sz w:val="20"/>
              </w:rPr>
              <w:t>FGEQUIPMENT</w:t>
            </w:r>
          </w:p>
        </w:tc>
        <w:tc>
          <w:tcPr>
            <w:tcW w:w="5130" w:type="dxa"/>
          </w:tcPr>
          <w:p w14:paraId="7B02E22C" w14:textId="77777777" w:rsidR="00234667" w:rsidRPr="001B5E34" w:rsidRDefault="00CD6436" w:rsidP="00E450C1">
            <w:pPr>
              <w:rPr>
                <w:rFonts w:cs="Arial"/>
                <w:sz w:val="20"/>
              </w:rPr>
            </w:pPr>
            <w:bookmarkStart w:id="82" w:name="_Hlk513104394"/>
            <w:r w:rsidRPr="00411557">
              <w:rPr>
                <w:rFonts w:cs="Arial"/>
                <w:sz w:val="20"/>
              </w:rPr>
              <w:t>Engines and turbines installed as grandfathered or exempt sources and have not been modified</w:t>
            </w:r>
            <w:r>
              <w:rPr>
                <w:rFonts w:cs="Arial"/>
                <w:sz w:val="20"/>
              </w:rPr>
              <w:t>.</w:t>
            </w:r>
            <w:bookmarkEnd w:id="82"/>
          </w:p>
        </w:tc>
        <w:tc>
          <w:tcPr>
            <w:tcW w:w="2659" w:type="dxa"/>
          </w:tcPr>
          <w:p w14:paraId="38ABBEDA" w14:textId="77777777" w:rsidR="00E450C1" w:rsidRDefault="00CD6436" w:rsidP="00991194">
            <w:pPr>
              <w:rPr>
                <w:rFonts w:cs="Arial"/>
                <w:sz w:val="20"/>
              </w:rPr>
            </w:pPr>
            <w:r w:rsidRPr="00411557">
              <w:rPr>
                <w:rFonts w:cs="Arial"/>
                <w:sz w:val="20"/>
              </w:rPr>
              <w:t xml:space="preserve">EUBG001 </w:t>
            </w:r>
          </w:p>
          <w:p w14:paraId="2FC57741" w14:textId="77777777" w:rsidR="00E450C1" w:rsidRDefault="00CD6436" w:rsidP="00991194">
            <w:pPr>
              <w:rPr>
                <w:rFonts w:cs="Arial"/>
                <w:sz w:val="20"/>
              </w:rPr>
            </w:pPr>
            <w:r w:rsidRPr="00411557">
              <w:rPr>
                <w:rFonts w:cs="Arial"/>
                <w:sz w:val="20"/>
              </w:rPr>
              <w:t>EUBG002</w:t>
            </w:r>
          </w:p>
          <w:p w14:paraId="457CCC15" w14:textId="77777777" w:rsidR="00E450C1" w:rsidRDefault="00CD6436" w:rsidP="00991194">
            <w:pPr>
              <w:rPr>
                <w:rFonts w:cs="Arial"/>
                <w:sz w:val="20"/>
              </w:rPr>
            </w:pPr>
            <w:r w:rsidRPr="00411557">
              <w:rPr>
                <w:rFonts w:cs="Arial"/>
                <w:sz w:val="20"/>
              </w:rPr>
              <w:t>EUBG003</w:t>
            </w:r>
          </w:p>
          <w:p w14:paraId="5FAE28CE" w14:textId="77777777" w:rsidR="00E450C1" w:rsidRDefault="00CD6436" w:rsidP="00991194">
            <w:pPr>
              <w:rPr>
                <w:rFonts w:cs="Arial"/>
                <w:sz w:val="20"/>
              </w:rPr>
            </w:pPr>
            <w:r w:rsidRPr="00411557">
              <w:rPr>
                <w:rFonts w:cs="Arial"/>
                <w:sz w:val="20"/>
              </w:rPr>
              <w:t>EUBG004</w:t>
            </w:r>
          </w:p>
          <w:p w14:paraId="3760453F" w14:textId="77777777" w:rsidR="00E450C1" w:rsidRDefault="00CD6436" w:rsidP="00991194">
            <w:pPr>
              <w:rPr>
                <w:rFonts w:cs="Arial"/>
                <w:sz w:val="20"/>
              </w:rPr>
            </w:pPr>
            <w:r w:rsidRPr="00411557">
              <w:rPr>
                <w:rFonts w:cs="Arial"/>
                <w:sz w:val="20"/>
              </w:rPr>
              <w:t>EUBG005</w:t>
            </w:r>
          </w:p>
          <w:p w14:paraId="034D56A2" w14:textId="77777777" w:rsidR="00E450C1" w:rsidRDefault="00CD6436" w:rsidP="00991194">
            <w:pPr>
              <w:rPr>
                <w:rFonts w:cs="Arial"/>
                <w:sz w:val="20"/>
              </w:rPr>
            </w:pPr>
            <w:r w:rsidRPr="00411557">
              <w:rPr>
                <w:rFonts w:cs="Arial"/>
                <w:sz w:val="20"/>
              </w:rPr>
              <w:t>EUBG006</w:t>
            </w:r>
          </w:p>
          <w:p w14:paraId="49014909" w14:textId="77777777" w:rsidR="00E450C1" w:rsidRDefault="00CD6436" w:rsidP="00991194">
            <w:pPr>
              <w:rPr>
                <w:rFonts w:cs="Arial"/>
                <w:sz w:val="20"/>
              </w:rPr>
            </w:pPr>
            <w:r>
              <w:rPr>
                <w:rFonts w:cs="Arial"/>
                <w:sz w:val="20"/>
              </w:rPr>
              <w:t>EUBG007</w:t>
            </w:r>
          </w:p>
          <w:p w14:paraId="515BC359" w14:textId="77777777" w:rsidR="00234667" w:rsidRPr="001B5E34" w:rsidRDefault="00CD6436" w:rsidP="00991194">
            <w:pPr>
              <w:rPr>
                <w:rFonts w:cs="Arial"/>
                <w:sz w:val="20"/>
              </w:rPr>
            </w:pPr>
            <w:r w:rsidRPr="00411557">
              <w:rPr>
                <w:rFonts w:cs="Arial"/>
                <w:sz w:val="20"/>
              </w:rPr>
              <w:t>EUBG008</w:t>
            </w:r>
          </w:p>
        </w:tc>
      </w:tr>
    </w:tbl>
    <w:p w14:paraId="775D4AC0" w14:textId="77777777" w:rsidR="00E735E6" w:rsidRDefault="00E735E6" w:rsidP="008427BE">
      <w:pPr>
        <w:jc w:val="both"/>
        <w:rPr>
          <w:sz w:val="20"/>
        </w:rPr>
      </w:pPr>
    </w:p>
    <w:p w14:paraId="5109AEFF" w14:textId="77777777" w:rsidR="00AE1D84" w:rsidRDefault="00AE1D84" w:rsidP="008427BE">
      <w:pPr>
        <w:jc w:val="both"/>
        <w:rPr>
          <w:sz w:val="20"/>
        </w:rPr>
      </w:pPr>
      <w:r>
        <w:rPr>
          <w:sz w:val="20"/>
        </w:rPr>
        <w:br w:type="page"/>
      </w:r>
    </w:p>
    <w:p w14:paraId="7B8B413A"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524520626"/>
      <w:r w:rsidRPr="00347387">
        <w:rPr>
          <w:bCs/>
          <w:iCs/>
          <w:szCs w:val="28"/>
        </w:rPr>
        <w:t>FG</w:t>
      </w:r>
      <w:bookmarkEnd w:id="83"/>
      <w:r w:rsidR="00F03025">
        <w:rPr>
          <w:bCs/>
          <w:iCs/>
          <w:szCs w:val="28"/>
        </w:rPr>
        <w:t>EQUIPMENT</w:t>
      </w:r>
      <w:bookmarkEnd w:id="84"/>
    </w:p>
    <w:p w14:paraId="2852510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8FC0050" w14:textId="77777777" w:rsidR="00AE1D84" w:rsidRPr="00F30023" w:rsidRDefault="00AE1D84" w:rsidP="00F62984">
      <w:pPr>
        <w:rPr>
          <w:sz w:val="20"/>
        </w:rPr>
      </w:pPr>
    </w:p>
    <w:p w14:paraId="76A4FDC9" w14:textId="77777777" w:rsidR="00AE1D84" w:rsidRDefault="00AE1D84" w:rsidP="00F62984">
      <w:pPr>
        <w:jc w:val="both"/>
        <w:rPr>
          <w:b/>
          <w:u w:val="single"/>
        </w:rPr>
      </w:pPr>
      <w:r>
        <w:rPr>
          <w:b/>
          <w:u w:val="single"/>
        </w:rPr>
        <w:t>DESCRIPTION</w:t>
      </w:r>
    </w:p>
    <w:p w14:paraId="32A90A9F" w14:textId="77777777" w:rsidR="00AE1D84" w:rsidRDefault="00AE1D84" w:rsidP="00F62984">
      <w:pPr>
        <w:jc w:val="both"/>
        <w:rPr>
          <w:sz w:val="20"/>
        </w:rPr>
      </w:pPr>
    </w:p>
    <w:p w14:paraId="1A094051" w14:textId="77777777" w:rsidR="00D134E9" w:rsidRDefault="00D134E9" w:rsidP="00F62984">
      <w:pPr>
        <w:jc w:val="both"/>
        <w:rPr>
          <w:color w:val="FF0000"/>
          <w:sz w:val="20"/>
        </w:rPr>
      </w:pPr>
      <w:r w:rsidRPr="00411557">
        <w:rPr>
          <w:rFonts w:cs="Arial"/>
          <w:sz w:val="20"/>
        </w:rPr>
        <w:t>Engines and turbines installed as grandfathered or exempt sources and have not been modified</w:t>
      </w:r>
      <w:r>
        <w:rPr>
          <w:rFonts w:cs="Arial"/>
          <w:sz w:val="20"/>
        </w:rPr>
        <w:t>.</w:t>
      </w:r>
    </w:p>
    <w:p w14:paraId="6FF532FF" w14:textId="77777777" w:rsidR="00AE1D84" w:rsidRPr="00C3424D" w:rsidRDefault="00AE1D84" w:rsidP="00F62984">
      <w:pPr>
        <w:jc w:val="both"/>
        <w:rPr>
          <w:sz w:val="20"/>
        </w:rPr>
      </w:pPr>
    </w:p>
    <w:p w14:paraId="2CB25D18" w14:textId="77777777" w:rsidR="00AE1D84" w:rsidRPr="00A86D8D" w:rsidRDefault="00AE1D84" w:rsidP="00F62984">
      <w:pPr>
        <w:jc w:val="both"/>
        <w:rPr>
          <w:sz w:val="20"/>
        </w:rPr>
      </w:pPr>
      <w:r w:rsidRPr="00FE0AD0">
        <w:rPr>
          <w:b/>
          <w:sz w:val="20"/>
        </w:rPr>
        <w:t>Emission Unit</w:t>
      </w:r>
      <w:r w:rsidR="00D134E9">
        <w:rPr>
          <w:b/>
          <w:sz w:val="20"/>
        </w:rPr>
        <w:t>s</w:t>
      </w:r>
      <w:r>
        <w:rPr>
          <w:b/>
          <w:sz w:val="20"/>
        </w:rPr>
        <w:t>:</w:t>
      </w:r>
      <w:r w:rsidR="00C54F2C">
        <w:rPr>
          <w:sz w:val="20"/>
        </w:rPr>
        <w:t xml:space="preserve">  </w:t>
      </w:r>
      <w:r w:rsidR="00C54F2C" w:rsidRPr="008E03B9">
        <w:rPr>
          <w:rFonts w:cs="Arial"/>
          <w:sz w:val="20"/>
        </w:rPr>
        <w:t>EUBG001, EUBG002, EUBG003, EUBG004</w:t>
      </w:r>
      <w:r w:rsidR="00C54F2C">
        <w:rPr>
          <w:rFonts w:cs="Arial"/>
          <w:sz w:val="20"/>
        </w:rPr>
        <w:t>, EUBG005, EUBG006, EUBG007, EUBG008</w:t>
      </w:r>
    </w:p>
    <w:p w14:paraId="51AA3051" w14:textId="77777777" w:rsidR="00AE1D84" w:rsidRPr="00F30023" w:rsidRDefault="00AE1D84" w:rsidP="00F62984">
      <w:pPr>
        <w:jc w:val="both"/>
        <w:rPr>
          <w:sz w:val="20"/>
        </w:rPr>
      </w:pPr>
    </w:p>
    <w:p w14:paraId="090C8206" w14:textId="77777777" w:rsidR="00AE1D84" w:rsidRDefault="00AE1D84" w:rsidP="00F62984">
      <w:pPr>
        <w:jc w:val="both"/>
        <w:rPr>
          <w:b/>
          <w:u w:val="single"/>
        </w:rPr>
      </w:pPr>
      <w:r>
        <w:rPr>
          <w:b/>
          <w:u w:val="single"/>
        </w:rPr>
        <w:t>POLLUTION CONTROL EQUIPMENT</w:t>
      </w:r>
    </w:p>
    <w:p w14:paraId="3FE4D78D" w14:textId="77777777" w:rsidR="00AE1D84" w:rsidRDefault="00AE1D84" w:rsidP="00F62984">
      <w:pPr>
        <w:jc w:val="both"/>
      </w:pPr>
    </w:p>
    <w:p w14:paraId="492E1EFA" w14:textId="77777777" w:rsidR="00C54F2C" w:rsidRPr="00C54F2C" w:rsidRDefault="00C54F2C" w:rsidP="00F62984">
      <w:pPr>
        <w:jc w:val="both"/>
        <w:rPr>
          <w:sz w:val="20"/>
        </w:rPr>
      </w:pPr>
      <w:r w:rsidRPr="00C54F2C">
        <w:rPr>
          <w:sz w:val="20"/>
        </w:rPr>
        <w:t>NA</w:t>
      </w:r>
    </w:p>
    <w:p w14:paraId="09674619" w14:textId="77777777" w:rsidR="00AE1D84" w:rsidRPr="008B5C27" w:rsidRDefault="00AE1D84" w:rsidP="00F62984">
      <w:pPr>
        <w:rPr>
          <w:sz w:val="20"/>
        </w:rPr>
      </w:pPr>
    </w:p>
    <w:p w14:paraId="59F8E86D" w14:textId="77777777" w:rsidR="00AE1D84" w:rsidRDefault="00AE1D84" w:rsidP="00F62984">
      <w:pPr>
        <w:jc w:val="both"/>
        <w:rPr>
          <w:b/>
          <w:u w:val="single"/>
        </w:rPr>
      </w:pPr>
      <w:r>
        <w:rPr>
          <w:b/>
        </w:rPr>
        <w:t xml:space="preserve">I.  </w:t>
      </w:r>
      <w:r>
        <w:rPr>
          <w:b/>
          <w:u w:val="single"/>
        </w:rPr>
        <w:t>EMISSION LIMIT(S)</w:t>
      </w:r>
    </w:p>
    <w:p w14:paraId="3CF9720B"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7F84C06A"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4898DEAC"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BA33BAF"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30358231" w14:textId="77777777"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FD04E92"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562F66E" w14:textId="77777777" w:rsidR="00AE1D84" w:rsidRDefault="00AE1D84" w:rsidP="00F62984">
            <w:pPr>
              <w:jc w:val="center"/>
              <w:rPr>
                <w:b/>
                <w:sz w:val="20"/>
              </w:rPr>
            </w:pPr>
            <w:r>
              <w:rPr>
                <w:b/>
                <w:sz w:val="20"/>
              </w:rPr>
              <w:t>Monitoring/</w:t>
            </w:r>
          </w:p>
          <w:p w14:paraId="0094A711"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1D9E721"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01E2297F" w14:textId="77777777">
        <w:trPr>
          <w:cantSplit/>
        </w:trPr>
        <w:tc>
          <w:tcPr>
            <w:tcW w:w="1627" w:type="dxa"/>
            <w:tcBorders>
              <w:top w:val="single" w:sz="4" w:space="0" w:color="auto"/>
              <w:left w:val="single" w:sz="4" w:space="0" w:color="auto"/>
              <w:bottom w:val="single" w:sz="4" w:space="0" w:color="auto"/>
              <w:right w:val="single" w:sz="4" w:space="0" w:color="auto"/>
            </w:tcBorders>
          </w:tcPr>
          <w:p w14:paraId="22D6AF9A" w14:textId="77777777" w:rsidR="00AE1D84" w:rsidRPr="00095B77" w:rsidRDefault="00C54F2C" w:rsidP="00C54F2C">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211B5B9F" w14:textId="77777777" w:rsidR="00AE1D84" w:rsidRPr="00BD3DE3" w:rsidRDefault="00C54F2C" w:rsidP="00F6298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3196B0D7" w14:textId="77777777" w:rsidR="00AE1D84" w:rsidRPr="00BD3DE3" w:rsidRDefault="00C54F2C" w:rsidP="00F6298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7D0AE5EB" w14:textId="77777777" w:rsidR="00AE1D84" w:rsidRPr="00BD3DE3" w:rsidRDefault="00C54F2C"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62362F5" w14:textId="77777777" w:rsidR="00AE1D84" w:rsidRPr="00BD3DE3" w:rsidRDefault="00C54F2C"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36980AC6" w14:textId="77777777" w:rsidR="00AE1D84" w:rsidRPr="00BD3DE3" w:rsidRDefault="00C54F2C" w:rsidP="00F62984">
            <w:pPr>
              <w:jc w:val="center"/>
              <w:rPr>
                <w:sz w:val="20"/>
              </w:rPr>
            </w:pPr>
            <w:r>
              <w:rPr>
                <w:sz w:val="20"/>
              </w:rPr>
              <w:t>NA</w:t>
            </w:r>
          </w:p>
        </w:tc>
      </w:tr>
    </w:tbl>
    <w:p w14:paraId="5C5E9F43" w14:textId="77777777" w:rsidR="00AE1D84" w:rsidRPr="00FE0AD0" w:rsidRDefault="00AE1D84" w:rsidP="00F62984">
      <w:pPr>
        <w:jc w:val="both"/>
        <w:rPr>
          <w:sz w:val="20"/>
        </w:rPr>
      </w:pPr>
    </w:p>
    <w:p w14:paraId="3510BB0A" w14:textId="77777777" w:rsidR="00AE1D84" w:rsidRDefault="00AE1D84" w:rsidP="00F62984">
      <w:pPr>
        <w:jc w:val="both"/>
        <w:rPr>
          <w:b/>
          <w:u w:val="single"/>
        </w:rPr>
      </w:pPr>
      <w:r>
        <w:rPr>
          <w:b/>
        </w:rPr>
        <w:t xml:space="preserve">II.  </w:t>
      </w:r>
      <w:r>
        <w:rPr>
          <w:b/>
          <w:u w:val="single"/>
        </w:rPr>
        <w:t>MATERIAL LIMIT(S)</w:t>
      </w:r>
    </w:p>
    <w:p w14:paraId="5DE4361D"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03192F35" w14:textId="77777777">
        <w:trPr>
          <w:cantSplit/>
          <w:tblHeader/>
        </w:trPr>
        <w:tc>
          <w:tcPr>
            <w:tcW w:w="1627" w:type="dxa"/>
            <w:tcBorders>
              <w:top w:val="single" w:sz="4" w:space="0" w:color="auto"/>
              <w:left w:val="single" w:sz="4" w:space="0" w:color="auto"/>
              <w:bottom w:val="single" w:sz="4" w:space="0" w:color="auto"/>
              <w:right w:val="single" w:sz="4" w:space="0" w:color="auto"/>
            </w:tcBorders>
          </w:tcPr>
          <w:p w14:paraId="16FCDB51" w14:textId="77777777" w:rsidR="00AE1D84" w:rsidRPr="00BD3DE3" w:rsidRDefault="00AE1D84" w:rsidP="00F6298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7D7671A9" w14:textId="77777777" w:rsidR="00AE1D84" w:rsidRPr="00BD3DE3" w:rsidRDefault="00AE1D84" w:rsidP="00F6298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43F36C49" w14:textId="77777777" w:rsidR="00AE1D84" w:rsidRDefault="00AE1D84" w:rsidP="00F6298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6C8E0B27"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04EC0D2" w14:textId="77777777" w:rsidR="00AE1D84" w:rsidRDefault="00AE1D84" w:rsidP="00F62984">
            <w:pPr>
              <w:jc w:val="center"/>
              <w:rPr>
                <w:b/>
                <w:sz w:val="20"/>
              </w:rPr>
            </w:pPr>
            <w:r>
              <w:rPr>
                <w:b/>
                <w:sz w:val="20"/>
              </w:rPr>
              <w:t>Monitoring/</w:t>
            </w:r>
          </w:p>
          <w:p w14:paraId="0847F044"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AD9081D"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600DE60E" w14:textId="77777777">
        <w:trPr>
          <w:cantSplit/>
        </w:trPr>
        <w:tc>
          <w:tcPr>
            <w:tcW w:w="1627" w:type="dxa"/>
            <w:tcBorders>
              <w:top w:val="single" w:sz="4" w:space="0" w:color="auto"/>
              <w:left w:val="single" w:sz="4" w:space="0" w:color="auto"/>
              <w:bottom w:val="single" w:sz="4" w:space="0" w:color="auto"/>
              <w:right w:val="single" w:sz="4" w:space="0" w:color="auto"/>
            </w:tcBorders>
          </w:tcPr>
          <w:p w14:paraId="7834C297" w14:textId="77777777" w:rsidR="00AE1D84" w:rsidRPr="00095B77" w:rsidRDefault="00C54F2C" w:rsidP="00C54F2C">
            <w:pPr>
              <w:ind w:left="36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1B1A1FDC" w14:textId="77777777" w:rsidR="00AE1D84" w:rsidRPr="00BD3DE3" w:rsidRDefault="00C54F2C" w:rsidP="00F6298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5444EED9" w14:textId="77777777" w:rsidR="00AE1D84" w:rsidRPr="00BD3DE3" w:rsidRDefault="00C54F2C" w:rsidP="00F6298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738BCFF3" w14:textId="77777777" w:rsidR="00AE1D84" w:rsidRPr="00BD3DE3" w:rsidRDefault="00C54F2C"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55B5844E" w14:textId="77777777" w:rsidR="00AE1D84" w:rsidRPr="00BD3DE3" w:rsidRDefault="00C54F2C" w:rsidP="00F6298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2FA174E3" w14:textId="77777777" w:rsidR="00AE1D84" w:rsidRPr="00BD3DE3" w:rsidRDefault="00C54F2C" w:rsidP="00F62984">
            <w:pPr>
              <w:jc w:val="center"/>
              <w:rPr>
                <w:sz w:val="20"/>
              </w:rPr>
            </w:pPr>
            <w:r>
              <w:rPr>
                <w:sz w:val="20"/>
              </w:rPr>
              <w:t>NA</w:t>
            </w:r>
          </w:p>
        </w:tc>
      </w:tr>
    </w:tbl>
    <w:p w14:paraId="103F8CC4" w14:textId="77777777" w:rsidR="00AE1D84" w:rsidRPr="00FE0AD0" w:rsidRDefault="00AE1D84" w:rsidP="00F62984">
      <w:pPr>
        <w:jc w:val="both"/>
        <w:rPr>
          <w:sz w:val="20"/>
        </w:rPr>
      </w:pPr>
    </w:p>
    <w:p w14:paraId="71080155" w14:textId="77777777"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5B281AAE" w14:textId="77777777" w:rsidR="00AE1D84" w:rsidRPr="00FB6071" w:rsidRDefault="00AE1D84" w:rsidP="00F62984">
      <w:pPr>
        <w:jc w:val="both"/>
        <w:rPr>
          <w:sz w:val="20"/>
        </w:rPr>
      </w:pPr>
    </w:p>
    <w:p w14:paraId="2C946858" w14:textId="77777777" w:rsidR="00A96AA7" w:rsidRPr="00635A3F" w:rsidRDefault="00A96AA7" w:rsidP="00A96AA7">
      <w:pPr>
        <w:numPr>
          <w:ilvl w:val="0"/>
          <w:numId w:val="64"/>
        </w:numPr>
        <w:jc w:val="both"/>
        <w:rPr>
          <w:sz w:val="20"/>
        </w:rPr>
      </w:pPr>
      <w:r w:rsidRPr="008E03B9">
        <w:rPr>
          <w:rFonts w:cs="Arial"/>
          <w:sz w:val="20"/>
        </w:rPr>
        <w:t>The permittee shall only fi</w:t>
      </w:r>
      <w:r>
        <w:rPr>
          <w:rFonts w:cs="Arial"/>
          <w:sz w:val="20"/>
        </w:rPr>
        <w:t xml:space="preserve">re natural gas in the turbines and engines </w:t>
      </w:r>
      <w:r w:rsidRPr="008E03B9">
        <w:rPr>
          <w:rFonts w:cs="Arial"/>
          <w:sz w:val="20"/>
        </w:rPr>
        <w:t>at this facility.</w:t>
      </w:r>
      <w:r w:rsidR="00644C0E">
        <w:rPr>
          <w:rFonts w:cs="Arial"/>
          <w:sz w:val="20"/>
          <w:vertAlign w:val="superscript"/>
        </w:rPr>
        <w:t>2</w:t>
      </w:r>
      <w:r>
        <w:rPr>
          <w:rFonts w:cs="Arial"/>
          <w:sz w:val="20"/>
        </w:rPr>
        <w:t xml:space="preserve">  </w:t>
      </w:r>
      <w:r w:rsidRPr="008E03B9">
        <w:rPr>
          <w:rFonts w:cs="Arial"/>
          <w:b/>
          <w:sz w:val="20"/>
        </w:rPr>
        <w:t>(R 336.1201(1))</w:t>
      </w:r>
    </w:p>
    <w:p w14:paraId="5473B75B" w14:textId="77777777" w:rsidR="00AE1D84" w:rsidRPr="00FB6071" w:rsidRDefault="00AE1D84" w:rsidP="00F62984">
      <w:pPr>
        <w:jc w:val="both"/>
        <w:rPr>
          <w:sz w:val="20"/>
        </w:rPr>
      </w:pPr>
    </w:p>
    <w:p w14:paraId="764E1185" w14:textId="77777777"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2C031800" w14:textId="77777777" w:rsidR="00AE1D84" w:rsidRPr="00C3424D" w:rsidRDefault="00AE1D84" w:rsidP="00F62984">
      <w:pPr>
        <w:jc w:val="both"/>
        <w:rPr>
          <w:sz w:val="20"/>
        </w:rPr>
      </w:pPr>
    </w:p>
    <w:p w14:paraId="0DBC7512" w14:textId="77777777" w:rsidR="00AE1D84" w:rsidRPr="00C0388E" w:rsidRDefault="00A96AA7" w:rsidP="00A96AA7">
      <w:pPr>
        <w:jc w:val="both"/>
        <w:rPr>
          <w:sz w:val="20"/>
        </w:rPr>
      </w:pPr>
      <w:r>
        <w:rPr>
          <w:sz w:val="20"/>
        </w:rPr>
        <w:t>NA</w:t>
      </w:r>
    </w:p>
    <w:p w14:paraId="11E3E871" w14:textId="77777777" w:rsidR="00AE1D84" w:rsidRPr="00FE0AD0" w:rsidRDefault="00AE1D84" w:rsidP="00F62984">
      <w:pPr>
        <w:jc w:val="both"/>
        <w:rPr>
          <w:sz w:val="20"/>
        </w:rPr>
      </w:pPr>
    </w:p>
    <w:p w14:paraId="6F58F3AA" w14:textId="77777777" w:rsidR="00AE1D84" w:rsidRDefault="00AE1D84" w:rsidP="00F62984">
      <w:pPr>
        <w:jc w:val="both"/>
        <w:rPr>
          <w:b/>
          <w:u w:val="single"/>
        </w:rPr>
      </w:pPr>
      <w:r>
        <w:rPr>
          <w:b/>
        </w:rPr>
        <w:t xml:space="preserve">V.  </w:t>
      </w:r>
      <w:r>
        <w:rPr>
          <w:b/>
          <w:u w:val="single"/>
        </w:rPr>
        <w:t>TESTING/SAMPLING</w:t>
      </w:r>
    </w:p>
    <w:p w14:paraId="4288BEF0" w14:textId="77777777" w:rsidR="00AE1D84" w:rsidRDefault="00AE1D84" w:rsidP="00F62984">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311D289" w14:textId="77777777" w:rsidR="00A96AA7" w:rsidRDefault="00A96AA7" w:rsidP="00F62984">
      <w:pPr>
        <w:jc w:val="both"/>
        <w:rPr>
          <w:sz w:val="20"/>
        </w:rPr>
      </w:pPr>
    </w:p>
    <w:p w14:paraId="2DC680FA" w14:textId="77777777" w:rsidR="00A96AA7" w:rsidRPr="00FE0AD0" w:rsidRDefault="00A96AA7" w:rsidP="00F62984">
      <w:pPr>
        <w:jc w:val="both"/>
        <w:rPr>
          <w:sz w:val="20"/>
        </w:rPr>
      </w:pPr>
      <w:r>
        <w:rPr>
          <w:sz w:val="20"/>
        </w:rPr>
        <w:t>NA</w:t>
      </w:r>
    </w:p>
    <w:p w14:paraId="334EBAEE" w14:textId="77777777" w:rsidR="00AE1D84" w:rsidRPr="00FE0AD0" w:rsidRDefault="00AE1D84" w:rsidP="00F62984">
      <w:pPr>
        <w:jc w:val="both"/>
        <w:rPr>
          <w:sz w:val="20"/>
        </w:rPr>
      </w:pPr>
    </w:p>
    <w:p w14:paraId="6E661A92" w14:textId="77777777" w:rsidR="00AE1D84" w:rsidRDefault="00AE1D84" w:rsidP="00F62984">
      <w:pPr>
        <w:jc w:val="both"/>
      </w:pPr>
      <w:r>
        <w:rPr>
          <w:b/>
        </w:rPr>
        <w:t xml:space="preserve">VI.  </w:t>
      </w:r>
      <w:r>
        <w:rPr>
          <w:b/>
          <w:u w:val="single"/>
        </w:rPr>
        <w:t>MONITORING/RECORDKEEPING</w:t>
      </w:r>
    </w:p>
    <w:p w14:paraId="5E16324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937C2D" w14:textId="77777777" w:rsidR="00AE1D84" w:rsidRPr="00FE0AD0" w:rsidRDefault="00AE1D84" w:rsidP="00F62984">
      <w:pPr>
        <w:jc w:val="both"/>
        <w:rPr>
          <w:sz w:val="20"/>
        </w:rPr>
      </w:pPr>
    </w:p>
    <w:p w14:paraId="790F8E87" w14:textId="77777777" w:rsidR="00A96AA7" w:rsidRPr="00635A3F" w:rsidRDefault="00A96AA7" w:rsidP="00A96AA7">
      <w:pPr>
        <w:numPr>
          <w:ilvl w:val="0"/>
          <w:numId w:val="65"/>
        </w:numPr>
        <w:jc w:val="both"/>
        <w:rPr>
          <w:sz w:val="20"/>
        </w:rPr>
      </w:pPr>
      <w:r w:rsidRPr="00256108">
        <w:rPr>
          <w:rFonts w:cs="Arial"/>
          <w:sz w:val="20"/>
        </w:rPr>
        <w:t>The permittee shall monitor and record the natural gas consumption rate for each emission unit listed</w:t>
      </w:r>
      <w:r>
        <w:rPr>
          <w:rFonts w:cs="Arial"/>
          <w:sz w:val="20"/>
        </w:rPr>
        <w:t xml:space="preserve"> in FG</w:t>
      </w:r>
      <w:r w:rsidRPr="00256108">
        <w:rPr>
          <w:rFonts w:cs="Arial"/>
          <w:sz w:val="20"/>
        </w:rPr>
        <w:t>E</w:t>
      </w:r>
      <w:r>
        <w:rPr>
          <w:rFonts w:cs="Arial"/>
          <w:sz w:val="20"/>
        </w:rPr>
        <w:t>QUIPMENT on a monthly basis</w:t>
      </w:r>
      <w:r w:rsidRPr="00256108">
        <w:rPr>
          <w:rFonts w:cs="Arial"/>
          <w:sz w:val="20"/>
        </w:rPr>
        <w:t xml:space="preserve">.  </w:t>
      </w:r>
      <w:r w:rsidRPr="00256108">
        <w:rPr>
          <w:rFonts w:cs="Arial"/>
          <w:b/>
          <w:sz w:val="20"/>
        </w:rPr>
        <w:t>(R 336.1213(3)(b))</w:t>
      </w:r>
    </w:p>
    <w:p w14:paraId="64DBDC7C" w14:textId="77777777" w:rsidR="00AE1D84" w:rsidRPr="008B5C27" w:rsidRDefault="00AE1D84" w:rsidP="00F62984">
      <w:pPr>
        <w:jc w:val="both"/>
        <w:rPr>
          <w:sz w:val="20"/>
        </w:rPr>
      </w:pPr>
    </w:p>
    <w:p w14:paraId="61A65C3C" w14:textId="77777777" w:rsidR="00AE1D84" w:rsidRDefault="00AE1D84" w:rsidP="00F62984">
      <w:pPr>
        <w:jc w:val="both"/>
        <w:rPr>
          <w:b/>
          <w:u w:val="single"/>
        </w:rPr>
      </w:pPr>
      <w:r>
        <w:rPr>
          <w:b/>
        </w:rPr>
        <w:t xml:space="preserve">VII.  </w:t>
      </w:r>
      <w:r>
        <w:rPr>
          <w:b/>
          <w:u w:val="single"/>
        </w:rPr>
        <w:t>REPORTING</w:t>
      </w:r>
    </w:p>
    <w:p w14:paraId="462D45CF" w14:textId="77777777" w:rsidR="00AE1D84" w:rsidRPr="008B5C27" w:rsidRDefault="00AE1D84" w:rsidP="00F62984">
      <w:pPr>
        <w:jc w:val="both"/>
        <w:rPr>
          <w:sz w:val="20"/>
        </w:rPr>
      </w:pPr>
    </w:p>
    <w:p w14:paraId="51DBF223" w14:textId="77777777" w:rsidR="00AE1D84" w:rsidRDefault="00AE1D84" w:rsidP="00F6298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7DE4FDAE" w14:textId="77777777" w:rsidR="00AE1D84" w:rsidRPr="00C0388E" w:rsidRDefault="00AE1D84" w:rsidP="00F62984">
      <w:pPr>
        <w:ind w:left="360" w:hanging="360"/>
        <w:jc w:val="both"/>
        <w:rPr>
          <w:sz w:val="20"/>
        </w:rPr>
      </w:pPr>
    </w:p>
    <w:p w14:paraId="54E4FBAA" w14:textId="77777777" w:rsidR="00AE1D84" w:rsidRDefault="00AE1D84" w:rsidP="00F6298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6F97818C" w14:textId="77777777" w:rsidR="00AE1D84" w:rsidRPr="00C0388E" w:rsidRDefault="00AE1D84" w:rsidP="00F62984">
      <w:pPr>
        <w:ind w:left="360" w:hanging="360"/>
        <w:jc w:val="both"/>
        <w:rPr>
          <w:sz w:val="20"/>
        </w:rPr>
      </w:pPr>
    </w:p>
    <w:p w14:paraId="2251BB11"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4824189" w14:textId="77777777" w:rsidR="00AE1D84" w:rsidRDefault="00AE1D84" w:rsidP="00F62984">
      <w:pPr>
        <w:ind w:right="72"/>
        <w:jc w:val="both"/>
        <w:rPr>
          <w:rFonts w:cs="Arial"/>
          <w:sz w:val="20"/>
        </w:rPr>
      </w:pPr>
    </w:p>
    <w:p w14:paraId="0418EDC1" w14:textId="77777777" w:rsidR="001B25BC" w:rsidRPr="001B25BC" w:rsidRDefault="001B25BC" w:rsidP="001B25BC">
      <w:pPr>
        <w:pStyle w:val="ListParagraph"/>
        <w:numPr>
          <w:ilvl w:val="0"/>
          <w:numId w:val="67"/>
        </w:numPr>
        <w:jc w:val="both"/>
        <w:rPr>
          <w:rFonts w:cs="Arial"/>
          <w:b/>
          <w:sz w:val="20"/>
        </w:rPr>
      </w:pPr>
      <w:r w:rsidRPr="001B25BC">
        <w:rPr>
          <w:rFonts w:cs="Arial"/>
          <w:sz w:val="20"/>
        </w:rPr>
        <w:t xml:space="preserve">The permittee shall submit any performance test reports </w:t>
      </w:r>
      <w:r w:rsidRPr="001B25BC">
        <w:rPr>
          <w:color w:val="000000"/>
          <w:sz w:val="20"/>
        </w:rPr>
        <w:t xml:space="preserve">to the AQD Technical Programs Unit and </w:t>
      </w:r>
      <w:r w:rsidRPr="001B25BC">
        <w:rPr>
          <w:sz w:val="20"/>
        </w:rPr>
        <w:t xml:space="preserve">District Office, in a format approved by the AQD.  </w:t>
      </w:r>
      <w:r w:rsidRPr="001B25BC">
        <w:rPr>
          <w:rFonts w:cs="Arial"/>
          <w:b/>
          <w:sz w:val="20"/>
        </w:rPr>
        <w:t>(</w:t>
      </w:r>
      <w:r w:rsidRPr="001B25BC">
        <w:rPr>
          <w:b/>
          <w:sz w:val="20"/>
        </w:rPr>
        <w:t>R 336.1213(3)(c),</w:t>
      </w:r>
      <w:r w:rsidRPr="001B25BC">
        <w:rPr>
          <w:rFonts w:cs="Arial"/>
          <w:b/>
          <w:sz w:val="20"/>
        </w:rPr>
        <w:t xml:space="preserve"> R 336.2001(5)</w:t>
      </w:r>
      <w:r w:rsidR="00644C0E">
        <w:rPr>
          <w:rFonts w:cs="Arial"/>
          <w:b/>
          <w:sz w:val="20"/>
        </w:rPr>
        <w:t>)</w:t>
      </w:r>
    </w:p>
    <w:p w14:paraId="4B65B571" w14:textId="77777777" w:rsidR="001B25BC" w:rsidRPr="00E111A8" w:rsidRDefault="001B25BC" w:rsidP="00F62984">
      <w:pPr>
        <w:ind w:right="72"/>
        <w:jc w:val="both"/>
        <w:rPr>
          <w:rFonts w:cs="Arial"/>
          <w:sz w:val="20"/>
        </w:rPr>
      </w:pPr>
    </w:p>
    <w:p w14:paraId="17EE8FF6" w14:textId="77777777" w:rsidR="00AE1D84" w:rsidRPr="00FE0AD0" w:rsidRDefault="00AE1D84" w:rsidP="00F62984">
      <w:pPr>
        <w:jc w:val="both"/>
        <w:rPr>
          <w:rFonts w:cs="Arial"/>
          <w:b/>
          <w:sz w:val="20"/>
        </w:rPr>
      </w:pPr>
      <w:r w:rsidRPr="00FE0AD0">
        <w:rPr>
          <w:rFonts w:cs="Arial"/>
          <w:b/>
          <w:sz w:val="20"/>
        </w:rPr>
        <w:t>See Appendix 8</w:t>
      </w:r>
    </w:p>
    <w:p w14:paraId="36159707" w14:textId="77777777" w:rsidR="00AE1D84" w:rsidRPr="00E111A8" w:rsidRDefault="00AE1D84" w:rsidP="00F62984">
      <w:pPr>
        <w:jc w:val="both"/>
        <w:rPr>
          <w:rFonts w:cs="Arial"/>
          <w:sz w:val="20"/>
        </w:rPr>
      </w:pPr>
    </w:p>
    <w:p w14:paraId="754FA608" w14:textId="77777777" w:rsidR="00AE1D84" w:rsidRDefault="00AE1D84" w:rsidP="00F62984">
      <w:pPr>
        <w:jc w:val="both"/>
      </w:pPr>
      <w:r>
        <w:rPr>
          <w:b/>
        </w:rPr>
        <w:t xml:space="preserve">VIII.  </w:t>
      </w:r>
      <w:r>
        <w:rPr>
          <w:b/>
          <w:u w:val="single"/>
        </w:rPr>
        <w:t>STACK/VENT RESTRICTION(S)</w:t>
      </w:r>
    </w:p>
    <w:p w14:paraId="0BA16D7B" w14:textId="77777777" w:rsidR="00AE1D84" w:rsidRDefault="00AE1D84" w:rsidP="00F62984">
      <w:pPr>
        <w:jc w:val="both"/>
        <w:rPr>
          <w:sz w:val="20"/>
        </w:rPr>
      </w:pPr>
    </w:p>
    <w:p w14:paraId="4AF1C2CD"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37CB1860"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23"/>
        <w:gridCol w:w="1710"/>
        <w:gridCol w:w="1800"/>
        <w:gridCol w:w="3127"/>
      </w:tblGrid>
      <w:tr w:rsidR="00AE1D84" w14:paraId="215D8830" w14:textId="77777777" w:rsidTr="00D134E9">
        <w:trPr>
          <w:cantSplit/>
          <w:tblHeader/>
        </w:trPr>
        <w:tc>
          <w:tcPr>
            <w:tcW w:w="3623" w:type="dxa"/>
            <w:tcBorders>
              <w:bottom w:val="single" w:sz="4" w:space="0" w:color="auto"/>
            </w:tcBorders>
          </w:tcPr>
          <w:p w14:paraId="0572F5EB" w14:textId="77777777" w:rsidR="00AE1D84" w:rsidRPr="00BD3DE3" w:rsidRDefault="00AE1D84" w:rsidP="00F62984">
            <w:pPr>
              <w:jc w:val="center"/>
              <w:rPr>
                <w:b/>
                <w:sz w:val="20"/>
              </w:rPr>
            </w:pPr>
            <w:r w:rsidRPr="00BD3DE3">
              <w:rPr>
                <w:b/>
                <w:sz w:val="20"/>
              </w:rPr>
              <w:t>Stack &amp; Vent ID</w:t>
            </w:r>
          </w:p>
        </w:tc>
        <w:tc>
          <w:tcPr>
            <w:tcW w:w="1710" w:type="dxa"/>
            <w:tcBorders>
              <w:bottom w:val="single" w:sz="4" w:space="0" w:color="auto"/>
            </w:tcBorders>
          </w:tcPr>
          <w:p w14:paraId="2650E016" w14:textId="77777777" w:rsidR="00AE1D84" w:rsidRPr="00BD3DE3" w:rsidRDefault="00AE1D84" w:rsidP="00F62984">
            <w:pPr>
              <w:jc w:val="center"/>
              <w:rPr>
                <w:b/>
                <w:sz w:val="20"/>
              </w:rPr>
            </w:pPr>
            <w:r w:rsidRPr="00BD3DE3">
              <w:rPr>
                <w:b/>
                <w:sz w:val="20"/>
              </w:rPr>
              <w:t xml:space="preserve">Maximum </w:t>
            </w:r>
            <w:r>
              <w:rPr>
                <w:b/>
                <w:sz w:val="20"/>
              </w:rPr>
              <w:t>Exhaust Dimensions</w:t>
            </w:r>
          </w:p>
          <w:p w14:paraId="07B169D0"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14:paraId="3C34FE6B" w14:textId="77777777" w:rsidR="00AE1D84" w:rsidRPr="00BD3DE3" w:rsidRDefault="00AE1D84" w:rsidP="00F62984">
            <w:pPr>
              <w:jc w:val="center"/>
              <w:rPr>
                <w:b/>
                <w:sz w:val="20"/>
              </w:rPr>
            </w:pPr>
            <w:r w:rsidRPr="00BD3DE3">
              <w:rPr>
                <w:b/>
                <w:sz w:val="20"/>
              </w:rPr>
              <w:t>M</w:t>
            </w:r>
            <w:r>
              <w:rPr>
                <w:b/>
                <w:sz w:val="20"/>
              </w:rPr>
              <w:t>inimum Height Above Ground</w:t>
            </w:r>
          </w:p>
          <w:p w14:paraId="58112F01" w14:textId="77777777" w:rsidR="00AE1D84" w:rsidRPr="00BD3DE3" w:rsidRDefault="00AE1D84" w:rsidP="00F62984">
            <w:pPr>
              <w:jc w:val="center"/>
              <w:rPr>
                <w:b/>
                <w:sz w:val="20"/>
              </w:rPr>
            </w:pPr>
            <w:r w:rsidRPr="00BD3DE3">
              <w:rPr>
                <w:b/>
                <w:sz w:val="20"/>
              </w:rPr>
              <w:t>(feet)</w:t>
            </w:r>
          </w:p>
        </w:tc>
        <w:tc>
          <w:tcPr>
            <w:tcW w:w="3127" w:type="dxa"/>
            <w:tcBorders>
              <w:bottom w:val="single" w:sz="4" w:space="0" w:color="auto"/>
            </w:tcBorders>
          </w:tcPr>
          <w:p w14:paraId="264514ED" w14:textId="77777777" w:rsidR="00AE1D84" w:rsidRPr="00BD3DE3" w:rsidRDefault="00AE1D84" w:rsidP="00F62984">
            <w:pPr>
              <w:jc w:val="center"/>
              <w:rPr>
                <w:b/>
                <w:sz w:val="20"/>
              </w:rPr>
            </w:pPr>
            <w:r w:rsidRPr="00BD3DE3">
              <w:rPr>
                <w:b/>
                <w:sz w:val="20"/>
              </w:rPr>
              <w:t>Underlying Applicable Requirements</w:t>
            </w:r>
          </w:p>
          <w:p w14:paraId="4340A097" w14:textId="77777777" w:rsidR="00AE1D84" w:rsidRPr="00BD3DE3" w:rsidRDefault="00AE1D84" w:rsidP="00F62984">
            <w:pPr>
              <w:jc w:val="center"/>
              <w:rPr>
                <w:b/>
                <w:sz w:val="20"/>
              </w:rPr>
            </w:pPr>
          </w:p>
        </w:tc>
      </w:tr>
      <w:tr w:rsidR="00AE1D84" w14:paraId="7AF055E6" w14:textId="77777777" w:rsidTr="00D134E9">
        <w:trPr>
          <w:cantSplit/>
        </w:trPr>
        <w:tc>
          <w:tcPr>
            <w:tcW w:w="3623" w:type="dxa"/>
            <w:tcBorders>
              <w:top w:val="single" w:sz="4" w:space="0" w:color="auto"/>
            </w:tcBorders>
          </w:tcPr>
          <w:p w14:paraId="1C3E7048" w14:textId="77777777" w:rsidR="00AE1D84" w:rsidRPr="00C0388E" w:rsidRDefault="00A96AA7" w:rsidP="00A96AA7">
            <w:pPr>
              <w:ind w:left="342"/>
              <w:rPr>
                <w:sz w:val="20"/>
              </w:rPr>
            </w:pPr>
            <w:r>
              <w:rPr>
                <w:sz w:val="20"/>
              </w:rPr>
              <w:t>NA</w:t>
            </w:r>
          </w:p>
        </w:tc>
        <w:tc>
          <w:tcPr>
            <w:tcW w:w="1710" w:type="dxa"/>
            <w:tcBorders>
              <w:top w:val="single" w:sz="4" w:space="0" w:color="auto"/>
            </w:tcBorders>
          </w:tcPr>
          <w:p w14:paraId="226641A4" w14:textId="77777777" w:rsidR="00AE1D84" w:rsidRPr="00BD3DE3" w:rsidRDefault="00A96AA7" w:rsidP="00F62984">
            <w:pPr>
              <w:jc w:val="center"/>
              <w:rPr>
                <w:sz w:val="20"/>
              </w:rPr>
            </w:pPr>
            <w:r>
              <w:rPr>
                <w:sz w:val="20"/>
              </w:rPr>
              <w:t>NA</w:t>
            </w:r>
          </w:p>
        </w:tc>
        <w:tc>
          <w:tcPr>
            <w:tcW w:w="1800" w:type="dxa"/>
            <w:tcBorders>
              <w:top w:val="single" w:sz="4" w:space="0" w:color="auto"/>
            </w:tcBorders>
          </w:tcPr>
          <w:p w14:paraId="47F0EEFE" w14:textId="77777777" w:rsidR="00AE1D84" w:rsidRPr="00BD3DE3" w:rsidRDefault="00A96AA7" w:rsidP="00F62984">
            <w:pPr>
              <w:jc w:val="center"/>
              <w:rPr>
                <w:sz w:val="20"/>
              </w:rPr>
            </w:pPr>
            <w:r>
              <w:rPr>
                <w:sz w:val="20"/>
              </w:rPr>
              <w:t>NA</w:t>
            </w:r>
          </w:p>
        </w:tc>
        <w:tc>
          <w:tcPr>
            <w:tcW w:w="3127" w:type="dxa"/>
            <w:tcBorders>
              <w:top w:val="single" w:sz="4" w:space="0" w:color="auto"/>
            </w:tcBorders>
          </w:tcPr>
          <w:p w14:paraId="010D6BE1" w14:textId="77777777" w:rsidR="00AE1D84" w:rsidRPr="00BD3DE3" w:rsidRDefault="00A96AA7" w:rsidP="00F62984">
            <w:pPr>
              <w:jc w:val="center"/>
              <w:rPr>
                <w:sz w:val="20"/>
              </w:rPr>
            </w:pPr>
            <w:r>
              <w:rPr>
                <w:sz w:val="20"/>
              </w:rPr>
              <w:t>NA</w:t>
            </w:r>
          </w:p>
        </w:tc>
      </w:tr>
    </w:tbl>
    <w:p w14:paraId="711C5D7A" w14:textId="77777777" w:rsidR="00AE1D84" w:rsidRPr="00FE0AD0" w:rsidRDefault="00AE1D84" w:rsidP="00F62984">
      <w:pPr>
        <w:jc w:val="both"/>
        <w:rPr>
          <w:rFonts w:cs="Arial"/>
          <w:sz w:val="20"/>
        </w:rPr>
      </w:pPr>
    </w:p>
    <w:p w14:paraId="683AFF8A" w14:textId="77777777" w:rsidR="00AE1D84" w:rsidRDefault="00AE1D84" w:rsidP="00F62984">
      <w:pPr>
        <w:jc w:val="both"/>
      </w:pPr>
      <w:r>
        <w:rPr>
          <w:b/>
        </w:rPr>
        <w:t xml:space="preserve">IX.  </w:t>
      </w:r>
      <w:r>
        <w:rPr>
          <w:b/>
          <w:u w:val="single"/>
        </w:rPr>
        <w:t>OTHER REQUIREMENT(S)</w:t>
      </w:r>
    </w:p>
    <w:p w14:paraId="3A6A3277" w14:textId="77777777" w:rsidR="00AE1D84" w:rsidRPr="00FE0AD0" w:rsidRDefault="00AE1D84" w:rsidP="00F62984">
      <w:pPr>
        <w:jc w:val="both"/>
        <w:rPr>
          <w:sz w:val="20"/>
        </w:rPr>
      </w:pPr>
    </w:p>
    <w:p w14:paraId="171ED733" w14:textId="77777777" w:rsidR="00AE1D84" w:rsidRPr="00C0388E" w:rsidRDefault="00A96AA7" w:rsidP="00A96AA7">
      <w:pPr>
        <w:jc w:val="both"/>
        <w:rPr>
          <w:sz w:val="20"/>
        </w:rPr>
      </w:pPr>
      <w:r>
        <w:rPr>
          <w:sz w:val="20"/>
        </w:rPr>
        <w:t>NA</w:t>
      </w:r>
    </w:p>
    <w:p w14:paraId="15327C72" w14:textId="77777777" w:rsidR="00AE1D84" w:rsidRDefault="00AE1D84" w:rsidP="00F62984">
      <w:pPr>
        <w:jc w:val="both"/>
        <w:rPr>
          <w:sz w:val="20"/>
        </w:rPr>
      </w:pPr>
    </w:p>
    <w:p w14:paraId="4CDCEEBD" w14:textId="77777777" w:rsidR="000662AD" w:rsidRPr="00FE0AD0" w:rsidRDefault="000662AD" w:rsidP="00F62984">
      <w:pPr>
        <w:jc w:val="both"/>
        <w:rPr>
          <w:sz w:val="20"/>
        </w:rPr>
      </w:pPr>
    </w:p>
    <w:p w14:paraId="52BFB3E2" w14:textId="77777777" w:rsidR="00AE1D84" w:rsidRPr="00B90185" w:rsidRDefault="00AE1D84" w:rsidP="00F62984">
      <w:pPr>
        <w:jc w:val="both"/>
        <w:rPr>
          <w:b/>
          <w:sz w:val="20"/>
        </w:rPr>
      </w:pPr>
      <w:r w:rsidRPr="00B90185">
        <w:rPr>
          <w:b/>
          <w:sz w:val="20"/>
          <w:u w:val="single"/>
        </w:rPr>
        <w:t>Footnotes</w:t>
      </w:r>
      <w:r w:rsidRPr="00B90185">
        <w:rPr>
          <w:b/>
          <w:sz w:val="20"/>
        </w:rPr>
        <w:t>:</w:t>
      </w:r>
    </w:p>
    <w:p w14:paraId="1F64BC2C"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6939A01"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7881725" w14:textId="77777777" w:rsidR="008427BE" w:rsidRPr="003A327D" w:rsidRDefault="008427BE" w:rsidP="008427BE">
      <w:pPr>
        <w:jc w:val="both"/>
        <w:rPr>
          <w:sz w:val="20"/>
        </w:rPr>
      </w:pPr>
    </w:p>
    <w:p w14:paraId="5AECA6CE" w14:textId="77777777" w:rsidR="007014BE" w:rsidRPr="007014BE" w:rsidRDefault="00E14632" w:rsidP="007014BE">
      <w:pPr>
        <w:rPr>
          <w:sz w:val="20"/>
        </w:rPr>
      </w:pPr>
      <w:r w:rsidRPr="00FE0AD0">
        <w:br w:type="page"/>
      </w:r>
      <w:bookmarkStart w:id="85" w:name="_Toc1453518"/>
      <w:bookmarkEnd w:id="63"/>
      <w:bookmarkEnd w:id="64"/>
      <w:bookmarkEnd w:id="65"/>
    </w:p>
    <w:p w14:paraId="43C807CD" w14:textId="77777777" w:rsidR="00D134E9" w:rsidRDefault="00D134E9" w:rsidP="001B5E34">
      <w:pPr>
        <w:pStyle w:val="Heading1"/>
      </w:pPr>
    </w:p>
    <w:p w14:paraId="6BE00A94" w14:textId="77777777" w:rsidR="005E5399" w:rsidRPr="00440957" w:rsidRDefault="00FE2A0A" w:rsidP="001B5E34">
      <w:pPr>
        <w:pStyle w:val="Heading1"/>
        <w:rPr>
          <w:sz w:val="20"/>
          <w:szCs w:val="20"/>
        </w:rPr>
      </w:pPr>
      <w:bookmarkStart w:id="86" w:name="_Toc524520627"/>
      <w:r w:rsidRPr="001B5E34">
        <w:t>E</w:t>
      </w:r>
      <w:r w:rsidR="005E5399" w:rsidRPr="001B5E34">
        <w:t>.  NON-APPLICABLE REQUIREMENTS</w:t>
      </w:r>
      <w:bookmarkEnd w:id="85"/>
      <w:bookmarkEnd w:id="86"/>
    </w:p>
    <w:p w14:paraId="0D02B812" w14:textId="77777777" w:rsidR="005E5399" w:rsidRPr="00FE0AD0" w:rsidRDefault="005E5399">
      <w:pPr>
        <w:rPr>
          <w:sz w:val="20"/>
        </w:rPr>
      </w:pPr>
    </w:p>
    <w:p w14:paraId="3C5C3805"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8DDFB79" w14:textId="77777777" w:rsidR="000822B4" w:rsidRDefault="000822B4" w:rsidP="00D10803">
      <w:pPr>
        <w:jc w:val="both"/>
      </w:pPr>
    </w:p>
    <w:p w14:paraId="37051AC3" w14:textId="77777777" w:rsidR="00447D64" w:rsidRDefault="00447D64" w:rsidP="00D10803">
      <w:pPr>
        <w:jc w:val="both"/>
      </w:pPr>
    </w:p>
    <w:p w14:paraId="59E08175" w14:textId="77777777" w:rsidR="00447D64" w:rsidRDefault="00447D64" w:rsidP="00D10803">
      <w:pPr>
        <w:jc w:val="both"/>
      </w:pPr>
    </w:p>
    <w:p w14:paraId="14D33E72" w14:textId="77777777" w:rsidR="00447D64" w:rsidRDefault="00447D64" w:rsidP="00D10803">
      <w:pPr>
        <w:jc w:val="both"/>
      </w:pPr>
    </w:p>
    <w:p w14:paraId="070F6632" w14:textId="77777777" w:rsidR="00447D64" w:rsidRDefault="00447D64" w:rsidP="00D10803">
      <w:pPr>
        <w:jc w:val="both"/>
      </w:pPr>
    </w:p>
    <w:p w14:paraId="74D04A47" w14:textId="77777777" w:rsidR="00447D64" w:rsidRDefault="00447D64" w:rsidP="00D10803">
      <w:pPr>
        <w:jc w:val="both"/>
      </w:pPr>
    </w:p>
    <w:p w14:paraId="75BE75E2" w14:textId="77777777" w:rsidR="00447D64" w:rsidRDefault="00447D64" w:rsidP="00D10803">
      <w:pPr>
        <w:jc w:val="both"/>
      </w:pPr>
    </w:p>
    <w:p w14:paraId="26BD551E" w14:textId="77777777" w:rsidR="00447D64" w:rsidRDefault="00447D64" w:rsidP="00D10803">
      <w:pPr>
        <w:jc w:val="both"/>
      </w:pPr>
    </w:p>
    <w:p w14:paraId="487716AC" w14:textId="77777777" w:rsidR="00447D64" w:rsidRDefault="00447D64" w:rsidP="00D10803">
      <w:pPr>
        <w:jc w:val="both"/>
      </w:pPr>
    </w:p>
    <w:p w14:paraId="1BAD95DC" w14:textId="77777777" w:rsidR="00402D13" w:rsidRDefault="00402D13" w:rsidP="00D10803">
      <w:pPr>
        <w:jc w:val="both"/>
      </w:pPr>
    </w:p>
    <w:p w14:paraId="6D5AD670" w14:textId="77777777" w:rsidR="00402D13" w:rsidRDefault="00402D13" w:rsidP="00D10803">
      <w:pPr>
        <w:jc w:val="both"/>
      </w:pPr>
    </w:p>
    <w:p w14:paraId="50E16565" w14:textId="77777777" w:rsidR="00402D13" w:rsidRDefault="00402D13" w:rsidP="00D10803">
      <w:pPr>
        <w:jc w:val="both"/>
      </w:pPr>
    </w:p>
    <w:p w14:paraId="71FBC44E" w14:textId="77777777" w:rsidR="00402D13" w:rsidRDefault="00402D13" w:rsidP="00D10803">
      <w:pPr>
        <w:jc w:val="both"/>
      </w:pPr>
    </w:p>
    <w:p w14:paraId="62A6E4C3" w14:textId="77777777" w:rsidR="00402D13" w:rsidRDefault="00402D13" w:rsidP="00D10803">
      <w:pPr>
        <w:jc w:val="both"/>
      </w:pPr>
    </w:p>
    <w:p w14:paraId="37A2F391" w14:textId="77777777" w:rsidR="00402D13" w:rsidRDefault="00402D13" w:rsidP="00D10803">
      <w:pPr>
        <w:jc w:val="both"/>
      </w:pPr>
    </w:p>
    <w:p w14:paraId="0166DCA5" w14:textId="77777777" w:rsidR="00402D13" w:rsidRDefault="00402D13" w:rsidP="00D10803">
      <w:pPr>
        <w:jc w:val="both"/>
      </w:pPr>
    </w:p>
    <w:p w14:paraId="622B46AF" w14:textId="77777777" w:rsidR="00402D13" w:rsidRDefault="00402D13" w:rsidP="00D10803">
      <w:pPr>
        <w:jc w:val="both"/>
      </w:pPr>
    </w:p>
    <w:p w14:paraId="31438FE0" w14:textId="77777777" w:rsidR="00402D13" w:rsidRDefault="00402D13" w:rsidP="00D10803">
      <w:pPr>
        <w:jc w:val="both"/>
      </w:pPr>
    </w:p>
    <w:p w14:paraId="07F363B0" w14:textId="77777777" w:rsidR="00402D13" w:rsidRDefault="00402D13" w:rsidP="00D10803">
      <w:pPr>
        <w:jc w:val="both"/>
      </w:pPr>
    </w:p>
    <w:p w14:paraId="1F440C37" w14:textId="77777777" w:rsidR="00402D13" w:rsidRDefault="00402D13" w:rsidP="00D10803">
      <w:pPr>
        <w:jc w:val="both"/>
      </w:pPr>
    </w:p>
    <w:p w14:paraId="10955314" w14:textId="77777777" w:rsidR="00402D13" w:rsidRDefault="00402D13" w:rsidP="00D10803">
      <w:pPr>
        <w:jc w:val="both"/>
      </w:pPr>
    </w:p>
    <w:p w14:paraId="4BA0E97A" w14:textId="77777777" w:rsidR="00402D13" w:rsidRDefault="00402D13" w:rsidP="00D10803">
      <w:pPr>
        <w:jc w:val="both"/>
      </w:pPr>
    </w:p>
    <w:p w14:paraId="7729C489" w14:textId="77777777" w:rsidR="00402D13" w:rsidRDefault="00402D13" w:rsidP="00D10803">
      <w:pPr>
        <w:jc w:val="both"/>
      </w:pPr>
    </w:p>
    <w:p w14:paraId="1865A618" w14:textId="77777777" w:rsidR="00402D13" w:rsidRDefault="00402D13" w:rsidP="00D10803">
      <w:pPr>
        <w:jc w:val="both"/>
      </w:pPr>
    </w:p>
    <w:p w14:paraId="0EA1B6F8" w14:textId="77777777" w:rsidR="00402D13" w:rsidRDefault="00402D13" w:rsidP="00D10803">
      <w:pPr>
        <w:jc w:val="both"/>
      </w:pPr>
    </w:p>
    <w:p w14:paraId="6CF5102C" w14:textId="77777777" w:rsidR="00402D13" w:rsidRDefault="00402D13" w:rsidP="00D10803">
      <w:pPr>
        <w:jc w:val="both"/>
      </w:pPr>
    </w:p>
    <w:p w14:paraId="107A5E26" w14:textId="77777777" w:rsidR="00402D13" w:rsidRDefault="00402D13" w:rsidP="00D10803">
      <w:pPr>
        <w:jc w:val="both"/>
      </w:pPr>
    </w:p>
    <w:p w14:paraId="417A9C84" w14:textId="77777777" w:rsidR="00402D13" w:rsidRDefault="00402D13" w:rsidP="00D10803">
      <w:pPr>
        <w:jc w:val="both"/>
      </w:pPr>
    </w:p>
    <w:p w14:paraId="17D33D16" w14:textId="77777777" w:rsidR="00402D13" w:rsidRDefault="00402D13" w:rsidP="00D10803">
      <w:pPr>
        <w:jc w:val="both"/>
      </w:pPr>
    </w:p>
    <w:p w14:paraId="1DDB3343" w14:textId="77777777" w:rsidR="00402D13" w:rsidRDefault="00402D13" w:rsidP="00D10803">
      <w:pPr>
        <w:jc w:val="both"/>
      </w:pPr>
    </w:p>
    <w:p w14:paraId="7D4A42A4" w14:textId="77777777" w:rsidR="00402D13" w:rsidRDefault="00402D13" w:rsidP="00D10803">
      <w:pPr>
        <w:jc w:val="both"/>
      </w:pPr>
    </w:p>
    <w:p w14:paraId="24EB7B5A" w14:textId="77777777" w:rsidR="00402D13" w:rsidRDefault="00402D13" w:rsidP="00D10803">
      <w:pPr>
        <w:jc w:val="both"/>
      </w:pPr>
    </w:p>
    <w:p w14:paraId="78E7E337" w14:textId="77777777" w:rsidR="00402D13" w:rsidRDefault="00402D13" w:rsidP="00D10803">
      <w:pPr>
        <w:jc w:val="both"/>
      </w:pPr>
    </w:p>
    <w:p w14:paraId="7304A5AB" w14:textId="77777777" w:rsidR="00402D13" w:rsidRDefault="00402D13" w:rsidP="00D10803">
      <w:pPr>
        <w:jc w:val="both"/>
      </w:pPr>
    </w:p>
    <w:p w14:paraId="14549885" w14:textId="77777777" w:rsidR="00402D13" w:rsidRDefault="00402D13" w:rsidP="00D10803">
      <w:pPr>
        <w:jc w:val="both"/>
      </w:pPr>
    </w:p>
    <w:p w14:paraId="0C6BE27D" w14:textId="77777777" w:rsidR="00402D13" w:rsidRDefault="00402D13" w:rsidP="00D10803">
      <w:pPr>
        <w:jc w:val="both"/>
      </w:pPr>
    </w:p>
    <w:p w14:paraId="21DC836B" w14:textId="77777777" w:rsidR="00447D64" w:rsidRDefault="00447D64" w:rsidP="00D10803">
      <w:pPr>
        <w:jc w:val="both"/>
      </w:pPr>
    </w:p>
    <w:p w14:paraId="23AA6794" w14:textId="77777777" w:rsidR="00447D64" w:rsidRDefault="00447D64" w:rsidP="00D10803">
      <w:pPr>
        <w:jc w:val="both"/>
      </w:pPr>
    </w:p>
    <w:p w14:paraId="5B546C16" w14:textId="77777777" w:rsidR="00447D64" w:rsidRDefault="00447D64" w:rsidP="00D10803">
      <w:pPr>
        <w:jc w:val="both"/>
      </w:pPr>
    </w:p>
    <w:p w14:paraId="50C3613B" w14:textId="77777777" w:rsidR="00447D64" w:rsidRDefault="00447D64" w:rsidP="00D10803">
      <w:pPr>
        <w:jc w:val="both"/>
      </w:pPr>
    </w:p>
    <w:p w14:paraId="7275FB15" w14:textId="77777777" w:rsidR="00447D64" w:rsidRDefault="00447D64" w:rsidP="00D10803">
      <w:pPr>
        <w:jc w:val="both"/>
      </w:pPr>
    </w:p>
    <w:p w14:paraId="332E4EFD" w14:textId="77777777" w:rsidR="00447D64" w:rsidRDefault="00447D64" w:rsidP="00D10803">
      <w:pPr>
        <w:jc w:val="both"/>
      </w:pPr>
    </w:p>
    <w:p w14:paraId="12990B37" w14:textId="77777777" w:rsidR="00447D64" w:rsidRDefault="00447D64" w:rsidP="00D10803">
      <w:pPr>
        <w:jc w:val="both"/>
      </w:pPr>
    </w:p>
    <w:p w14:paraId="14500584" w14:textId="77777777" w:rsidR="00447D64" w:rsidRDefault="00447D64" w:rsidP="00D10803">
      <w:pPr>
        <w:jc w:val="both"/>
      </w:pPr>
    </w:p>
    <w:p w14:paraId="5CF045D5" w14:textId="77777777" w:rsidR="00447D64" w:rsidRDefault="00447D64" w:rsidP="00D10803">
      <w:pPr>
        <w:jc w:val="both"/>
      </w:pPr>
    </w:p>
    <w:tbl>
      <w:tblPr>
        <w:tblW w:w="10271" w:type="dxa"/>
        <w:tblInd w:w="108" w:type="dxa"/>
        <w:tblLayout w:type="fixed"/>
        <w:tblLook w:val="0000" w:firstRow="0" w:lastRow="0" w:firstColumn="0" w:lastColumn="0" w:noHBand="0" w:noVBand="0"/>
      </w:tblPr>
      <w:tblGrid>
        <w:gridCol w:w="10271"/>
      </w:tblGrid>
      <w:tr w:rsidR="00FC3D76" w:rsidRPr="00253A7B" w14:paraId="7ACB5EDC" w14:textId="77777777" w:rsidTr="00B10CBB">
        <w:trPr>
          <w:cantSplit/>
          <w:trHeight w:val="226"/>
        </w:trPr>
        <w:tc>
          <w:tcPr>
            <w:tcW w:w="10271" w:type="dxa"/>
          </w:tcPr>
          <w:p w14:paraId="08B3F504"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7" w:name="_Toc367698521"/>
            <w:bookmarkStart w:id="88" w:name="_Toc524520628"/>
            <w:r w:rsidRPr="00253A7B">
              <w:rPr>
                <w:b/>
                <w:kern w:val="28"/>
                <w:sz w:val="28"/>
                <w:szCs w:val="28"/>
              </w:rPr>
              <w:t>APPENDICES</w:t>
            </w:r>
            <w:bookmarkEnd w:id="87"/>
            <w:bookmarkEnd w:id="88"/>
          </w:p>
        </w:tc>
      </w:tr>
    </w:tbl>
    <w:p w14:paraId="670317E7" w14:textId="77777777" w:rsidR="00FC3D76" w:rsidRPr="005C07D8" w:rsidRDefault="005C07D8" w:rsidP="005C07D8">
      <w:pPr>
        <w:pStyle w:val="Heading2"/>
        <w:numPr>
          <w:ilvl w:val="0"/>
          <w:numId w:val="0"/>
        </w:numPr>
        <w:spacing w:before="0" w:after="0"/>
        <w:jc w:val="left"/>
        <w:rPr>
          <w:sz w:val="22"/>
          <w:szCs w:val="22"/>
        </w:rPr>
      </w:pPr>
      <w:bookmarkStart w:id="89" w:name="_Toc524520629"/>
      <w:r w:rsidRPr="005C07D8">
        <w:rPr>
          <w:sz w:val="22"/>
          <w:szCs w:val="22"/>
        </w:rPr>
        <w:t xml:space="preserve">Appendix 1.  </w:t>
      </w:r>
      <w:r w:rsidR="00D5293E">
        <w:rPr>
          <w:sz w:val="22"/>
          <w:szCs w:val="22"/>
        </w:rPr>
        <w:t xml:space="preserve">Acronyms and </w:t>
      </w:r>
      <w:r w:rsidRPr="005C07D8">
        <w:rPr>
          <w:sz w:val="22"/>
          <w:szCs w:val="22"/>
        </w:rPr>
        <w:t>Abbreviations</w:t>
      </w:r>
      <w:bookmarkEnd w:id="89"/>
    </w:p>
    <w:tbl>
      <w:tblPr>
        <w:tblW w:w="5000" w:type="pct"/>
        <w:jc w:val="center"/>
        <w:tblLook w:val="0000" w:firstRow="0" w:lastRow="0" w:firstColumn="0" w:lastColumn="0" w:noHBand="0" w:noVBand="0"/>
      </w:tblPr>
      <w:tblGrid>
        <w:gridCol w:w="1346"/>
        <w:gridCol w:w="3853"/>
        <w:gridCol w:w="805"/>
        <w:gridCol w:w="4210"/>
      </w:tblGrid>
      <w:tr w:rsidR="00FC3D76" w:rsidRPr="000B6AFE" w14:paraId="0B67D18D" w14:textId="77777777" w:rsidTr="004C0811">
        <w:trPr>
          <w:cantSplit/>
          <w:trHeight w:val="245"/>
          <w:jc w:val="center"/>
        </w:trPr>
        <w:tc>
          <w:tcPr>
            <w:tcW w:w="2545" w:type="pct"/>
            <w:gridSpan w:val="2"/>
            <w:tcBorders>
              <w:top w:val="single" w:sz="4" w:space="0" w:color="auto"/>
              <w:left w:val="single" w:sz="4" w:space="0" w:color="auto"/>
              <w:bottom w:val="double" w:sz="4" w:space="0" w:color="auto"/>
              <w:right w:val="single" w:sz="4" w:space="0" w:color="auto"/>
            </w:tcBorders>
            <w:vAlign w:val="bottom"/>
          </w:tcPr>
          <w:p w14:paraId="7CB8EE07"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single" w:sz="4" w:space="0" w:color="auto"/>
              <w:left w:val="single" w:sz="4" w:space="0" w:color="auto"/>
              <w:bottom w:val="double" w:sz="4" w:space="0" w:color="auto"/>
              <w:right w:val="single" w:sz="4" w:space="0" w:color="auto"/>
            </w:tcBorders>
            <w:vAlign w:val="bottom"/>
          </w:tcPr>
          <w:p w14:paraId="5D907F13"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5C39D222" w14:textId="77777777" w:rsidTr="004C0811">
        <w:trPr>
          <w:cantSplit/>
          <w:trHeight w:val="245"/>
          <w:jc w:val="center"/>
        </w:trPr>
        <w:tc>
          <w:tcPr>
            <w:tcW w:w="659" w:type="pct"/>
            <w:tcBorders>
              <w:left w:val="single" w:sz="4" w:space="0" w:color="auto"/>
            </w:tcBorders>
          </w:tcPr>
          <w:p w14:paraId="28DEB2F0"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right w:val="single" w:sz="4" w:space="0" w:color="auto"/>
            </w:tcBorders>
          </w:tcPr>
          <w:p w14:paraId="02837B2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left w:val="single" w:sz="4" w:space="0" w:color="auto"/>
            </w:tcBorders>
          </w:tcPr>
          <w:p w14:paraId="09194CF6"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right w:val="single" w:sz="4" w:space="0" w:color="auto"/>
            </w:tcBorders>
          </w:tcPr>
          <w:p w14:paraId="2AAA2428"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0DC18E5D" w14:textId="77777777" w:rsidTr="004C0811">
        <w:trPr>
          <w:cantSplit/>
          <w:trHeight w:val="245"/>
          <w:jc w:val="center"/>
        </w:trPr>
        <w:tc>
          <w:tcPr>
            <w:tcW w:w="659" w:type="pct"/>
            <w:tcBorders>
              <w:left w:val="single" w:sz="4" w:space="0" w:color="auto"/>
            </w:tcBorders>
          </w:tcPr>
          <w:p w14:paraId="313F5B79"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6A50F84"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5511DA2"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single" w:sz="4" w:space="0" w:color="auto"/>
            </w:tcBorders>
          </w:tcPr>
          <w:p w14:paraId="73EAB228"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75C135B" w14:textId="77777777" w:rsidTr="004C0811">
        <w:trPr>
          <w:cantSplit/>
          <w:trHeight w:val="245"/>
          <w:jc w:val="center"/>
        </w:trPr>
        <w:tc>
          <w:tcPr>
            <w:tcW w:w="659" w:type="pct"/>
            <w:tcBorders>
              <w:left w:val="single" w:sz="4" w:space="0" w:color="auto"/>
            </w:tcBorders>
          </w:tcPr>
          <w:p w14:paraId="557F3391"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0BEA1AD8"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F1489CA"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single" w:sz="4" w:space="0" w:color="auto"/>
            </w:tcBorders>
          </w:tcPr>
          <w:p w14:paraId="41F6E280"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251D5E43" w14:textId="77777777" w:rsidTr="004C0811">
        <w:trPr>
          <w:cantSplit/>
          <w:trHeight w:val="245"/>
          <w:jc w:val="center"/>
        </w:trPr>
        <w:tc>
          <w:tcPr>
            <w:tcW w:w="659" w:type="pct"/>
            <w:tcBorders>
              <w:left w:val="single" w:sz="4" w:space="0" w:color="auto"/>
            </w:tcBorders>
          </w:tcPr>
          <w:p w14:paraId="625F4F24"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D6C040C"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3E436B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single" w:sz="4" w:space="0" w:color="auto"/>
            </w:tcBorders>
          </w:tcPr>
          <w:p w14:paraId="551516ED"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7A906C70" w14:textId="77777777" w:rsidTr="004C0811">
        <w:trPr>
          <w:cantSplit/>
          <w:trHeight w:val="245"/>
          <w:jc w:val="center"/>
        </w:trPr>
        <w:tc>
          <w:tcPr>
            <w:tcW w:w="659" w:type="pct"/>
            <w:tcBorders>
              <w:left w:val="single" w:sz="4" w:space="0" w:color="auto"/>
            </w:tcBorders>
          </w:tcPr>
          <w:p w14:paraId="72B5F3D9"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4958BEEC"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CA13D92"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single" w:sz="4" w:space="0" w:color="auto"/>
            </w:tcBorders>
          </w:tcPr>
          <w:p w14:paraId="00C4021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665F5C80" w14:textId="77777777" w:rsidTr="004C0811">
        <w:trPr>
          <w:cantSplit/>
          <w:trHeight w:val="245"/>
          <w:jc w:val="center"/>
        </w:trPr>
        <w:tc>
          <w:tcPr>
            <w:tcW w:w="659" w:type="pct"/>
            <w:tcBorders>
              <w:left w:val="single" w:sz="4" w:space="0" w:color="auto"/>
            </w:tcBorders>
          </w:tcPr>
          <w:p w14:paraId="119D0738" w14:textId="77777777" w:rsidR="00FC3D76" w:rsidRPr="000B6AFE" w:rsidRDefault="00FC3D76" w:rsidP="00FC3D76">
            <w:pPr>
              <w:rPr>
                <w:rFonts w:cs="Arial"/>
                <w:sz w:val="19"/>
                <w:szCs w:val="19"/>
              </w:rPr>
            </w:pPr>
            <w:r w:rsidRPr="000B6AFE">
              <w:rPr>
                <w:rFonts w:cs="Arial"/>
                <w:sz w:val="19"/>
                <w:szCs w:val="19"/>
              </w:rPr>
              <w:t>CFR</w:t>
            </w:r>
          </w:p>
        </w:tc>
        <w:tc>
          <w:tcPr>
            <w:tcW w:w="1886" w:type="pct"/>
            <w:tcBorders>
              <w:right w:val="single" w:sz="4" w:space="0" w:color="auto"/>
            </w:tcBorders>
          </w:tcPr>
          <w:p w14:paraId="502A9807" w14:textId="77777777" w:rsidR="00FC3D76" w:rsidRPr="000B6AFE" w:rsidRDefault="00FC3D76" w:rsidP="00FC3D7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D173696"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single" w:sz="4" w:space="0" w:color="auto"/>
            </w:tcBorders>
          </w:tcPr>
          <w:p w14:paraId="4E95DD80" w14:textId="77777777" w:rsidR="00FC3D76" w:rsidRPr="000B6AFE" w:rsidRDefault="00FC3D76" w:rsidP="00FC3D76">
            <w:pPr>
              <w:rPr>
                <w:rFonts w:cs="Arial"/>
                <w:sz w:val="19"/>
                <w:szCs w:val="19"/>
              </w:rPr>
            </w:pPr>
            <w:r w:rsidRPr="000B6AFE">
              <w:rPr>
                <w:rFonts w:cs="Arial"/>
                <w:sz w:val="19"/>
                <w:szCs w:val="19"/>
              </w:rPr>
              <w:t>Dry standard cubic foot</w:t>
            </w:r>
          </w:p>
        </w:tc>
      </w:tr>
      <w:tr w:rsidR="00FC3D76" w:rsidRPr="000B6AFE" w14:paraId="0389EB65" w14:textId="77777777" w:rsidTr="004C0811">
        <w:trPr>
          <w:cantSplit/>
          <w:trHeight w:val="245"/>
          <w:jc w:val="center"/>
        </w:trPr>
        <w:tc>
          <w:tcPr>
            <w:tcW w:w="659" w:type="pct"/>
            <w:tcBorders>
              <w:left w:val="single" w:sz="4" w:space="0" w:color="auto"/>
            </w:tcBorders>
          </w:tcPr>
          <w:p w14:paraId="736C9501" w14:textId="77777777" w:rsidR="00FC3D76" w:rsidRPr="000B6AFE" w:rsidRDefault="00FC3D76" w:rsidP="00FC3D76">
            <w:pPr>
              <w:rPr>
                <w:rFonts w:cs="Arial"/>
                <w:sz w:val="19"/>
                <w:szCs w:val="19"/>
              </w:rPr>
            </w:pPr>
            <w:r w:rsidRPr="000B6AFE">
              <w:rPr>
                <w:rFonts w:cs="Arial"/>
                <w:sz w:val="19"/>
                <w:szCs w:val="19"/>
              </w:rPr>
              <w:t>COM</w:t>
            </w:r>
          </w:p>
        </w:tc>
        <w:tc>
          <w:tcPr>
            <w:tcW w:w="1886" w:type="pct"/>
            <w:tcBorders>
              <w:right w:val="single" w:sz="4" w:space="0" w:color="auto"/>
            </w:tcBorders>
          </w:tcPr>
          <w:p w14:paraId="279D46E5" w14:textId="77777777" w:rsidR="00FC3D76" w:rsidRPr="000B6AFE" w:rsidRDefault="00FC3D76" w:rsidP="00FC3D7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7B578A9" w14:textId="77777777" w:rsidR="00FC3D76" w:rsidRPr="000B6AFE" w:rsidRDefault="00FC3D76" w:rsidP="00FC3D76">
            <w:pPr>
              <w:rPr>
                <w:rFonts w:cs="Arial"/>
                <w:sz w:val="19"/>
                <w:szCs w:val="19"/>
              </w:rPr>
            </w:pPr>
            <w:proofErr w:type="spellStart"/>
            <w:r w:rsidRPr="000B6AFE">
              <w:rPr>
                <w:rFonts w:cs="Arial"/>
                <w:sz w:val="19"/>
                <w:szCs w:val="19"/>
              </w:rPr>
              <w:t>dscm</w:t>
            </w:r>
            <w:proofErr w:type="spellEnd"/>
          </w:p>
        </w:tc>
        <w:tc>
          <w:tcPr>
            <w:tcW w:w="2061" w:type="pct"/>
            <w:tcBorders>
              <w:right w:val="single" w:sz="4" w:space="0" w:color="auto"/>
            </w:tcBorders>
          </w:tcPr>
          <w:p w14:paraId="67E2D172" w14:textId="77777777" w:rsidR="00FC3D76" w:rsidRPr="000B6AFE" w:rsidRDefault="00FC3D76" w:rsidP="00FC3D76">
            <w:pPr>
              <w:rPr>
                <w:rFonts w:cs="Arial"/>
                <w:sz w:val="19"/>
                <w:szCs w:val="19"/>
              </w:rPr>
            </w:pPr>
            <w:r w:rsidRPr="000B6AFE">
              <w:rPr>
                <w:rFonts w:cs="Arial"/>
                <w:sz w:val="19"/>
                <w:szCs w:val="19"/>
              </w:rPr>
              <w:t>Dry standard cubic meter</w:t>
            </w:r>
          </w:p>
        </w:tc>
      </w:tr>
      <w:tr w:rsidR="00FC3D76" w:rsidRPr="000B6AFE" w14:paraId="62D5722A" w14:textId="77777777" w:rsidTr="004C0811">
        <w:trPr>
          <w:cantSplit/>
          <w:trHeight w:val="245"/>
          <w:jc w:val="center"/>
        </w:trPr>
        <w:tc>
          <w:tcPr>
            <w:tcW w:w="659" w:type="pct"/>
            <w:vMerge w:val="restart"/>
            <w:tcBorders>
              <w:left w:val="single" w:sz="4" w:space="0" w:color="auto"/>
            </w:tcBorders>
          </w:tcPr>
          <w:p w14:paraId="5D182129" w14:textId="77777777" w:rsidR="00FC3D76" w:rsidRPr="000B6AFE" w:rsidRDefault="00FC3D76" w:rsidP="00FC3D76">
            <w:pPr>
              <w:rPr>
                <w:rFonts w:cs="Arial"/>
                <w:sz w:val="19"/>
                <w:szCs w:val="19"/>
              </w:rPr>
            </w:pPr>
            <w:r w:rsidRPr="000B6AFE">
              <w:rPr>
                <w:rFonts w:cs="Arial"/>
                <w:sz w:val="19"/>
                <w:szCs w:val="19"/>
              </w:rPr>
              <w:t>Department/</w:t>
            </w:r>
          </w:p>
          <w:p w14:paraId="01BD06D4" w14:textId="77777777" w:rsidR="00FC3D76" w:rsidRPr="000B6AFE" w:rsidRDefault="00FC3D76" w:rsidP="00FC3D76">
            <w:pPr>
              <w:rPr>
                <w:rFonts w:cs="Arial"/>
                <w:sz w:val="19"/>
                <w:szCs w:val="19"/>
                <w:highlight w:val="yellow"/>
              </w:rPr>
            </w:pPr>
            <w:r w:rsidRPr="000B6AFE">
              <w:rPr>
                <w:rFonts w:cs="Arial"/>
                <w:sz w:val="19"/>
                <w:szCs w:val="19"/>
              </w:rPr>
              <w:t>department</w:t>
            </w:r>
          </w:p>
        </w:tc>
        <w:tc>
          <w:tcPr>
            <w:tcW w:w="1886" w:type="pct"/>
            <w:vMerge w:val="restart"/>
            <w:tcBorders>
              <w:right w:val="single" w:sz="4" w:space="0" w:color="auto"/>
            </w:tcBorders>
          </w:tcPr>
          <w:p w14:paraId="4BBB99D4"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7709374D" w14:textId="77777777" w:rsidR="00FC3D76" w:rsidRPr="000B6AFE" w:rsidRDefault="00FC3D76" w:rsidP="00FC3D76">
            <w:pPr>
              <w:rPr>
                <w:rFonts w:cs="Arial"/>
                <w:sz w:val="19"/>
                <w:szCs w:val="19"/>
              </w:rPr>
            </w:pPr>
            <w:r w:rsidRPr="000B6AFE">
              <w:rPr>
                <w:rFonts w:cs="Arial"/>
                <w:sz w:val="19"/>
                <w:szCs w:val="19"/>
              </w:rPr>
              <w:t>°F</w:t>
            </w:r>
          </w:p>
        </w:tc>
        <w:tc>
          <w:tcPr>
            <w:tcW w:w="2061" w:type="pct"/>
            <w:tcBorders>
              <w:right w:val="single" w:sz="4" w:space="0" w:color="auto"/>
            </w:tcBorders>
          </w:tcPr>
          <w:p w14:paraId="379B7B49" w14:textId="77777777" w:rsidR="00FC3D76" w:rsidRPr="000B6AFE" w:rsidRDefault="00FC3D76" w:rsidP="00FC3D76">
            <w:pPr>
              <w:rPr>
                <w:rFonts w:cs="Arial"/>
                <w:sz w:val="19"/>
                <w:szCs w:val="19"/>
              </w:rPr>
            </w:pPr>
            <w:r w:rsidRPr="000B6AFE">
              <w:rPr>
                <w:rFonts w:cs="Arial"/>
                <w:sz w:val="19"/>
                <w:szCs w:val="19"/>
              </w:rPr>
              <w:t>Degrees Fahrenheit</w:t>
            </w:r>
          </w:p>
        </w:tc>
      </w:tr>
      <w:tr w:rsidR="00FC3D76" w:rsidRPr="000B6AFE" w14:paraId="544BC828" w14:textId="77777777" w:rsidTr="004C0811">
        <w:trPr>
          <w:cantSplit/>
          <w:trHeight w:val="245"/>
          <w:jc w:val="center"/>
        </w:trPr>
        <w:tc>
          <w:tcPr>
            <w:tcW w:w="659" w:type="pct"/>
            <w:vMerge/>
            <w:tcBorders>
              <w:left w:val="single" w:sz="4" w:space="0" w:color="auto"/>
            </w:tcBorders>
          </w:tcPr>
          <w:p w14:paraId="31899C83" w14:textId="77777777" w:rsidR="00FC3D76" w:rsidRPr="000B6AFE" w:rsidRDefault="00FC3D76" w:rsidP="00FC3D76">
            <w:pPr>
              <w:rPr>
                <w:rFonts w:cs="Arial"/>
                <w:sz w:val="19"/>
                <w:szCs w:val="19"/>
              </w:rPr>
            </w:pPr>
          </w:p>
        </w:tc>
        <w:tc>
          <w:tcPr>
            <w:tcW w:w="1886" w:type="pct"/>
            <w:vMerge/>
            <w:tcBorders>
              <w:right w:val="single" w:sz="4" w:space="0" w:color="auto"/>
            </w:tcBorders>
          </w:tcPr>
          <w:p w14:paraId="07460C9C" w14:textId="77777777" w:rsidR="00FC3D76" w:rsidRPr="000B6AFE" w:rsidRDefault="00FC3D76" w:rsidP="00FC3D76">
            <w:pPr>
              <w:rPr>
                <w:rFonts w:cs="Arial"/>
                <w:sz w:val="19"/>
                <w:szCs w:val="19"/>
              </w:rPr>
            </w:pPr>
          </w:p>
        </w:tc>
        <w:tc>
          <w:tcPr>
            <w:tcW w:w="394" w:type="pct"/>
            <w:tcBorders>
              <w:left w:val="single" w:sz="4" w:space="0" w:color="auto"/>
            </w:tcBorders>
          </w:tcPr>
          <w:p w14:paraId="255E66EF" w14:textId="77777777" w:rsidR="00FC3D76" w:rsidRPr="000B6AFE" w:rsidRDefault="00FC3D76" w:rsidP="00FC3D76">
            <w:pPr>
              <w:rPr>
                <w:rFonts w:cs="Arial"/>
                <w:sz w:val="19"/>
                <w:szCs w:val="19"/>
              </w:rPr>
            </w:pPr>
            <w:r w:rsidRPr="000B6AFE">
              <w:rPr>
                <w:rFonts w:cs="Arial"/>
                <w:sz w:val="19"/>
                <w:szCs w:val="19"/>
              </w:rPr>
              <w:t>gr</w:t>
            </w:r>
          </w:p>
        </w:tc>
        <w:tc>
          <w:tcPr>
            <w:tcW w:w="2061" w:type="pct"/>
            <w:tcBorders>
              <w:right w:val="single" w:sz="4" w:space="0" w:color="auto"/>
            </w:tcBorders>
          </w:tcPr>
          <w:p w14:paraId="319FA363" w14:textId="77777777" w:rsidR="00FC3D76" w:rsidRPr="000B6AFE" w:rsidRDefault="00FC3D76" w:rsidP="00FC3D76">
            <w:pPr>
              <w:rPr>
                <w:rFonts w:cs="Arial"/>
                <w:sz w:val="19"/>
                <w:szCs w:val="19"/>
              </w:rPr>
            </w:pPr>
            <w:r w:rsidRPr="000B6AFE">
              <w:rPr>
                <w:rFonts w:cs="Arial"/>
                <w:sz w:val="19"/>
                <w:szCs w:val="19"/>
              </w:rPr>
              <w:t>Grains</w:t>
            </w:r>
          </w:p>
        </w:tc>
      </w:tr>
      <w:tr w:rsidR="00FC3D76" w:rsidRPr="000B6AFE" w14:paraId="27C304FC" w14:textId="77777777" w:rsidTr="004C0811">
        <w:trPr>
          <w:cantSplit/>
          <w:trHeight w:val="245"/>
          <w:jc w:val="center"/>
        </w:trPr>
        <w:tc>
          <w:tcPr>
            <w:tcW w:w="659" w:type="pct"/>
            <w:tcBorders>
              <w:left w:val="single" w:sz="4" w:space="0" w:color="auto"/>
            </w:tcBorders>
          </w:tcPr>
          <w:p w14:paraId="7A4A9366" w14:textId="77777777" w:rsidR="00FC3D76" w:rsidRPr="000B6AFE" w:rsidRDefault="00FC3D76" w:rsidP="00FC3D76">
            <w:pPr>
              <w:rPr>
                <w:rFonts w:cs="Arial"/>
                <w:sz w:val="19"/>
                <w:szCs w:val="19"/>
              </w:rPr>
            </w:pPr>
            <w:r w:rsidRPr="000B6AFE">
              <w:rPr>
                <w:rFonts w:cs="Arial"/>
                <w:sz w:val="19"/>
                <w:szCs w:val="19"/>
              </w:rPr>
              <w:t>EU</w:t>
            </w:r>
          </w:p>
        </w:tc>
        <w:tc>
          <w:tcPr>
            <w:tcW w:w="1886" w:type="pct"/>
            <w:tcBorders>
              <w:right w:val="single" w:sz="4" w:space="0" w:color="auto"/>
            </w:tcBorders>
          </w:tcPr>
          <w:p w14:paraId="1A05AD56" w14:textId="77777777" w:rsidR="00FC3D76" w:rsidRPr="000B6AFE" w:rsidRDefault="00FC3D76" w:rsidP="00FC3D76">
            <w:pPr>
              <w:rPr>
                <w:rFonts w:cs="Arial"/>
                <w:sz w:val="19"/>
                <w:szCs w:val="19"/>
              </w:rPr>
            </w:pPr>
            <w:r w:rsidRPr="000B6AFE">
              <w:rPr>
                <w:rFonts w:cs="Arial"/>
                <w:sz w:val="19"/>
                <w:szCs w:val="19"/>
              </w:rPr>
              <w:t>Emission Unit</w:t>
            </w:r>
          </w:p>
        </w:tc>
        <w:tc>
          <w:tcPr>
            <w:tcW w:w="394" w:type="pct"/>
            <w:tcBorders>
              <w:left w:val="single" w:sz="4" w:space="0" w:color="auto"/>
            </w:tcBorders>
          </w:tcPr>
          <w:p w14:paraId="66D78AB1" w14:textId="77777777" w:rsidR="00FC3D76" w:rsidRPr="000B6AFE" w:rsidRDefault="00FC3D76" w:rsidP="00FC3D76">
            <w:pPr>
              <w:rPr>
                <w:rFonts w:cs="Arial"/>
                <w:sz w:val="19"/>
                <w:szCs w:val="19"/>
              </w:rPr>
            </w:pPr>
            <w:r w:rsidRPr="000B6AFE">
              <w:rPr>
                <w:rFonts w:cs="Arial"/>
                <w:sz w:val="19"/>
                <w:szCs w:val="19"/>
              </w:rPr>
              <w:t>HAP</w:t>
            </w:r>
          </w:p>
        </w:tc>
        <w:tc>
          <w:tcPr>
            <w:tcW w:w="2061" w:type="pct"/>
            <w:tcBorders>
              <w:right w:val="single" w:sz="4" w:space="0" w:color="auto"/>
            </w:tcBorders>
          </w:tcPr>
          <w:p w14:paraId="75F088F5" w14:textId="77777777" w:rsidR="00FC3D76" w:rsidRPr="000B6AFE" w:rsidRDefault="00FC3D76" w:rsidP="00FC3D76">
            <w:pPr>
              <w:rPr>
                <w:rFonts w:cs="Arial"/>
                <w:sz w:val="19"/>
                <w:szCs w:val="19"/>
              </w:rPr>
            </w:pPr>
            <w:r w:rsidRPr="000B6AFE">
              <w:rPr>
                <w:rFonts w:cs="Arial"/>
                <w:sz w:val="19"/>
                <w:szCs w:val="19"/>
              </w:rPr>
              <w:t>Hazardous Air Pollutant</w:t>
            </w:r>
          </w:p>
        </w:tc>
      </w:tr>
      <w:tr w:rsidR="00FC3D76" w:rsidRPr="000B6AFE" w14:paraId="2DC22330" w14:textId="77777777" w:rsidTr="004C0811">
        <w:trPr>
          <w:cantSplit/>
          <w:trHeight w:val="245"/>
          <w:jc w:val="center"/>
        </w:trPr>
        <w:tc>
          <w:tcPr>
            <w:tcW w:w="659" w:type="pct"/>
            <w:tcBorders>
              <w:left w:val="single" w:sz="4" w:space="0" w:color="auto"/>
            </w:tcBorders>
          </w:tcPr>
          <w:p w14:paraId="7FA2F343" w14:textId="77777777" w:rsidR="00FC3D76" w:rsidRPr="000B6AFE" w:rsidRDefault="00FC3D76" w:rsidP="00FC3D76">
            <w:pPr>
              <w:rPr>
                <w:rFonts w:cs="Arial"/>
                <w:sz w:val="19"/>
                <w:szCs w:val="19"/>
              </w:rPr>
            </w:pPr>
            <w:r w:rsidRPr="000B6AFE">
              <w:rPr>
                <w:rFonts w:cs="Arial"/>
                <w:sz w:val="19"/>
                <w:szCs w:val="19"/>
              </w:rPr>
              <w:t>FG</w:t>
            </w:r>
          </w:p>
        </w:tc>
        <w:tc>
          <w:tcPr>
            <w:tcW w:w="1886" w:type="pct"/>
            <w:tcBorders>
              <w:right w:val="single" w:sz="4" w:space="0" w:color="auto"/>
            </w:tcBorders>
          </w:tcPr>
          <w:p w14:paraId="295B48A1" w14:textId="77777777" w:rsidR="00FC3D76" w:rsidRPr="000B6AFE" w:rsidRDefault="00FC3D76" w:rsidP="00FC3D76">
            <w:pPr>
              <w:rPr>
                <w:rFonts w:cs="Arial"/>
                <w:sz w:val="19"/>
                <w:szCs w:val="19"/>
              </w:rPr>
            </w:pPr>
            <w:r w:rsidRPr="000B6AFE">
              <w:rPr>
                <w:rFonts w:cs="Arial"/>
                <w:sz w:val="19"/>
                <w:szCs w:val="19"/>
              </w:rPr>
              <w:t>Flexible Group</w:t>
            </w:r>
          </w:p>
        </w:tc>
        <w:tc>
          <w:tcPr>
            <w:tcW w:w="394" w:type="pct"/>
            <w:tcBorders>
              <w:left w:val="single" w:sz="4" w:space="0" w:color="auto"/>
            </w:tcBorders>
          </w:tcPr>
          <w:p w14:paraId="2DFE028F" w14:textId="77777777" w:rsidR="00FC3D76" w:rsidRPr="000B6AFE" w:rsidRDefault="00FC3D76" w:rsidP="00FC3D76">
            <w:pPr>
              <w:rPr>
                <w:rFonts w:cs="Arial"/>
                <w:sz w:val="19"/>
                <w:szCs w:val="19"/>
              </w:rPr>
            </w:pPr>
            <w:r w:rsidRPr="000B6AFE">
              <w:rPr>
                <w:rFonts w:cs="Arial"/>
                <w:sz w:val="19"/>
                <w:szCs w:val="19"/>
              </w:rPr>
              <w:t>Hg</w:t>
            </w:r>
          </w:p>
        </w:tc>
        <w:tc>
          <w:tcPr>
            <w:tcW w:w="2061" w:type="pct"/>
            <w:tcBorders>
              <w:right w:val="single" w:sz="4" w:space="0" w:color="auto"/>
            </w:tcBorders>
          </w:tcPr>
          <w:p w14:paraId="04B4F907" w14:textId="77777777" w:rsidR="00FC3D76" w:rsidRPr="000B6AFE" w:rsidRDefault="00FC3D76" w:rsidP="00FC3D76">
            <w:pPr>
              <w:rPr>
                <w:rFonts w:cs="Arial"/>
                <w:sz w:val="19"/>
                <w:szCs w:val="19"/>
              </w:rPr>
            </w:pPr>
            <w:r w:rsidRPr="000B6AFE">
              <w:rPr>
                <w:rFonts w:cs="Arial"/>
                <w:sz w:val="19"/>
                <w:szCs w:val="19"/>
              </w:rPr>
              <w:t>Mercury</w:t>
            </w:r>
          </w:p>
        </w:tc>
      </w:tr>
      <w:tr w:rsidR="00FC3D76" w:rsidRPr="000B6AFE" w14:paraId="586A82E6" w14:textId="77777777" w:rsidTr="004C0811">
        <w:trPr>
          <w:cantSplit/>
          <w:trHeight w:val="245"/>
          <w:jc w:val="center"/>
        </w:trPr>
        <w:tc>
          <w:tcPr>
            <w:tcW w:w="659" w:type="pct"/>
            <w:tcBorders>
              <w:left w:val="single" w:sz="4" w:space="0" w:color="auto"/>
            </w:tcBorders>
          </w:tcPr>
          <w:p w14:paraId="0BCCB145" w14:textId="77777777" w:rsidR="00FC3D76" w:rsidRPr="000B6AFE" w:rsidRDefault="00FC3D76" w:rsidP="00FC3D76">
            <w:pPr>
              <w:rPr>
                <w:rFonts w:cs="Arial"/>
                <w:sz w:val="19"/>
                <w:szCs w:val="19"/>
              </w:rPr>
            </w:pPr>
            <w:r w:rsidRPr="000B6AFE">
              <w:rPr>
                <w:rFonts w:cs="Arial"/>
                <w:sz w:val="19"/>
                <w:szCs w:val="19"/>
              </w:rPr>
              <w:t>GACS</w:t>
            </w:r>
          </w:p>
        </w:tc>
        <w:tc>
          <w:tcPr>
            <w:tcW w:w="1886" w:type="pct"/>
            <w:tcBorders>
              <w:right w:val="single" w:sz="4" w:space="0" w:color="auto"/>
            </w:tcBorders>
          </w:tcPr>
          <w:p w14:paraId="46B96CD2" w14:textId="77777777" w:rsidR="00FC3D76" w:rsidRPr="000B6AFE" w:rsidRDefault="00FC3D76" w:rsidP="00FC3D7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2909C70" w14:textId="77777777" w:rsidR="00FC3D76" w:rsidRPr="000B6AFE" w:rsidRDefault="00FC3D76" w:rsidP="00FC3D76">
            <w:pPr>
              <w:rPr>
                <w:rFonts w:cs="Arial"/>
                <w:sz w:val="19"/>
                <w:szCs w:val="19"/>
              </w:rPr>
            </w:pPr>
            <w:r w:rsidRPr="000B6AFE">
              <w:rPr>
                <w:rFonts w:cs="Arial"/>
                <w:sz w:val="19"/>
                <w:szCs w:val="19"/>
              </w:rPr>
              <w:t>hr</w:t>
            </w:r>
          </w:p>
        </w:tc>
        <w:tc>
          <w:tcPr>
            <w:tcW w:w="2061" w:type="pct"/>
            <w:tcBorders>
              <w:right w:val="single" w:sz="4" w:space="0" w:color="auto"/>
            </w:tcBorders>
          </w:tcPr>
          <w:p w14:paraId="10CE60F6" w14:textId="77777777" w:rsidR="00FC3D76" w:rsidRPr="000B6AFE" w:rsidRDefault="00FC3D76" w:rsidP="00FC3D76">
            <w:pPr>
              <w:rPr>
                <w:rFonts w:cs="Arial"/>
                <w:sz w:val="19"/>
                <w:szCs w:val="19"/>
              </w:rPr>
            </w:pPr>
            <w:r w:rsidRPr="000B6AFE">
              <w:rPr>
                <w:rFonts w:cs="Arial"/>
                <w:sz w:val="19"/>
                <w:szCs w:val="19"/>
              </w:rPr>
              <w:t>Hour</w:t>
            </w:r>
          </w:p>
        </w:tc>
      </w:tr>
      <w:tr w:rsidR="00FC3D76" w:rsidRPr="000B6AFE" w14:paraId="15DA096E" w14:textId="77777777" w:rsidTr="004C0811">
        <w:trPr>
          <w:cantSplit/>
          <w:trHeight w:val="245"/>
          <w:jc w:val="center"/>
        </w:trPr>
        <w:tc>
          <w:tcPr>
            <w:tcW w:w="659" w:type="pct"/>
            <w:tcBorders>
              <w:left w:val="single" w:sz="4" w:space="0" w:color="auto"/>
            </w:tcBorders>
          </w:tcPr>
          <w:p w14:paraId="092CA0FA" w14:textId="77777777" w:rsidR="00FC3D76" w:rsidRPr="000B6AFE" w:rsidRDefault="00FC3D76" w:rsidP="00FC3D76">
            <w:pPr>
              <w:rPr>
                <w:rFonts w:cs="Arial"/>
                <w:sz w:val="19"/>
                <w:szCs w:val="19"/>
              </w:rPr>
            </w:pPr>
            <w:r w:rsidRPr="000B6AFE">
              <w:rPr>
                <w:rFonts w:cs="Arial"/>
                <w:sz w:val="19"/>
                <w:szCs w:val="19"/>
              </w:rPr>
              <w:t>GC</w:t>
            </w:r>
          </w:p>
        </w:tc>
        <w:tc>
          <w:tcPr>
            <w:tcW w:w="1886" w:type="pct"/>
            <w:tcBorders>
              <w:right w:val="single" w:sz="4" w:space="0" w:color="auto"/>
            </w:tcBorders>
          </w:tcPr>
          <w:p w14:paraId="10284E1F" w14:textId="77777777" w:rsidR="00FC3D76" w:rsidRPr="000B6AFE" w:rsidRDefault="00FC3D76" w:rsidP="00FC3D76">
            <w:pPr>
              <w:rPr>
                <w:rFonts w:cs="Arial"/>
                <w:sz w:val="19"/>
                <w:szCs w:val="19"/>
              </w:rPr>
            </w:pPr>
            <w:r w:rsidRPr="000B6AFE">
              <w:rPr>
                <w:rFonts w:cs="Arial"/>
                <w:sz w:val="19"/>
                <w:szCs w:val="19"/>
              </w:rPr>
              <w:t>General Condition</w:t>
            </w:r>
          </w:p>
        </w:tc>
        <w:tc>
          <w:tcPr>
            <w:tcW w:w="394" w:type="pct"/>
            <w:tcBorders>
              <w:left w:val="single" w:sz="4" w:space="0" w:color="auto"/>
            </w:tcBorders>
          </w:tcPr>
          <w:p w14:paraId="7549B0AF" w14:textId="77777777" w:rsidR="00FC3D76" w:rsidRPr="000B6AFE" w:rsidRDefault="00FC3D76" w:rsidP="00FC3D76">
            <w:pPr>
              <w:rPr>
                <w:rFonts w:cs="Arial"/>
                <w:sz w:val="19"/>
                <w:szCs w:val="19"/>
              </w:rPr>
            </w:pPr>
            <w:r w:rsidRPr="000B6AFE">
              <w:rPr>
                <w:rFonts w:cs="Arial"/>
                <w:sz w:val="19"/>
                <w:szCs w:val="19"/>
              </w:rPr>
              <w:t>HP</w:t>
            </w:r>
          </w:p>
        </w:tc>
        <w:tc>
          <w:tcPr>
            <w:tcW w:w="2061" w:type="pct"/>
            <w:tcBorders>
              <w:right w:val="single" w:sz="4" w:space="0" w:color="auto"/>
            </w:tcBorders>
          </w:tcPr>
          <w:p w14:paraId="270C16F9" w14:textId="77777777" w:rsidR="00FC3D76" w:rsidRPr="000B6AFE" w:rsidRDefault="00FC3D76" w:rsidP="00FC3D76">
            <w:pPr>
              <w:rPr>
                <w:rFonts w:cs="Arial"/>
                <w:sz w:val="19"/>
                <w:szCs w:val="19"/>
              </w:rPr>
            </w:pPr>
            <w:r w:rsidRPr="000B6AFE">
              <w:rPr>
                <w:rFonts w:cs="Arial"/>
                <w:sz w:val="19"/>
                <w:szCs w:val="19"/>
              </w:rPr>
              <w:t>Horsepower</w:t>
            </w:r>
          </w:p>
        </w:tc>
      </w:tr>
      <w:tr w:rsidR="00FC3D76" w:rsidRPr="000B6AFE" w14:paraId="78FF65E8" w14:textId="77777777" w:rsidTr="004C0811">
        <w:trPr>
          <w:cantSplit/>
          <w:trHeight w:val="245"/>
          <w:jc w:val="center"/>
        </w:trPr>
        <w:tc>
          <w:tcPr>
            <w:tcW w:w="659" w:type="pct"/>
            <w:tcBorders>
              <w:left w:val="single" w:sz="4" w:space="0" w:color="auto"/>
            </w:tcBorders>
          </w:tcPr>
          <w:p w14:paraId="68A87290" w14:textId="77777777" w:rsidR="00FC3D76" w:rsidRPr="000B6AFE" w:rsidRDefault="00FC3D76" w:rsidP="00FC3D76">
            <w:pPr>
              <w:rPr>
                <w:rFonts w:cs="Arial"/>
                <w:sz w:val="19"/>
                <w:szCs w:val="19"/>
              </w:rPr>
            </w:pPr>
            <w:r w:rsidRPr="000B6AFE">
              <w:rPr>
                <w:rFonts w:cs="Arial"/>
                <w:sz w:val="19"/>
                <w:szCs w:val="19"/>
              </w:rPr>
              <w:t>GHGs</w:t>
            </w:r>
          </w:p>
        </w:tc>
        <w:tc>
          <w:tcPr>
            <w:tcW w:w="1886" w:type="pct"/>
            <w:tcBorders>
              <w:right w:val="single" w:sz="4" w:space="0" w:color="auto"/>
            </w:tcBorders>
          </w:tcPr>
          <w:p w14:paraId="213FE198" w14:textId="77777777" w:rsidR="00FC3D76" w:rsidRPr="000B6AFE" w:rsidRDefault="00FC3D76" w:rsidP="00FC3D76">
            <w:pPr>
              <w:rPr>
                <w:rFonts w:cs="Arial"/>
                <w:sz w:val="19"/>
                <w:szCs w:val="19"/>
              </w:rPr>
            </w:pPr>
            <w:r w:rsidRPr="000B6AFE">
              <w:rPr>
                <w:rFonts w:cs="Arial"/>
                <w:sz w:val="19"/>
                <w:szCs w:val="19"/>
              </w:rPr>
              <w:t>Greenhouse Gases</w:t>
            </w:r>
          </w:p>
        </w:tc>
        <w:tc>
          <w:tcPr>
            <w:tcW w:w="394" w:type="pct"/>
            <w:tcBorders>
              <w:left w:val="single" w:sz="4" w:space="0" w:color="auto"/>
            </w:tcBorders>
          </w:tcPr>
          <w:p w14:paraId="2ABE518C" w14:textId="77777777" w:rsidR="00FC3D76" w:rsidRPr="000B6AFE" w:rsidRDefault="00FC3D76" w:rsidP="00FC3D7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single" w:sz="4" w:space="0" w:color="auto"/>
            </w:tcBorders>
          </w:tcPr>
          <w:p w14:paraId="624B2CB7" w14:textId="77777777" w:rsidR="00FC3D76" w:rsidRPr="000B6AFE" w:rsidRDefault="00FC3D76" w:rsidP="00FC3D76">
            <w:pPr>
              <w:rPr>
                <w:rFonts w:cs="Arial"/>
                <w:sz w:val="19"/>
                <w:szCs w:val="19"/>
              </w:rPr>
            </w:pPr>
            <w:r w:rsidRPr="000B6AFE">
              <w:rPr>
                <w:rFonts w:cs="Arial"/>
                <w:sz w:val="19"/>
                <w:szCs w:val="19"/>
              </w:rPr>
              <w:t>Hydrogen Sulfide</w:t>
            </w:r>
          </w:p>
        </w:tc>
      </w:tr>
      <w:tr w:rsidR="00FC3D76" w:rsidRPr="000B6AFE" w14:paraId="03705172" w14:textId="77777777" w:rsidTr="004C0811">
        <w:trPr>
          <w:cantSplit/>
          <w:trHeight w:val="245"/>
          <w:jc w:val="center"/>
        </w:trPr>
        <w:tc>
          <w:tcPr>
            <w:tcW w:w="659" w:type="pct"/>
            <w:tcBorders>
              <w:left w:val="single" w:sz="4" w:space="0" w:color="auto"/>
            </w:tcBorders>
          </w:tcPr>
          <w:p w14:paraId="78F57807" w14:textId="77777777" w:rsidR="00FC3D76" w:rsidRPr="000B6AFE" w:rsidRDefault="00FC3D76" w:rsidP="00FC3D76">
            <w:pPr>
              <w:rPr>
                <w:rFonts w:cs="Arial"/>
                <w:sz w:val="19"/>
                <w:szCs w:val="19"/>
              </w:rPr>
            </w:pPr>
            <w:r w:rsidRPr="000B6AFE">
              <w:rPr>
                <w:rFonts w:cs="Arial"/>
                <w:sz w:val="19"/>
                <w:szCs w:val="19"/>
              </w:rPr>
              <w:t>HVLP</w:t>
            </w:r>
          </w:p>
        </w:tc>
        <w:tc>
          <w:tcPr>
            <w:tcW w:w="1886" w:type="pct"/>
            <w:tcBorders>
              <w:right w:val="single" w:sz="4" w:space="0" w:color="auto"/>
            </w:tcBorders>
          </w:tcPr>
          <w:p w14:paraId="7C0AA365" w14:textId="77777777" w:rsidR="00FC3D76" w:rsidRPr="000B6AFE" w:rsidRDefault="00FC3D76" w:rsidP="00FC3D7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F2B4776" w14:textId="77777777" w:rsidR="00FC3D76" w:rsidRPr="000B6AFE" w:rsidRDefault="00FC3D76" w:rsidP="00FC3D76">
            <w:pPr>
              <w:rPr>
                <w:rFonts w:cs="Arial"/>
                <w:sz w:val="19"/>
                <w:szCs w:val="19"/>
              </w:rPr>
            </w:pPr>
            <w:r w:rsidRPr="000B6AFE">
              <w:rPr>
                <w:rFonts w:cs="Arial"/>
                <w:sz w:val="19"/>
                <w:szCs w:val="19"/>
              </w:rPr>
              <w:t>kW</w:t>
            </w:r>
          </w:p>
        </w:tc>
        <w:tc>
          <w:tcPr>
            <w:tcW w:w="2061" w:type="pct"/>
            <w:tcBorders>
              <w:right w:val="single" w:sz="4" w:space="0" w:color="auto"/>
            </w:tcBorders>
          </w:tcPr>
          <w:p w14:paraId="7A6157C0" w14:textId="77777777" w:rsidR="00FC3D76" w:rsidRPr="000B6AFE" w:rsidRDefault="00FC3D76" w:rsidP="00FC3D76">
            <w:pPr>
              <w:rPr>
                <w:rFonts w:cs="Arial"/>
                <w:sz w:val="19"/>
                <w:szCs w:val="19"/>
              </w:rPr>
            </w:pPr>
            <w:r w:rsidRPr="000B6AFE">
              <w:rPr>
                <w:rFonts w:cs="Arial"/>
                <w:sz w:val="19"/>
                <w:szCs w:val="19"/>
              </w:rPr>
              <w:t>Kilowatt</w:t>
            </w:r>
          </w:p>
        </w:tc>
      </w:tr>
      <w:tr w:rsidR="00FC3D76" w:rsidRPr="000B6AFE" w14:paraId="62C3AD22" w14:textId="77777777" w:rsidTr="004C0811">
        <w:trPr>
          <w:cantSplit/>
          <w:trHeight w:val="245"/>
          <w:jc w:val="center"/>
        </w:trPr>
        <w:tc>
          <w:tcPr>
            <w:tcW w:w="659" w:type="pct"/>
            <w:tcBorders>
              <w:left w:val="single" w:sz="4" w:space="0" w:color="auto"/>
            </w:tcBorders>
          </w:tcPr>
          <w:p w14:paraId="06F13D16" w14:textId="77777777" w:rsidR="00FC3D76" w:rsidRPr="000B6AFE" w:rsidRDefault="00FC3D76" w:rsidP="00FC3D76">
            <w:pPr>
              <w:rPr>
                <w:rFonts w:cs="Arial"/>
                <w:sz w:val="19"/>
                <w:szCs w:val="19"/>
              </w:rPr>
            </w:pPr>
            <w:r w:rsidRPr="000B6AFE">
              <w:rPr>
                <w:rFonts w:cs="Arial"/>
                <w:sz w:val="19"/>
                <w:szCs w:val="19"/>
              </w:rPr>
              <w:t>ID</w:t>
            </w:r>
          </w:p>
        </w:tc>
        <w:tc>
          <w:tcPr>
            <w:tcW w:w="1886" w:type="pct"/>
            <w:tcBorders>
              <w:right w:val="single" w:sz="4" w:space="0" w:color="auto"/>
            </w:tcBorders>
          </w:tcPr>
          <w:p w14:paraId="6FC13115" w14:textId="77777777" w:rsidR="00FC3D76" w:rsidRPr="000B6AFE" w:rsidRDefault="00FC3D76" w:rsidP="00FC3D7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184E664" w14:textId="77777777" w:rsidR="00FC3D76" w:rsidRPr="000B6AFE" w:rsidRDefault="00FC3D76" w:rsidP="00FC3D76">
            <w:pPr>
              <w:rPr>
                <w:rFonts w:cs="Arial"/>
                <w:sz w:val="19"/>
                <w:szCs w:val="19"/>
              </w:rPr>
            </w:pPr>
            <w:r w:rsidRPr="000B6AFE">
              <w:rPr>
                <w:rFonts w:cs="Arial"/>
                <w:sz w:val="19"/>
                <w:szCs w:val="19"/>
              </w:rPr>
              <w:t>lb</w:t>
            </w:r>
          </w:p>
        </w:tc>
        <w:tc>
          <w:tcPr>
            <w:tcW w:w="2061" w:type="pct"/>
            <w:tcBorders>
              <w:right w:val="single" w:sz="4" w:space="0" w:color="auto"/>
            </w:tcBorders>
          </w:tcPr>
          <w:p w14:paraId="42877C98" w14:textId="77777777" w:rsidR="00FC3D76" w:rsidRPr="000B6AFE" w:rsidRDefault="00FC3D76" w:rsidP="00FC3D76">
            <w:pPr>
              <w:rPr>
                <w:rFonts w:cs="Arial"/>
                <w:sz w:val="19"/>
                <w:szCs w:val="19"/>
              </w:rPr>
            </w:pPr>
            <w:r w:rsidRPr="000B6AFE">
              <w:rPr>
                <w:rFonts w:cs="Arial"/>
                <w:sz w:val="19"/>
                <w:szCs w:val="19"/>
              </w:rPr>
              <w:t>Pound</w:t>
            </w:r>
          </w:p>
        </w:tc>
      </w:tr>
      <w:tr w:rsidR="00FC3D76" w:rsidRPr="000B6AFE" w14:paraId="373272CC" w14:textId="77777777" w:rsidTr="004C0811">
        <w:trPr>
          <w:cantSplit/>
          <w:trHeight w:val="245"/>
          <w:jc w:val="center"/>
        </w:trPr>
        <w:tc>
          <w:tcPr>
            <w:tcW w:w="659" w:type="pct"/>
            <w:tcBorders>
              <w:left w:val="single" w:sz="4" w:space="0" w:color="auto"/>
            </w:tcBorders>
          </w:tcPr>
          <w:p w14:paraId="07D5C9FF" w14:textId="77777777" w:rsidR="00FC3D76" w:rsidRPr="000B6AFE" w:rsidRDefault="00FC3D76" w:rsidP="00FC3D76">
            <w:pPr>
              <w:rPr>
                <w:rFonts w:cs="Arial"/>
                <w:sz w:val="19"/>
                <w:szCs w:val="19"/>
              </w:rPr>
            </w:pPr>
            <w:r w:rsidRPr="000B6AFE">
              <w:rPr>
                <w:rFonts w:cs="Arial"/>
                <w:sz w:val="19"/>
                <w:szCs w:val="19"/>
              </w:rPr>
              <w:t>IRSL</w:t>
            </w:r>
          </w:p>
        </w:tc>
        <w:tc>
          <w:tcPr>
            <w:tcW w:w="1886" w:type="pct"/>
            <w:tcBorders>
              <w:right w:val="single" w:sz="4" w:space="0" w:color="auto"/>
            </w:tcBorders>
          </w:tcPr>
          <w:p w14:paraId="2FB2EA8B" w14:textId="77777777" w:rsidR="00FC3D76" w:rsidRPr="000B6AFE" w:rsidRDefault="00FC3D76" w:rsidP="00FC3D7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DDCA518" w14:textId="77777777" w:rsidR="00FC3D76" w:rsidRPr="000B6AFE" w:rsidRDefault="00FC3D76" w:rsidP="00FC3D76">
            <w:pPr>
              <w:rPr>
                <w:rFonts w:cs="Arial"/>
                <w:sz w:val="19"/>
                <w:szCs w:val="19"/>
              </w:rPr>
            </w:pPr>
            <w:r w:rsidRPr="000B6AFE">
              <w:rPr>
                <w:rFonts w:cs="Arial"/>
                <w:sz w:val="19"/>
                <w:szCs w:val="19"/>
              </w:rPr>
              <w:t>m</w:t>
            </w:r>
          </w:p>
        </w:tc>
        <w:tc>
          <w:tcPr>
            <w:tcW w:w="2061" w:type="pct"/>
            <w:tcBorders>
              <w:right w:val="single" w:sz="4" w:space="0" w:color="auto"/>
            </w:tcBorders>
          </w:tcPr>
          <w:p w14:paraId="14B67851" w14:textId="77777777" w:rsidR="00FC3D76" w:rsidRPr="000B6AFE" w:rsidRDefault="00FC3D76" w:rsidP="00FC3D76">
            <w:pPr>
              <w:rPr>
                <w:rFonts w:cs="Arial"/>
                <w:sz w:val="19"/>
                <w:szCs w:val="19"/>
              </w:rPr>
            </w:pPr>
            <w:r w:rsidRPr="000B6AFE">
              <w:rPr>
                <w:rFonts w:cs="Arial"/>
                <w:sz w:val="19"/>
                <w:szCs w:val="19"/>
              </w:rPr>
              <w:t>Meter</w:t>
            </w:r>
          </w:p>
        </w:tc>
      </w:tr>
      <w:tr w:rsidR="00FC3D76" w:rsidRPr="000B6AFE" w14:paraId="3D45DBFF" w14:textId="77777777" w:rsidTr="004C0811">
        <w:trPr>
          <w:cantSplit/>
          <w:trHeight w:val="245"/>
          <w:jc w:val="center"/>
        </w:trPr>
        <w:tc>
          <w:tcPr>
            <w:tcW w:w="659" w:type="pct"/>
            <w:tcBorders>
              <w:left w:val="single" w:sz="4" w:space="0" w:color="auto"/>
            </w:tcBorders>
          </w:tcPr>
          <w:p w14:paraId="256ADEDE" w14:textId="77777777" w:rsidR="00FC3D76" w:rsidRPr="000B6AFE" w:rsidRDefault="00FC3D76" w:rsidP="00FC3D76">
            <w:pPr>
              <w:rPr>
                <w:rFonts w:cs="Arial"/>
                <w:sz w:val="19"/>
                <w:szCs w:val="19"/>
              </w:rPr>
            </w:pPr>
            <w:r w:rsidRPr="000B6AFE">
              <w:rPr>
                <w:rFonts w:cs="Arial"/>
                <w:sz w:val="19"/>
                <w:szCs w:val="19"/>
              </w:rPr>
              <w:t>ITSL</w:t>
            </w:r>
          </w:p>
        </w:tc>
        <w:tc>
          <w:tcPr>
            <w:tcW w:w="1886" w:type="pct"/>
            <w:tcBorders>
              <w:right w:val="single" w:sz="4" w:space="0" w:color="auto"/>
            </w:tcBorders>
          </w:tcPr>
          <w:p w14:paraId="0FF4AD90" w14:textId="77777777" w:rsidR="00FC3D76" w:rsidRPr="000B6AFE" w:rsidRDefault="00FC3D76" w:rsidP="00FC3D7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8B328A8" w14:textId="77777777" w:rsidR="00FC3D76" w:rsidRPr="000B6AFE" w:rsidRDefault="00FC3D76" w:rsidP="00FC3D76">
            <w:pPr>
              <w:rPr>
                <w:rFonts w:cs="Arial"/>
                <w:sz w:val="19"/>
                <w:szCs w:val="19"/>
              </w:rPr>
            </w:pPr>
            <w:r w:rsidRPr="000B6AFE">
              <w:rPr>
                <w:rFonts w:cs="Arial"/>
                <w:sz w:val="19"/>
                <w:szCs w:val="19"/>
              </w:rPr>
              <w:t>mg</w:t>
            </w:r>
          </w:p>
        </w:tc>
        <w:tc>
          <w:tcPr>
            <w:tcW w:w="2061" w:type="pct"/>
            <w:tcBorders>
              <w:right w:val="single" w:sz="4" w:space="0" w:color="auto"/>
            </w:tcBorders>
          </w:tcPr>
          <w:p w14:paraId="4C2B897A" w14:textId="77777777" w:rsidR="00FC3D76" w:rsidRPr="000B6AFE" w:rsidRDefault="00FC3D76" w:rsidP="00FC3D76">
            <w:pPr>
              <w:rPr>
                <w:rFonts w:cs="Arial"/>
                <w:sz w:val="19"/>
                <w:szCs w:val="19"/>
              </w:rPr>
            </w:pPr>
            <w:r w:rsidRPr="000B6AFE">
              <w:rPr>
                <w:rFonts w:cs="Arial"/>
                <w:sz w:val="19"/>
                <w:szCs w:val="19"/>
              </w:rPr>
              <w:t>Milligram</w:t>
            </w:r>
          </w:p>
        </w:tc>
      </w:tr>
      <w:tr w:rsidR="00FC3D76" w:rsidRPr="000B6AFE" w14:paraId="502E20E7" w14:textId="77777777" w:rsidTr="004C0811">
        <w:trPr>
          <w:cantSplit/>
          <w:trHeight w:val="245"/>
          <w:jc w:val="center"/>
        </w:trPr>
        <w:tc>
          <w:tcPr>
            <w:tcW w:w="659" w:type="pct"/>
            <w:tcBorders>
              <w:left w:val="single" w:sz="4" w:space="0" w:color="auto"/>
            </w:tcBorders>
          </w:tcPr>
          <w:p w14:paraId="3C1594D6" w14:textId="77777777" w:rsidR="00FC3D76" w:rsidRPr="000B6AFE" w:rsidRDefault="00FC3D76" w:rsidP="00FC3D76">
            <w:pPr>
              <w:rPr>
                <w:rFonts w:cs="Arial"/>
                <w:sz w:val="19"/>
                <w:szCs w:val="19"/>
              </w:rPr>
            </w:pPr>
            <w:r w:rsidRPr="000B6AFE">
              <w:rPr>
                <w:rFonts w:cs="Arial"/>
                <w:sz w:val="19"/>
                <w:szCs w:val="19"/>
              </w:rPr>
              <w:t>LAER</w:t>
            </w:r>
          </w:p>
        </w:tc>
        <w:tc>
          <w:tcPr>
            <w:tcW w:w="1886" w:type="pct"/>
            <w:tcBorders>
              <w:right w:val="single" w:sz="4" w:space="0" w:color="auto"/>
            </w:tcBorders>
          </w:tcPr>
          <w:p w14:paraId="22FBAF5C" w14:textId="77777777" w:rsidR="00FC3D76" w:rsidRPr="000B6AFE" w:rsidRDefault="00FC3D76" w:rsidP="00FC3D7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C831931"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3C6A2C31" w14:textId="77777777" w:rsidR="00FC3D76" w:rsidRPr="000B6AFE" w:rsidRDefault="00FC3D76" w:rsidP="00FC3D76">
            <w:pPr>
              <w:rPr>
                <w:rFonts w:cs="Arial"/>
                <w:sz w:val="19"/>
                <w:szCs w:val="19"/>
              </w:rPr>
            </w:pPr>
            <w:r w:rsidRPr="000B6AFE">
              <w:rPr>
                <w:rFonts w:cs="Arial"/>
                <w:sz w:val="19"/>
                <w:szCs w:val="19"/>
              </w:rPr>
              <w:t>Millimeter</w:t>
            </w:r>
          </w:p>
        </w:tc>
      </w:tr>
      <w:tr w:rsidR="00FC3D76" w:rsidRPr="000B6AFE" w14:paraId="173037BE" w14:textId="77777777" w:rsidTr="004C0811">
        <w:trPr>
          <w:cantSplit/>
          <w:trHeight w:val="245"/>
          <w:jc w:val="center"/>
        </w:trPr>
        <w:tc>
          <w:tcPr>
            <w:tcW w:w="659" w:type="pct"/>
            <w:tcBorders>
              <w:left w:val="single" w:sz="4" w:space="0" w:color="auto"/>
            </w:tcBorders>
          </w:tcPr>
          <w:p w14:paraId="14B1143D" w14:textId="77777777" w:rsidR="00FC3D76" w:rsidRPr="000B6AFE" w:rsidRDefault="00FC3D76" w:rsidP="00FC3D76">
            <w:pPr>
              <w:rPr>
                <w:rFonts w:cs="Arial"/>
                <w:sz w:val="19"/>
                <w:szCs w:val="19"/>
              </w:rPr>
            </w:pPr>
            <w:r w:rsidRPr="000B6AFE">
              <w:rPr>
                <w:rFonts w:cs="Arial"/>
                <w:sz w:val="19"/>
                <w:szCs w:val="19"/>
              </w:rPr>
              <w:t>MACT</w:t>
            </w:r>
          </w:p>
        </w:tc>
        <w:tc>
          <w:tcPr>
            <w:tcW w:w="1886" w:type="pct"/>
            <w:tcBorders>
              <w:right w:val="single" w:sz="4" w:space="0" w:color="auto"/>
            </w:tcBorders>
          </w:tcPr>
          <w:p w14:paraId="68622539" w14:textId="77777777" w:rsidR="00FC3D76" w:rsidRPr="000B6AFE" w:rsidRDefault="00FC3D76" w:rsidP="00FC3D7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183AFD56" w14:textId="77777777" w:rsidR="00FC3D76" w:rsidRPr="000B6AFE" w:rsidRDefault="00FC3D76" w:rsidP="00FC3D76">
            <w:pPr>
              <w:rPr>
                <w:rFonts w:cs="Arial"/>
                <w:sz w:val="19"/>
                <w:szCs w:val="19"/>
              </w:rPr>
            </w:pPr>
            <w:r w:rsidRPr="000B6AFE">
              <w:rPr>
                <w:rFonts w:cs="Arial"/>
                <w:sz w:val="19"/>
                <w:szCs w:val="19"/>
              </w:rPr>
              <w:t>MM</w:t>
            </w:r>
          </w:p>
        </w:tc>
        <w:tc>
          <w:tcPr>
            <w:tcW w:w="2061" w:type="pct"/>
            <w:tcBorders>
              <w:right w:val="single" w:sz="4" w:space="0" w:color="auto"/>
            </w:tcBorders>
          </w:tcPr>
          <w:p w14:paraId="2A1588DC" w14:textId="77777777" w:rsidR="00FC3D76" w:rsidRPr="000B6AFE" w:rsidRDefault="00FC3D76" w:rsidP="00FC3D76">
            <w:pPr>
              <w:rPr>
                <w:rFonts w:cs="Arial"/>
                <w:sz w:val="19"/>
                <w:szCs w:val="19"/>
              </w:rPr>
            </w:pPr>
            <w:r w:rsidRPr="000B6AFE">
              <w:rPr>
                <w:rFonts w:cs="Arial"/>
                <w:sz w:val="19"/>
                <w:szCs w:val="19"/>
              </w:rPr>
              <w:t>Million</w:t>
            </w:r>
          </w:p>
        </w:tc>
      </w:tr>
      <w:tr w:rsidR="00FC3D76" w:rsidRPr="000B6AFE" w14:paraId="623073ED" w14:textId="77777777" w:rsidTr="004C0811">
        <w:trPr>
          <w:cantSplit/>
          <w:trHeight w:val="245"/>
          <w:jc w:val="center"/>
        </w:trPr>
        <w:tc>
          <w:tcPr>
            <w:tcW w:w="659" w:type="pct"/>
            <w:tcBorders>
              <w:left w:val="single" w:sz="4" w:space="0" w:color="auto"/>
            </w:tcBorders>
          </w:tcPr>
          <w:p w14:paraId="2FD72301" w14:textId="77777777" w:rsidR="00FC3D76" w:rsidRPr="000B6AFE" w:rsidRDefault="00FC3D76" w:rsidP="00FC3D76">
            <w:pPr>
              <w:rPr>
                <w:rFonts w:cs="Arial"/>
                <w:sz w:val="19"/>
                <w:szCs w:val="19"/>
              </w:rPr>
            </w:pPr>
            <w:r w:rsidRPr="000B6AFE">
              <w:rPr>
                <w:rFonts w:cs="Arial"/>
                <w:sz w:val="19"/>
                <w:szCs w:val="19"/>
              </w:rPr>
              <w:t>MAERS</w:t>
            </w:r>
          </w:p>
        </w:tc>
        <w:tc>
          <w:tcPr>
            <w:tcW w:w="1886" w:type="pct"/>
            <w:tcBorders>
              <w:right w:val="single" w:sz="4" w:space="0" w:color="auto"/>
            </w:tcBorders>
          </w:tcPr>
          <w:p w14:paraId="6B66B2EE" w14:textId="77777777" w:rsidR="00FC3D76" w:rsidRPr="000B6AFE" w:rsidRDefault="00FC3D76" w:rsidP="00FC3D7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5DEB3EEF" w14:textId="77777777" w:rsidR="00FC3D76" w:rsidRPr="000B6AFE" w:rsidRDefault="00FC3D76" w:rsidP="00FC3D76">
            <w:pPr>
              <w:rPr>
                <w:rFonts w:cs="Arial"/>
                <w:sz w:val="19"/>
                <w:szCs w:val="19"/>
              </w:rPr>
            </w:pPr>
            <w:r w:rsidRPr="000B6AFE">
              <w:rPr>
                <w:rFonts w:cs="Arial"/>
                <w:sz w:val="19"/>
                <w:szCs w:val="19"/>
              </w:rPr>
              <w:t>MW</w:t>
            </w:r>
          </w:p>
        </w:tc>
        <w:tc>
          <w:tcPr>
            <w:tcW w:w="2061" w:type="pct"/>
            <w:tcBorders>
              <w:right w:val="single" w:sz="4" w:space="0" w:color="auto"/>
            </w:tcBorders>
          </w:tcPr>
          <w:p w14:paraId="24DA3503" w14:textId="77777777" w:rsidR="00FC3D76" w:rsidRPr="000B6AFE" w:rsidRDefault="00FC3D76" w:rsidP="00FC3D76">
            <w:pPr>
              <w:rPr>
                <w:rFonts w:cs="Arial"/>
                <w:sz w:val="19"/>
                <w:szCs w:val="19"/>
              </w:rPr>
            </w:pPr>
            <w:r w:rsidRPr="000B6AFE">
              <w:rPr>
                <w:rFonts w:cs="Arial"/>
                <w:sz w:val="19"/>
                <w:szCs w:val="19"/>
              </w:rPr>
              <w:t>Megawatts</w:t>
            </w:r>
          </w:p>
        </w:tc>
      </w:tr>
      <w:tr w:rsidR="00FC3D76" w:rsidRPr="000B6AFE" w14:paraId="0C3E4597" w14:textId="77777777" w:rsidTr="004C0811">
        <w:trPr>
          <w:cantSplit/>
          <w:trHeight w:val="245"/>
          <w:jc w:val="center"/>
        </w:trPr>
        <w:tc>
          <w:tcPr>
            <w:tcW w:w="659" w:type="pct"/>
            <w:tcBorders>
              <w:left w:val="single" w:sz="4" w:space="0" w:color="auto"/>
            </w:tcBorders>
          </w:tcPr>
          <w:p w14:paraId="77DC4201" w14:textId="77777777" w:rsidR="00FC3D76" w:rsidRPr="000B6AFE" w:rsidRDefault="00FC3D76" w:rsidP="00FC3D76">
            <w:pPr>
              <w:rPr>
                <w:rFonts w:cs="Arial"/>
                <w:sz w:val="19"/>
                <w:szCs w:val="19"/>
              </w:rPr>
            </w:pPr>
            <w:r w:rsidRPr="000B6AFE">
              <w:rPr>
                <w:rFonts w:cs="Arial"/>
                <w:sz w:val="19"/>
                <w:szCs w:val="19"/>
              </w:rPr>
              <w:t>MAP</w:t>
            </w:r>
          </w:p>
        </w:tc>
        <w:tc>
          <w:tcPr>
            <w:tcW w:w="1886" w:type="pct"/>
            <w:tcBorders>
              <w:right w:val="single" w:sz="4" w:space="0" w:color="auto"/>
            </w:tcBorders>
          </w:tcPr>
          <w:p w14:paraId="57DD2AAE" w14:textId="77777777" w:rsidR="00FC3D76" w:rsidRPr="000B6AFE" w:rsidRDefault="00FC3D76" w:rsidP="00FC3D7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ABB3B0A" w14:textId="77777777" w:rsidR="00FC3D76" w:rsidRPr="000B6AFE" w:rsidRDefault="00FC3D76" w:rsidP="00FC3D76">
            <w:pPr>
              <w:rPr>
                <w:rFonts w:cs="Arial"/>
                <w:sz w:val="19"/>
                <w:szCs w:val="19"/>
              </w:rPr>
            </w:pPr>
            <w:r w:rsidRPr="000B6AFE">
              <w:rPr>
                <w:rFonts w:cs="Arial"/>
                <w:sz w:val="19"/>
                <w:szCs w:val="19"/>
              </w:rPr>
              <w:t>NMOC</w:t>
            </w:r>
          </w:p>
        </w:tc>
        <w:tc>
          <w:tcPr>
            <w:tcW w:w="2061" w:type="pct"/>
            <w:tcBorders>
              <w:right w:val="single" w:sz="4" w:space="0" w:color="auto"/>
            </w:tcBorders>
          </w:tcPr>
          <w:p w14:paraId="5BD4C2B3" w14:textId="77777777" w:rsidR="00FC3D76" w:rsidRPr="000B6AFE" w:rsidRDefault="00FC3D76" w:rsidP="00FC3D76">
            <w:pPr>
              <w:rPr>
                <w:rFonts w:cs="Arial"/>
                <w:sz w:val="19"/>
                <w:szCs w:val="19"/>
              </w:rPr>
            </w:pPr>
            <w:r w:rsidRPr="000B6AFE">
              <w:rPr>
                <w:rFonts w:cs="Arial"/>
                <w:sz w:val="19"/>
                <w:szCs w:val="19"/>
              </w:rPr>
              <w:t>Non-methane Organic Compounds</w:t>
            </w:r>
          </w:p>
        </w:tc>
      </w:tr>
      <w:tr w:rsidR="00FC3D76" w:rsidRPr="000B6AFE" w14:paraId="141C202C" w14:textId="77777777" w:rsidTr="004C0811">
        <w:trPr>
          <w:cantSplit/>
          <w:trHeight w:val="245"/>
          <w:jc w:val="center"/>
        </w:trPr>
        <w:tc>
          <w:tcPr>
            <w:tcW w:w="659" w:type="pct"/>
            <w:vMerge w:val="restart"/>
            <w:tcBorders>
              <w:left w:val="single" w:sz="4" w:space="0" w:color="auto"/>
            </w:tcBorders>
          </w:tcPr>
          <w:p w14:paraId="4C006F4C" w14:textId="77777777" w:rsidR="00FC3D76" w:rsidRPr="000B6AFE" w:rsidRDefault="00FC3D76" w:rsidP="00FC3D76">
            <w:pPr>
              <w:rPr>
                <w:rFonts w:cs="Arial"/>
                <w:sz w:val="19"/>
                <w:szCs w:val="19"/>
              </w:rPr>
            </w:pPr>
            <w:r w:rsidRPr="000B6AFE">
              <w:rPr>
                <w:rFonts w:cs="Arial"/>
                <w:sz w:val="19"/>
                <w:szCs w:val="19"/>
              </w:rPr>
              <w:t>MDEQ</w:t>
            </w:r>
          </w:p>
        </w:tc>
        <w:tc>
          <w:tcPr>
            <w:tcW w:w="1886" w:type="pct"/>
            <w:vMerge w:val="restart"/>
            <w:tcBorders>
              <w:right w:val="single" w:sz="4" w:space="0" w:color="auto"/>
            </w:tcBorders>
          </w:tcPr>
          <w:p w14:paraId="47BA8E5A" w14:textId="77777777" w:rsidR="00FC3D76" w:rsidRPr="000B6AFE" w:rsidRDefault="00FC3D76" w:rsidP="00FC3D76">
            <w:pPr>
              <w:rPr>
                <w:rFonts w:cs="Arial"/>
                <w:sz w:val="19"/>
                <w:szCs w:val="19"/>
              </w:rPr>
            </w:pPr>
            <w:r w:rsidRPr="000B6AFE">
              <w:rPr>
                <w:rFonts w:cs="Arial"/>
                <w:sz w:val="19"/>
                <w:szCs w:val="19"/>
              </w:rPr>
              <w:t>Michigan Department of Environmental Quality</w:t>
            </w:r>
          </w:p>
        </w:tc>
        <w:tc>
          <w:tcPr>
            <w:tcW w:w="394" w:type="pct"/>
            <w:tcBorders>
              <w:left w:val="single" w:sz="4" w:space="0" w:color="auto"/>
            </w:tcBorders>
          </w:tcPr>
          <w:p w14:paraId="5AF3E112" w14:textId="77777777" w:rsidR="00FC3D76" w:rsidRPr="000B6AFE" w:rsidRDefault="00FC3D76" w:rsidP="00FC3D7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single" w:sz="4" w:space="0" w:color="auto"/>
            </w:tcBorders>
          </w:tcPr>
          <w:p w14:paraId="590E493A" w14:textId="77777777" w:rsidR="00FC3D76" w:rsidRPr="000B6AFE" w:rsidRDefault="00FC3D76" w:rsidP="00FC3D76">
            <w:pPr>
              <w:rPr>
                <w:rFonts w:cs="Arial"/>
                <w:sz w:val="19"/>
                <w:szCs w:val="19"/>
              </w:rPr>
            </w:pPr>
            <w:r w:rsidRPr="000B6AFE">
              <w:rPr>
                <w:rFonts w:cs="Arial"/>
                <w:sz w:val="19"/>
                <w:szCs w:val="19"/>
              </w:rPr>
              <w:t>Oxides of Nitrogen</w:t>
            </w:r>
          </w:p>
        </w:tc>
      </w:tr>
      <w:tr w:rsidR="00FC3D76" w:rsidRPr="000B6AFE" w14:paraId="6F128268" w14:textId="77777777" w:rsidTr="004C0811">
        <w:trPr>
          <w:cantSplit/>
          <w:trHeight w:val="245"/>
          <w:jc w:val="center"/>
        </w:trPr>
        <w:tc>
          <w:tcPr>
            <w:tcW w:w="659" w:type="pct"/>
            <w:vMerge/>
            <w:tcBorders>
              <w:left w:val="single" w:sz="4" w:space="0" w:color="auto"/>
            </w:tcBorders>
          </w:tcPr>
          <w:p w14:paraId="160AF341" w14:textId="77777777" w:rsidR="00FC3D76" w:rsidRPr="000B6AFE" w:rsidRDefault="00FC3D76" w:rsidP="00FC3D76">
            <w:pPr>
              <w:rPr>
                <w:rFonts w:cs="Arial"/>
                <w:sz w:val="19"/>
                <w:szCs w:val="19"/>
              </w:rPr>
            </w:pPr>
          </w:p>
        </w:tc>
        <w:tc>
          <w:tcPr>
            <w:tcW w:w="1886" w:type="pct"/>
            <w:vMerge/>
            <w:tcBorders>
              <w:right w:val="single" w:sz="4" w:space="0" w:color="auto"/>
            </w:tcBorders>
          </w:tcPr>
          <w:p w14:paraId="3D22D217" w14:textId="77777777" w:rsidR="00FC3D76" w:rsidRPr="000B6AFE" w:rsidRDefault="00FC3D76" w:rsidP="00FC3D76">
            <w:pPr>
              <w:rPr>
                <w:rFonts w:cs="Arial"/>
                <w:sz w:val="19"/>
                <w:szCs w:val="19"/>
              </w:rPr>
            </w:pPr>
          </w:p>
        </w:tc>
        <w:tc>
          <w:tcPr>
            <w:tcW w:w="394" w:type="pct"/>
            <w:tcBorders>
              <w:left w:val="single" w:sz="4" w:space="0" w:color="auto"/>
            </w:tcBorders>
          </w:tcPr>
          <w:p w14:paraId="7BE28F26" w14:textId="77777777" w:rsidR="00FC3D76" w:rsidRPr="000B6AFE" w:rsidRDefault="00FC3D76" w:rsidP="00FC3D76">
            <w:pPr>
              <w:rPr>
                <w:rFonts w:cs="Arial"/>
                <w:sz w:val="19"/>
                <w:szCs w:val="19"/>
              </w:rPr>
            </w:pPr>
            <w:r w:rsidRPr="000B6AFE">
              <w:rPr>
                <w:rFonts w:cs="Arial"/>
                <w:sz w:val="19"/>
                <w:szCs w:val="19"/>
              </w:rPr>
              <w:t>ng</w:t>
            </w:r>
          </w:p>
        </w:tc>
        <w:tc>
          <w:tcPr>
            <w:tcW w:w="2061" w:type="pct"/>
            <w:tcBorders>
              <w:right w:val="single" w:sz="4" w:space="0" w:color="auto"/>
            </w:tcBorders>
          </w:tcPr>
          <w:p w14:paraId="3D9A99FE" w14:textId="77777777" w:rsidR="00FC3D76" w:rsidRPr="000B6AFE" w:rsidRDefault="00FC3D76" w:rsidP="00FC3D76">
            <w:pPr>
              <w:rPr>
                <w:rFonts w:cs="Arial"/>
                <w:sz w:val="19"/>
                <w:szCs w:val="19"/>
              </w:rPr>
            </w:pPr>
            <w:r w:rsidRPr="000B6AFE">
              <w:rPr>
                <w:rFonts w:cs="Arial"/>
                <w:sz w:val="19"/>
                <w:szCs w:val="19"/>
              </w:rPr>
              <w:t>Nanogram</w:t>
            </w:r>
          </w:p>
        </w:tc>
      </w:tr>
      <w:tr w:rsidR="00FC3D76" w:rsidRPr="000B6AFE" w14:paraId="01B70F25" w14:textId="77777777" w:rsidTr="004C0811">
        <w:trPr>
          <w:cantSplit/>
          <w:trHeight w:val="245"/>
          <w:jc w:val="center"/>
        </w:trPr>
        <w:tc>
          <w:tcPr>
            <w:tcW w:w="659" w:type="pct"/>
            <w:tcBorders>
              <w:left w:val="single" w:sz="4" w:space="0" w:color="auto"/>
            </w:tcBorders>
          </w:tcPr>
          <w:p w14:paraId="3421C785" w14:textId="77777777" w:rsidR="00FC3D76" w:rsidRPr="000B6AFE" w:rsidRDefault="00FC3D76" w:rsidP="00FC3D76">
            <w:pPr>
              <w:rPr>
                <w:rFonts w:cs="Arial"/>
                <w:sz w:val="19"/>
                <w:szCs w:val="19"/>
              </w:rPr>
            </w:pPr>
            <w:r w:rsidRPr="000B6AFE">
              <w:rPr>
                <w:rFonts w:cs="Arial"/>
                <w:sz w:val="19"/>
                <w:szCs w:val="19"/>
              </w:rPr>
              <w:t>MSDS</w:t>
            </w:r>
          </w:p>
        </w:tc>
        <w:tc>
          <w:tcPr>
            <w:tcW w:w="1886" w:type="pct"/>
            <w:tcBorders>
              <w:right w:val="single" w:sz="4" w:space="0" w:color="auto"/>
            </w:tcBorders>
          </w:tcPr>
          <w:p w14:paraId="0EEFF6FC" w14:textId="77777777" w:rsidR="00FC3D76" w:rsidRPr="000B6AFE" w:rsidRDefault="00FC3D76" w:rsidP="00FC3D76">
            <w:pPr>
              <w:rPr>
                <w:rFonts w:cs="Arial"/>
                <w:sz w:val="19"/>
                <w:szCs w:val="19"/>
              </w:rPr>
            </w:pPr>
            <w:r w:rsidRPr="000B6AFE">
              <w:rPr>
                <w:rFonts w:cs="Arial"/>
                <w:sz w:val="19"/>
                <w:szCs w:val="19"/>
              </w:rPr>
              <w:t>Material Safety Data Sheet</w:t>
            </w:r>
          </w:p>
        </w:tc>
        <w:tc>
          <w:tcPr>
            <w:tcW w:w="394" w:type="pct"/>
            <w:tcBorders>
              <w:left w:val="single" w:sz="4" w:space="0" w:color="auto"/>
            </w:tcBorders>
          </w:tcPr>
          <w:p w14:paraId="26E2E7D5" w14:textId="77777777" w:rsidR="00FC3D76" w:rsidRPr="000B6AFE" w:rsidRDefault="00FC3D76" w:rsidP="00FC3D76">
            <w:pPr>
              <w:rPr>
                <w:rFonts w:cs="Arial"/>
                <w:sz w:val="19"/>
                <w:szCs w:val="19"/>
              </w:rPr>
            </w:pPr>
            <w:r w:rsidRPr="000B6AFE">
              <w:rPr>
                <w:rFonts w:cs="Arial"/>
                <w:sz w:val="19"/>
                <w:szCs w:val="19"/>
              </w:rPr>
              <w:t>PM</w:t>
            </w:r>
          </w:p>
        </w:tc>
        <w:tc>
          <w:tcPr>
            <w:tcW w:w="2061" w:type="pct"/>
            <w:tcBorders>
              <w:right w:val="single" w:sz="4" w:space="0" w:color="auto"/>
            </w:tcBorders>
          </w:tcPr>
          <w:p w14:paraId="69E49863" w14:textId="77777777" w:rsidR="00FC3D76" w:rsidRPr="000B6AFE" w:rsidRDefault="00FC3D76" w:rsidP="00FC3D76">
            <w:pPr>
              <w:rPr>
                <w:rFonts w:cs="Arial"/>
                <w:sz w:val="19"/>
                <w:szCs w:val="19"/>
              </w:rPr>
            </w:pPr>
            <w:r w:rsidRPr="000B6AFE">
              <w:rPr>
                <w:rFonts w:cs="Arial"/>
                <w:sz w:val="19"/>
                <w:szCs w:val="19"/>
              </w:rPr>
              <w:t>Particulate Matter</w:t>
            </w:r>
          </w:p>
        </w:tc>
      </w:tr>
      <w:tr w:rsidR="00FC3D76" w:rsidRPr="000B6AFE" w14:paraId="5A180907" w14:textId="77777777" w:rsidTr="004C0811">
        <w:trPr>
          <w:cantSplit/>
          <w:trHeight w:val="245"/>
          <w:jc w:val="center"/>
        </w:trPr>
        <w:tc>
          <w:tcPr>
            <w:tcW w:w="659" w:type="pct"/>
            <w:tcBorders>
              <w:left w:val="single" w:sz="4" w:space="0" w:color="auto"/>
            </w:tcBorders>
          </w:tcPr>
          <w:p w14:paraId="66CCB79C" w14:textId="77777777" w:rsidR="00FC3D76" w:rsidRPr="000B6AFE" w:rsidRDefault="00FC3D76" w:rsidP="00FC3D76">
            <w:pPr>
              <w:rPr>
                <w:rFonts w:cs="Arial"/>
                <w:sz w:val="19"/>
                <w:szCs w:val="19"/>
              </w:rPr>
            </w:pPr>
            <w:r w:rsidRPr="000B6AFE">
              <w:rPr>
                <w:rFonts w:cs="Arial"/>
                <w:sz w:val="19"/>
                <w:szCs w:val="19"/>
              </w:rPr>
              <w:t>NA</w:t>
            </w:r>
          </w:p>
        </w:tc>
        <w:tc>
          <w:tcPr>
            <w:tcW w:w="1886" w:type="pct"/>
            <w:tcBorders>
              <w:right w:val="single" w:sz="4" w:space="0" w:color="auto"/>
            </w:tcBorders>
          </w:tcPr>
          <w:p w14:paraId="56ACCC37" w14:textId="77777777" w:rsidR="00FC3D76" w:rsidRPr="000B6AFE" w:rsidRDefault="00FC3D76" w:rsidP="00FC3D76">
            <w:pPr>
              <w:rPr>
                <w:rFonts w:cs="Arial"/>
                <w:sz w:val="19"/>
                <w:szCs w:val="19"/>
              </w:rPr>
            </w:pPr>
            <w:r w:rsidRPr="000B6AFE">
              <w:rPr>
                <w:rFonts w:cs="Arial"/>
                <w:sz w:val="19"/>
                <w:szCs w:val="19"/>
              </w:rPr>
              <w:t>Not Applicable</w:t>
            </w:r>
          </w:p>
        </w:tc>
        <w:tc>
          <w:tcPr>
            <w:tcW w:w="394" w:type="pct"/>
            <w:vMerge w:val="restart"/>
            <w:tcBorders>
              <w:left w:val="single" w:sz="4" w:space="0" w:color="auto"/>
            </w:tcBorders>
          </w:tcPr>
          <w:p w14:paraId="3E234414" w14:textId="77777777" w:rsidR="00FC3D76" w:rsidRPr="000B6AFE" w:rsidRDefault="00FC3D76" w:rsidP="00FC3D76">
            <w:pPr>
              <w:rPr>
                <w:rFonts w:cs="Arial"/>
                <w:sz w:val="19"/>
                <w:szCs w:val="19"/>
              </w:rPr>
            </w:pPr>
            <w:r w:rsidRPr="000B6AFE">
              <w:rPr>
                <w:rFonts w:cs="Arial"/>
                <w:sz w:val="19"/>
                <w:szCs w:val="19"/>
              </w:rPr>
              <w:t>PM10</w:t>
            </w:r>
          </w:p>
        </w:tc>
        <w:tc>
          <w:tcPr>
            <w:tcW w:w="2061" w:type="pct"/>
            <w:vMerge w:val="restart"/>
            <w:tcBorders>
              <w:right w:val="single" w:sz="4" w:space="0" w:color="auto"/>
            </w:tcBorders>
          </w:tcPr>
          <w:p w14:paraId="69F794E5" w14:textId="77777777" w:rsidR="00FC3D76" w:rsidRPr="000B6AFE" w:rsidRDefault="00FC3D76" w:rsidP="00FC3D76">
            <w:pPr>
              <w:rPr>
                <w:rFonts w:cs="Arial"/>
                <w:sz w:val="19"/>
                <w:szCs w:val="19"/>
              </w:rPr>
            </w:pPr>
            <w:r w:rsidRPr="000B6AFE">
              <w:rPr>
                <w:rFonts w:cs="Arial"/>
                <w:sz w:val="19"/>
                <w:szCs w:val="19"/>
              </w:rPr>
              <w:t>Particulate Matter equal to or less than 10 microns in diameter</w:t>
            </w:r>
          </w:p>
        </w:tc>
      </w:tr>
      <w:tr w:rsidR="00FC3D76" w:rsidRPr="000B6AFE" w14:paraId="7B1ACFF1" w14:textId="77777777" w:rsidTr="004C0811">
        <w:trPr>
          <w:cantSplit/>
          <w:trHeight w:val="245"/>
          <w:jc w:val="center"/>
        </w:trPr>
        <w:tc>
          <w:tcPr>
            <w:tcW w:w="659" w:type="pct"/>
            <w:tcBorders>
              <w:left w:val="single" w:sz="4" w:space="0" w:color="auto"/>
            </w:tcBorders>
          </w:tcPr>
          <w:p w14:paraId="671F4AB3" w14:textId="77777777" w:rsidR="00FC3D76" w:rsidRPr="000B6AFE" w:rsidRDefault="00FC3D76" w:rsidP="00FC3D76">
            <w:pPr>
              <w:rPr>
                <w:rFonts w:cs="Arial"/>
                <w:sz w:val="19"/>
                <w:szCs w:val="19"/>
              </w:rPr>
            </w:pPr>
            <w:r w:rsidRPr="000B6AFE">
              <w:rPr>
                <w:rFonts w:cs="Arial"/>
                <w:sz w:val="19"/>
                <w:szCs w:val="19"/>
              </w:rPr>
              <w:t>NAAQS</w:t>
            </w:r>
          </w:p>
        </w:tc>
        <w:tc>
          <w:tcPr>
            <w:tcW w:w="1886" w:type="pct"/>
            <w:tcBorders>
              <w:right w:val="single" w:sz="4" w:space="0" w:color="auto"/>
            </w:tcBorders>
          </w:tcPr>
          <w:p w14:paraId="3681AA37" w14:textId="77777777" w:rsidR="00FC3D76" w:rsidRPr="000B6AFE" w:rsidRDefault="00FC3D76" w:rsidP="00FC3D76">
            <w:pPr>
              <w:rPr>
                <w:rFonts w:cs="Arial"/>
                <w:sz w:val="19"/>
                <w:szCs w:val="19"/>
              </w:rPr>
            </w:pPr>
            <w:r w:rsidRPr="000B6AFE">
              <w:rPr>
                <w:rFonts w:cs="Arial"/>
                <w:sz w:val="19"/>
                <w:szCs w:val="19"/>
              </w:rPr>
              <w:t>National Ambient Air Quality Standards</w:t>
            </w:r>
          </w:p>
        </w:tc>
        <w:tc>
          <w:tcPr>
            <w:tcW w:w="394" w:type="pct"/>
            <w:vMerge/>
            <w:tcBorders>
              <w:left w:val="single" w:sz="4" w:space="0" w:color="auto"/>
            </w:tcBorders>
          </w:tcPr>
          <w:p w14:paraId="276BDD1E" w14:textId="77777777" w:rsidR="00FC3D76" w:rsidRPr="000B6AFE" w:rsidRDefault="00FC3D76" w:rsidP="00FC3D76">
            <w:pPr>
              <w:rPr>
                <w:rFonts w:cs="Arial"/>
                <w:sz w:val="19"/>
                <w:szCs w:val="19"/>
              </w:rPr>
            </w:pPr>
          </w:p>
        </w:tc>
        <w:tc>
          <w:tcPr>
            <w:tcW w:w="2061" w:type="pct"/>
            <w:vMerge/>
            <w:tcBorders>
              <w:right w:val="single" w:sz="4" w:space="0" w:color="auto"/>
            </w:tcBorders>
          </w:tcPr>
          <w:p w14:paraId="700E9945" w14:textId="77777777" w:rsidR="00FC3D76" w:rsidRPr="000B6AFE" w:rsidRDefault="00FC3D76" w:rsidP="00FC3D76">
            <w:pPr>
              <w:rPr>
                <w:rFonts w:cs="Arial"/>
                <w:sz w:val="19"/>
                <w:szCs w:val="19"/>
              </w:rPr>
            </w:pPr>
          </w:p>
        </w:tc>
      </w:tr>
      <w:tr w:rsidR="00FC3D76" w:rsidRPr="000B6AFE" w14:paraId="5FA88ADF" w14:textId="77777777" w:rsidTr="004C0811">
        <w:trPr>
          <w:cantSplit/>
          <w:trHeight w:val="245"/>
          <w:jc w:val="center"/>
        </w:trPr>
        <w:tc>
          <w:tcPr>
            <w:tcW w:w="659" w:type="pct"/>
            <w:tcBorders>
              <w:left w:val="single" w:sz="4" w:space="0" w:color="auto"/>
              <w:bottom w:val="nil"/>
            </w:tcBorders>
          </w:tcPr>
          <w:p w14:paraId="4EA855B3" w14:textId="77777777" w:rsidR="00FC3D76" w:rsidRPr="000B6AFE" w:rsidRDefault="00FC3D76" w:rsidP="00FC3D76">
            <w:pPr>
              <w:rPr>
                <w:rFonts w:cs="Arial"/>
                <w:sz w:val="19"/>
                <w:szCs w:val="19"/>
              </w:rPr>
            </w:pPr>
            <w:r w:rsidRPr="000B6AFE">
              <w:rPr>
                <w:rFonts w:cs="Arial"/>
                <w:sz w:val="19"/>
                <w:szCs w:val="19"/>
              </w:rPr>
              <w:t>NESHAP</w:t>
            </w:r>
          </w:p>
        </w:tc>
        <w:tc>
          <w:tcPr>
            <w:tcW w:w="1886" w:type="pct"/>
            <w:tcBorders>
              <w:right w:val="single" w:sz="4" w:space="0" w:color="auto"/>
            </w:tcBorders>
          </w:tcPr>
          <w:p w14:paraId="2AEC8553" w14:textId="77777777" w:rsidR="00FC3D76" w:rsidRPr="000B6AFE" w:rsidRDefault="00FC3D76" w:rsidP="00FC3D7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EC39E10" w14:textId="77777777" w:rsidR="00FC3D76" w:rsidRPr="000B6AFE" w:rsidRDefault="00FC3D76" w:rsidP="00FC3D76">
            <w:pPr>
              <w:rPr>
                <w:rFonts w:cs="Arial"/>
                <w:sz w:val="19"/>
                <w:szCs w:val="19"/>
              </w:rPr>
            </w:pPr>
            <w:r w:rsidRPr="000B6AFE">
              <w:rPr>
                <w:rFonts w:cs="Arial"/>
                <w:sz w:val="19"/>
                <w:szCs w:val="19"/>
              </w:rPr>
              <w:t>PM2.5</w:t>
            </w:r>
          </w:p>
        </w:tc>
        <w:tc>
          <w:tcPr>
            <w:tcW w:w="2061" w:type="pct"/>
            <w:tcBorders>
              <w:bottom w:val="nil"/>
              <w:right w:val="single" w:sz="4" w:space="0" w:color="auto"/>
            </w:tcBorders>
          </w:tcPr>
          <w:p w14:paraId="4193AEA5" w14:textId="77777777" w:rsidR="00FC3D76" w:rsidRPr="000B6AFE" w:rsidRDefault="00FC3D76" w:rsidP="00FC3D76">
            <w:pPr>
              <w:rPr>
                <w:rFonts w:cs="Arial"/>
                <w:sz w:val="19"/>
                <w:szCs w:val="19"/>
              </w:rPr>
            </w:pPr>
            <w:r w:rsidRPr="000B6AFE">
              <w:rPr>
                <w:rFonts w:cs="Arial"/>
                <w:sz w:val="19"/>
                <w:szCs w:val="19"/>
              </w:rPr>
              <w:t>Particulate Matter equal to or less than 2.5</w:t>
            </w:r>
          </w:p>
          <w:p w14:paraId="599FB9D2" w14:textId="77777777" w:rsidR="00FC3D76" w:rsidRPr="000B6AFE" w:rsidRDefault="00FC3D76" w:rsidP="00FC3D76">
            <w:pPr>
              <w:rPr>
                <w:rFonts w:cs="Arial"/>
                <w:sz w:val="19"/>
                <w:szCs w:val="19"/>
              </w:rPr>
            </w:pPr>
            <w:r w:rsidRPr="000B6AFE">
              <w:rPr>
                <w:rFonts w:cs="Arial"/>
                <w:sz w:val="19"/>
                <w:szCs w:val="19"/>
              </w:rPr>
              <w:t>microns in diameter</w:t>
            </w:r>
          </w:p>
        </w:tc>
      </w:tr>
      <w:tr w:rsidR="00FC3D76" w:rsidRPr="000B6AFE" w14:paraId="0D045BF5" w14:textId="77777777" w:rsidTr="004C0811">
        <w:trPr>
          <w:cantSplit/>
          <w:trHeight w:val="245"/>
          <w:jc w:val="center"/>
        </w:trPr>
        <w:tc>
          <w:tcPr>
            <w:tcW w:w="659" w:type="pct"/>
            <w:tcBorders>
              <w:left w:val="single" w:sz="4" w:space="0" w:color="auto"/>
            </w:tcBorders>
          </w:tcPr>
          <w:p w14:paraId="5FE48831" w14:textId="77777777" w:rsidR="00FC3D76" w:rsidRPr="000B6AFE" w:rsidRDefault="00FC3D76" w:rsidP="00FC3D76">
            <w:pPr>
              <w:rPr>
                <w:rFonts w:cs="Arial"/>
                <w:sz w:val="19"/>
                <w:szCs w:val="19"/>
              </w:rPr>
            </w:pPr>
            <w:r w:rsidRPr="000B6AFE">
              <w:rPr>
                <w:rFonts w:cs="Arial"/>
                <w:sz w:val="19"/>
                <w:szCs w:val="19"/>
              </w:rPr>
              <w:t>NSPS</w:t>
            </w:r>
          </w:p>
        </w:tc>
        <w:tc>
          <w:tcPr>
            <w:tcW w:w="1886" w:type="pct"/>
            <w:tcBorders>
              <w:right w:val="single" w:sz="4" w:space="0" w:color="auto"/>
            </w:tcBorders>
          </w:tcPr>
          <w:p w14:paraId="5D49B151" w14:textId="77777777" w:rsidR="00FC3D76" w:rsidRPr="000B6AFE" w:rsidRDefault="00FC3D76" w:rsidP="00FC3D7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F245161" w14:textId="77777777" w:rsidR="00FC3D76" w:rsidRPr="000B6AFE" w:rsidRDefault="00FC3D76" w:rsidP="00FC3D76">
            <w:pPr>
              <w:rPr>
                <w:rFonts w:cs="Arial"/>
                <w:sz w:val="19"/>
                <w:szCs w:val="19"/>
              </w:rPr>
            </w:pPr>
            <w:r w:rsidRPr="000B6AFE">
              <w:rPr>
                <w:rFonts w:cs="Arial"/>
                <w:sz w:val="19"/>
                <w:szCs w:val="19"/>
              </w:rPr>
              <w:t>pph</w:t>
            </w:r>
          </w:p>
        </w:tc>
        <w:tc>
          <w:tcPr>
            <w:tcW w:w="2061" w:type="pct"/>
            <w:tcBorders>
              <w:right w:val="single" w:sz="4" w:space="0" w:color="auto"/>
            </w:tcBorders>
          </w:tcPr>
          <w:p w14:paraId="5F52F816" w14:textId="77777777" w:rsidR="00FC3D76" w:rsidRPr="000B6AFE" w:rsidRDefault="00FC3D76" w:rsidP="00FC3D76">
            <w:pPr>
              <w:rPr>
                <w:rFonts w:cs="Arial"/>
                <w:sz w:val="19"/>
                <w:szCs w:val="19"/>
              </w:rPr>
            </w:pPr>
            <w:r w:rsidRPr="000B6AFE">
              <w:rPr>
                <w:rFonts w:cs="Arial"/>
                <w:sz w:val="19"/>
                <w:szCs w:val="19"/>
              </w:rPr>
              <w:t>Pounds per hour</w:t>
            </w:r>
          </w:p>
        </w:tc>
      </w:tr>
      <w:tr w:rsidR="00FC3D76" w:rsidRPr="000B6AFE" w14:paraId="4253197A" w14:textId="77777777" w:rsidTr="004C0811">
        <w:trPr>
          <w:cantSplit/>
          <w:trHeight w:val="245"/>
          <w:jc w:val="center"/>
        </w:trPr>
        <w:tc>
          <w:tcPr>
            <w:tcW w:w="659" w:type="pct"/>
            <w:tcBorders>
              <w:left w:val="single" w:sz="4" w:space="0" w:color="auto"/>
            </w:tcBorders>
          </w:tcPr>
          <w:p w14:paraId="7B48720F" w14:textId="77777777" w:rsidR="00FC3D76" w:rsidRPr="000B6AFE" w:rsidRDefault="00FC3D76" w:rsidP="00FC3D76">
            <w:pPr>
              <w:rPr>
                <w:rFonts w:cs="Arial"/>
                <w:sz w:val="19"/>
                <w:szCs w:val="19"/>
              </w:rPr>
            </w:pPr>
            <w:r w:rsidRPr="000B6AFE">
              <w:rPr>
                <w:rFonts w:cs="Arial"/>
                <w:sz w:val="19"/>
                <w:szCs w:val="19"/>
              </w:rPr>
              <w:t>NSR</w:t>
            </w:r>
          </w:p>
        </w:tc>
        <w:tc>
          <w:tcPr>
            <w:tcW w:w="1886" w:type="pct"/>
            <w:tcBorders>
              <w:right w:val="single" w:sz="4" w:space="0" w:color="auto"/>
            </w:tcBorders>
          </w:tcPr>
          <w:p w14:paraId="254CA229" w14:textId="77777777" w:rsidR="00FC3D76" w:rsidRPr="000B6AFE" w:rsidRDefault="00FC3D76" w:rsidP="00FC3D76">
            <w:pPr>
              <w:rPr>
                <w:rFonts w:cs="Arial"/>
                <w:sz w:val="19"/>
                <w:szCs w:val="19"/>
              </w:rPr>
            </w:pPr>
            <w:r w:rsidRPr="000B6AFE">
              <w:rPr>
                <w:rFonts w:cs="Arial"/>
                <w:sz w:val="19"/>
                <w:szCs w:val="19"/>
              </w:rPr>
              <w:t>New Source Review</w:t>
            </w:r>
          </w:p>
        </w:tc>
        <w:tc>
          <w:tcPr>
            <w:tcW w:w="394" w:type="pct"/>
            <w:tcBorders>
              <w:left w:val="single" w:sz="4" w:space="0" w:color="auto"/>
            </w:tcBorders>
          </w:tcPr>
          <w:p w14:paraId="07F5CA5A" w14:textId="77777777" w:rsidR="00FC3D76" w:rsidRPr="000B6AFE" w:rsidRDefault="00FC3D76" w:rsidP="00FC3D76">
            <w:pPr>
              <w:rPr>
                <w:rFonts w:cs="Arial"/>
                <w:sz w:val="19"/>
                <w:szCs w:val="19"/>
              </w:rPr>
            </w:pPr>
            <w:r w:rsidRPr="000B6AFE">
              <w:rPr>
                <w:rFonts w:cs="Arial"/>
                <w:sz w:val="19"/>
                <w:szCs w:val="19"/>
              </w:rPr>
              <w:t>ppm</w:t>
            </w:r>
          </w:p>
        </w:tc>
        <w:tc>
          <w:tcPr>
            <w:tcW w:w="2061" w:type="pct"/>
            <w:tcBorders>
              <w:right w:val="single" w:sz="4" w:space="0" w:color="auto"/>
            </w:tcBorders>
          </w:tcPr>
          <w:p w14:paraId="7B608ECC" w14:textId="77777777" w:rsidR="00FC3D76" w:rsidRPr="000B6AFE" w:rsidRDefault="00FC3D76" w:rsidP="00FC3D76">
            <w:pPr>
              <w:rPr>
                <w:rFonts w:cs="Arial"/>
                <w:sz w:val="19"/>
                <w:szCs w:val="19"/>
              </w:rPr>
            </w:pPr>
            <w:r w:rsidRPr="000B6AFE">
              <w:rPr>
                <w:rFonts w:cs="Arial"/>
                <w:sz w:val="19"/>
                <w:szCs w:val="19"/>
              </w:rPr>
              <w:t>Parts per million</w:t>
            </w:r>
          </w:p>
        </w:tc>
      </w:tr>
      <w:tr w:rsidR="00FC3D76" w:rsidRPr="000B6AFE" w14:paraId="13DC1F1D" w14:textId="77777777" w:rsidTr="004C0811">
        <w:trPr>
          <w:cantSplit/>
          <w:trHeight w:val="245"/>
          <w:jc w:val="center"/>
        </w:trPr>
        <w:tc>
          <w:tcPr>
            <w:tcW w:w="659" w:type="pct"/>
            <w:tcBorders>
              <w:left w:val="single" w:sz="4" w:space="0" w:color="auto"/>
            </w:tcBorders>
          </w:tcPr>
          <w:p w14:paraId="0905306B" w14:textId="77777777" w:rsidR="00FC3D76" w:rsidRPr="000B6AFE" w:rsidRDefault="00FC3D76" w:rsidP="00FC3D76">
            <w:pPr>
              <w:rPr>
                <w:rFonts w:cs="Arial"/>
                <w:sz w:val="19"/>
                <w:szCs w:val="19"/>
              </w:rPr>
            </w:pPr>
            <w:r w:rsidRPr="000B6AFE">
              <w:rPr>
                <w:rFonts w:cs="Arial"/>
                <w:sz w:val="19"/>
                <w:szCs w:val="19"/>
              </w:rPr>
              <w:t>PS</w:t>
            </w:r>
          </w:p>
        </w:tc>
        <w:tc>
          <w:tcPr>
            <w:tcW w:w="1886" w:type="pct"/>
            <w:tcBorders>
              <w:right w:val="single" w:sz="4" w:space="0" w:color="auto"/>
            </w:tcBorders>
          </w:tcPr>
          <w:p w14:paraId="271F3D35" w14:textId="77777777" w:rsidR="00FC3D76" w:rsidRPr="000B6AFE" w:rsidRDefault="00FC3D76" w:rsidP="00FC3D7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47BE6E7" w14:textId="77777777" w:rsidR="00FC3D76" w:rsidRPr="000B6AFE" w:rsidRDefault="00FC3D76" w:rsidP="00FC3D76">
            <w:pPr>
              <w:rPr>
                <w:rFonts w:cs="Arial"/>
                <w:sz w:val="19"/>
                <w:szCs w:val="19"/>
              </w:rPr>
            </w:pPr>
            <w:r w:rsidRPr="000B6AFE">
              <w:rPr>
                <w:rFonts w:cs="Arial"/>
                <w:sz w:val="19"/>
                <w:szCs w:val="19"/>
              </w:rPr>
              <w:t>ppmv</w:t>
            </w:r>
          </w:p>
        </w:tc>
        <w:tc>
          <w:tcPr>
            <w:tcW w:w="2061" w:type="pct"/>
            <w:tcBorders>
              <w:right w:val="single" w:sz="4" w:space="0" w:color="auto"/>
            </w:tcBorders>
          </w:tcPr>
          <w:p w14:paraId="50562527" w14:textId="77777777" w:rsidR="00FC3D76" w:rsidRPr="000B6AFE" w:rsidRDefault="00FC3D76" w:rsidP="00FC3D76">
            <w:pPr>
              <w:rPr>
                <w:rFonts w:cs="Arial"/>
                <w:sz w:val="19"/>
                <w:szCs w:val="19"/>
              </w:rPr>
            </w:pPr>
            <w:r w:rsidRPr="000B6AFE">
              <w:rPr>
                <w:rFonts w:cs="Arial"/>
                <w:sz w:val="19"/>
                <w:szCs w:val="19"/>
              </w:rPr>
              <w:t>Parts per million by volume</w:t>
            </w:r>
          </w:p>
        </w:tc>
      </w:tr>
      <w:tr w:rsidR="00FC3D76" w:rsidRPr="000B6AFE" w14:paraId="70BAA89C" w14:textId="77777777" w:rsidTr="004C0811">
        <w:trPr>
          <w:cantSplit/>
          <w:trHeight w:val="245"/>
          <w:jc w:val="center"/>
        </w:trPr>
        <w:tc>
          <w:tcPr>
            <w:tcW w:w="659" w:type="pct"/>
            <w:tcBorders>
              <w:left w:val="single" w:sz="4" w:space="0" w:color="auto"/>
            </w:tcBorders>
          </w:tcPr>
          <w:p w14:paraId="7EA25C1F" w14:textId="77777777" w:rsidR="00FC3D76" w:rsidRPr="000B6AFE" w:rsidRDefault="00FC3D76" w:rsidP="00FC3D76">
            <w:pPr>
              <w:rPr>
                <w:rFonts w:cs="Arial"/>
                <w:sz w:val="19"/>
                <w:szCs w:val="19"/>
              </w:rPr>
            </w:pPr>
            <w:r w:rsidRPr="000B6AFE">
              <w:rPr>
                <w:rFonts w:cs="Arial"/>
                <w:sz w:val="19"/>
                <w:szCs w:val="19"/>
              </w:rPr>
              <w:t>PSD</w:t>
            </w:r>
          </w:p>
        </w:tc>
        <w:tc>
          <w:tcPr>
            <w:tcW w:w="1886" w:type="pct"/>
            <w:tcBorders>
              <w:right w:val="single" w:sz="4" w:space="0" w:color="auto"/>
            </w:tcBorders>
          </w:tcPr>
          <w:p w14:paraId="35B50121" w14:textId="77777777" w:rsidR="00FC3D76" w:rsidRPr="000B6AFE" w:rsidRDefault="00FC3D76" w:rsidP="00FC3D7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BF9302B" w14:textId="77777777" w:rsidR="00FC3D76" w:rsidRPr="000B6AFE" w:rsidRDefault="00FC3D76" w:rsidP="00FC3D76">
            <w:pPr>
              <w:rPr>
                <w:rFonts w:cs="Arial"/>
                <w:sz w:val="19"/>
                <w:szCs w:val="19"/>
              </w:rPr>
            </w:pPr>
            <w:proofErr w:type="spellStart"/>
            <w:r w:rsidRPr="000B6AFE">
              <w:rPr>
                <w:rFonts w:cs="Arial"/>
                <w:sz w:val="19"/>
                <w:szCs w:val="19"/>
              </w:rPr>
              <w:t>ppmw</w:t>
            </w:r>
            <w:proofErr w:type="spellEnd"/>
          </w:p>
        </w:tc>
        <w:tc>
          <w:tcPr>
            <w:tcW w:w="2061" w:type="pct"/>
            <w:tcBorders>
              <w:right w:val="single" w:sz="4" w:space="0" w:color="auto"/>
            </w:tcBorders>
          </w:tcPr>
          <w:p w14:paraId="21B9D204" w14:textId="77777777" w:rsidR="00FC3D76" w:rsidRPr="000B6AFE" w:rsidRDefault="00FC3D76" w:rsidP="00FC3D76">
            <w:pPr>
              <w:rPr>
                <w:rFonts w:cs="Arial"/>
                <w:sz w:val="19"/>
                <w:szCs w:val="19"/>
              </w:rPr>
            </w:pPr>
            <w:r w:rsidRPr="000B6AFE">
              <w:rPr>
                <w:rFonts w:cs="Arial"/>
                <w:sz w:val="19"/>
                <w:szCs w:val="19"/>
              </w:rPr>
              <w:t>Parts per million by weight</w:t>
            </w:r>
          </w:p>
        </w:tc>
      </w:tr>
      <w:tr w:rsidR="00FC3D76" w:rsidRPr="000B6AFE" w14:paraId="0992C5AB" w14:textId="77777777" w:rsidTr="004C0811">
        <w:trPr>
          <w:cantSplit/>
          <w:trHeight w:val="245"/>
          <w:jc w:val="center"/>
        </w:trPr>
        <w:tc>
          <w:tcPr>
            <w:tcW w:w="659" w:type="pct"/>
            <w:tcBorders>
              <w:left w:val="single" w:sz="4" w:space="0" w:color="auto"/>
            </w:tcBorders>
          </w:tcPr>
          <w:p w14:paraId="43E35B9D" w14:textId="77777777" w:rsidR="00FC3D76" w:rsidRPr="000B6AFE" w:rsidRDefault="00FC3D76" w:rsidP="00FC3D76">
            <w:pPr>
              <w:rPr>
                <w:rFonts w:cs="Arial"/>
                <w:sz w:val="19"/>
                <w:szCs w:val="19"/>
              </w:rPr>
            </w:pPr>
            <w:r w:rsidRPr="000B6AFE">
              <w:rPr>
                <w:rFonts w:cs="Arial"/>
                <w:sz w:val="19"/>
                <w:szCs w:val="19"/>
              </w:rPr>
              <w:t>PTE</w:t>
            </w:r>
          </w:p>
        </w:tc>
        <w:tc>
          <w:tcPr>
            <w:tcW w:w="1886" w:type="pct"/>
            <w:tcBorders>
              <w:right w:val="single" w:sz="4" w:space="0" w:color="auto"/>
            </w:tcBorders>
          </w:tcPr>
          <w:p w14:paraId="043E6217" w14:textId="77777777" w:rsidR="00FC3D76" w:rsidRPr="000B6AFE" w:rsidRDefault="00FC3D76" w:rsidP="00FC3D7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845CDD7" w14:textId="77777777" w:rsidR="00FC3D76" w:rsidRPr="000B6AFE" w:rsidRDefault="00FC3D76" w:rsidP="00FC3D76">
            <w:pPr>
              <w:rPr>
                <w:rFonts w:cs="Arial"/>
                <w:sz w:val="19"/>
                <w:szCs w:val="19"/>
              </w:rPr>
            </w:pPr>
            <w:r w:rsidRPr="000B6AFE">
              <w:rPr>
                <w:rFonts w:cs="Arial"/>
                <w:sz w:val="19"/>
                <w:szCs w:val="19"/>
              </w:rPr>
              <w:t>psia</w:t>
            </w:r>
          </w:p>
        </w:tc>
        <w:tc>
          <w:tcPr>
            <w:tcW w:w="2061" w:type="pct"/>
            <w:tcBorders>
              <w:right w:val="single" w:sz="4" w:space="0" w:color="auto"/>
            </w:tcBorders>
          </w:tcPr>
          <w:p w14:paraId="58F6A7DE" w14:textId="77777777" w:rsidR="00FC3D76" w:rsidRPr="000B6AFE" w:rsidRDefault="00FC3D76" w:rsidP="00FC3D76">
            <w:pPr>
              <w:rPr>
                <w:rFonts w:cs="Arial"/>
                <w:sz w:val="19"/>
                <w:szCs w:val="19"/>
              </w:rPr>
            </w:pPr>
            <w:r w:rsidRPr="000B6AFE">
              <w:rPr>
                <w:rFonts w:cs="Arial"/>
                <w:sz w:val="19"/>
                <w:szCs w:val="19"/>
              </w:rPr>
              <w:t>Pounds per square inch absolute</w:t>
            </w:r>
          </w:p>
        </w:tc>
      </w:tr>
      <w:tr w:rsidR="00FC3D76" w:rsidRPr="000B6AFE" w14:paraId="49CEF580" w14:textId="77777777" w:rsidTr="004C0811">
        <w:trPr>
          <w:cantSplit/>
          <w:trHeight w:val="245"/>
          <w:jc w:val="center"/>
        </w:trPr>
        <w:tc>
          <w:tcPr>
            <w:tcW w:w="659" w:type="pct"/>
            <w:tcBorders>
              <w:left w:val="single" w:sz="4" w:space="0" w:color="auto"/>
            </w:tcBorders>
          </w:tcPr>
          <w:p w14:paraId="5EB5F8AD" w14:textId="77777777" w:rsidR="00FC3D76" w:rsidRPr="000B6AFE" w:rsidRDefault="00FC3D76" w:rsidP="00FC3D76">
            <w:pPr>
              <w:rPr>
                <w:rFonts w:cs="Arial"/>
                <w:sz w:val="19"/>
                <w:szCs w:val="19"/>
              </w:rPr>
            </w:pPr>
            <w:r w:rsidRPr="000B6AFE">
              <w:rPr>
                <w:rFonts w:cs="Arial"/>
                <w:sz w:val="19"/>
                <w:szCs w:val="19"/>
              </w:rPr>
              <w:t>PTI</w:t>
            </w:r>
          </w:p>
        </w:tc>
        <w:tc>
          <w:tcPr>
            <w:tcW w:w="1886" w:type="pct"/>
            <w:tcBorders>
              <w:right w:val="single" w:sz="4" w:space="0" w:color="auto"/>
            </w:tcBorders>
          </w:tcPr>
          <w:p w14:paraId="0611F099" w14:textId="77777777" w:rsidR="00FC3D76" w:rsidRPr="000B6AFE" w:rsidRDefault="00FC3D76" w:rsidP="00FC3D76">
            <w:pPr>
              <w:rPr>
                <w:rFonts w:cs="Arial"/>
                <w:sz w:val="19"/>
                <w:szCs w:val="19"/>
              </w:rPr>
            </w:pPr>
            <w:r w:rsidRPr="000B6AFE">
              <w:rPr>
                <w:rFonts w:cs="Arial"/>
                <w:sz w:val="19"/>
                <w:szCs w:val="19"/>
              </w:rPr>
              <w:t>Permit to Install</w:t>
            </w:r>
          </w:p>
        </w:tc>
        <w:tc>
          <w:tcPr>
            <w:tcW w:w="394" w:type="pct"/>
            <w:tcBorders>
              <w:left w:val="single" w:sz="4" w:space="0" w:color="auto"/>
            </w:tcBorders>
          </w:tcPr>
          <w:p w14:paraId="7947D8B3" w14:textId="77777777" w:rsidR="00FC3D76" w:rsidRPr="000B6AFE" w:rsidRDefault="00FC3D76" w:rsidP="00FC3D76">
            <w:pPr>
              <w:rPr>
                <w:rFonts w:cs="Arial"/>
                <w:sz w:val="19"/>
                <w:szCs w:val="19"/>
              </w:rPr>
            </w:pPr>
            <w:proofErr w:type="spellStart"/>
            <w:r w:rsidRPr="000B6AFE">
              <w:rPr>
                <w:rFonts w:cs="Arial"/>
                <w:sz w:val="19"/>
                <w:szCs w:val="19"/>
              </w:rPr>
              <w:t>psig</w:t>
            </w:r>
            <w:proofErr w:type="spellEnd"/>
          </w:p>
        </w:tc>
        <w:tc>
          <w:tcPr>
            <w:tcW w:w="2061" w:type="pct"/>
            <w:tcBorders>
              <w:right w:val="single" w:sz="4" w:space="0" w:color="auto"/>
            </w:tcBorders>
          </w:tcPr>
          <w:p w14:paraId="545130EE" w14:textId="77777777" w:rsidR="00FC3D76" w:rsidRPr="000B6AFE" w:rsidRDefault="00FC3D76" w:rsidP="00FC3D76">
            <w:pPr>
              <w:rPr>
                <w:rFonts w:cs="Arial"/>
                <w:sz w:val="19"/>
                <w:szCs w:val="19"/>
              </w:rPr>
            </w:pPr>
            <w:r w:rsidRPr="000B6AFE">
              <w:rPr>
                <w:rFonts w:cs="Arial"/>
                <w:sz w:val="19"/>
                <w:szCs w:val="19"/>
              </w:rPr>
              <w:t>Pounds per square inch gauge</w:t>
            </w:r>
          </w:p>
        </w:tc>
      </w:tr>
      <w:tr w:rsidR="00FC3D76" w:rsidRPr="000B6AFE" w14:paraId="4D16DACB" w14:textId="77777777" w:rsidTr="004C0811">
        <w:trPr>
          <w:cantSplit/>
          <w:trHeight w:val="245"/>
          <w:jc w:val="center"/>
        </w:trPr>
        <w:tc>
          <w:tcPr>
            <w:tcW w:w="659" w:type="pct"/>
            <w:tcBorders>
              <w:left w:val="single" w:sz="4" w:space="0" w:color="auto"/>
            </w:tcBorders>
          </w:tcPr>
          <w:p w14:paraId="23ACFD94" w14:textId="77777777" w:rsidR="00FC3D76" w:rsidRPr="000B6AFE" w:rsidRDefault="00FC3D76" w:rsidP="00FC3D76">
            <w:pPr>
              <w:rPr>
                <w:rFonts w:cs="Arial"/>
                <w:sz w:val="19"/>
                <w:szCs w:val="19"/>
              </w:rPr>
            </w:pPr>
            <w:r w:rsidRPr="000B6AFE">
              <w:rPr>
                <w:rFonts w:cs="Arial"/>
                <w:sz w:val="19"/>
                <w:szCs w:val="19"/>
              </w:rPr>
              <w:t>RACT</w:t>
            </w:r>
          </w:p>
        </w:tc>
        <w:tc>
          <w:tcPr>
            <w:tcW w:w="1886" w:type="pct"/>
            <w:tcBorders>
              <w:right w:val="single" w:sz="4" w:space="0" w:color="auto"/>
            </w:tcBorders>
          </w:tcPr>
          <w:p w14:paraId="3E88D495" w14:textId="77777777" w:rsidR="00FC3D76" w:rsidRPr="000B6AFE" w:rsidRDefault="00FC3D76" w:rsidP="00FC3D7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2502C5A" w14:textId="77777777" w:rsidR="00FC3D76" w:rsidRPr="000B6AFE" w:rsidRDefault="00FC3D76" w:rsidP="00FC3D76">
            <w:pPr>
              <w:rPr>
                <w:rFonts w:cs="Arial"/>
                <w:sz w:val="19"/>
                <w:szCs w:val="19"/>
              </w:rPr>
            </w:pPr>
            <w:proofErr w:type="spellStart"/>
            <w:r w:rsidRPr="000B6AFE">
              <w:rPr>
                <w:rFonts w:cs="Arial"/>
                <w:sz w:val="19"/>
                <w:szCs w:val="19"/>
              </w:rPr>
              <w:t>scf</w:t>
            </w:r>
            <w:proofErr w:type="spellEnd"/>
          </w:p>
        </w:tc>
        <w:tc>
          <w:tcPr>
            <w:tcW w:w="2061" w:type="pct"/>
            <w:tcBorders>
              <w:right w:val="single" w:sz="4" w:space="0" w:color="auto"/>
            </w:tcBorders>
          </w:tcPr>
          <w:p w14:paraId="78C23276" w14:textId="77777777" w:rsidR="00FC3D76" w:rsidRPr="000B6AFE" w:rsidRDefault="00FC3D76" w:rsidP="00FC3D76">
            <w:pPr>
              <w:rPr>
                <w:rFonts w:cs="Arial"/>
                <w:sz w:val="19"/>
                <w:szCs w:val="19"/>
              </w:rPr>
            </w:pPr>
            <w:r w:rsidRPr="000B6AFE">
              <w:rPr>
                <w:rFonts w:cs="Arial"/>
                <w:sz w:val="19"/>
                <w:szCs w:val="19"/>
              </w:rPr>
              <w:t>Standard cubic feet</w:t>
            </w:r>
          </w:p>
        </w:tc>
      </w:tr>
      <w:tr w:rsidR="00FC3D76" w:rsidRPr="000B6AFE" w14:paraId="2F576036" w14:textId="77777777" w:rsidTr="004C0811">
        <w:trPr>
          <w:cantSplit/>
          <w:trHeight w:val="245"/>
          <w:jc w:val="center"/>
        </w:trPr>
        <w:tc>
          <w:tcPr>
            <w:tcW w:w="659" w:type="pct"/>
            <w:tcBorders>
              <w:left w:val="single" w:sz="4" w:space="0" w:color="auto"/>
            </w:tcBorders>
          </w:tcPr>
          <w:p w14:paraId="00D47664" w14:textId="77777777" w:rsidR="00FC3D76" w:rsidRPr="000B6AFE" w:rsidRDefault="00FC3D76" w:rsidP="00FC3D76">
            <w:pPr>
              <w:rPr>
                <w:rFonts w:cs="Arial"/>
                <w:sz w:val="19"/>
                <w:szCs w:val="19"/>
              </w:rPr>
            </w:pPr>
            <w:r w:rsidRPr="000B6AFE">
              <w:rPr>
                <w:rFonts w:cs="Arial"/>
                <w:sz w:val="19"/>
                <w:szCs w:val="19"/>
              </w:rPr>
              <w:t>ROP</w:t>
            </w:r>
          </w:p>
        </w:tc>
        <w:tc>
          <w:tcPr>
            <w:tcW w:w="1886" w:type="pct"/>
            <w:tcBorders>
              <w:right w:val="single" w:sz="4" w:space="0" w:color="auto"/>
            </w:tcBorders>
          </w:tcPr>
          <w:p w14:paraId="71CE893B" w14:textId="77777777" w:rsidR="00FC3D76" w:rsidRPr="000B6AFE" w:rsidRDefault="00FC3D76" w:rsidP="00FC3D7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1B739167" w14:textId="77777777" w:rsidR="00FC3D76" w:rsidRPr="000B6AFE" w:rsidRDefault="00FC3D76" w:rsidP="00FC3D76">
            <w:pPr>
              <w:rPr>
                <w:rFonts w:cs="Arial"/>
                <w:sz w:val="19"/>
                <w:szCs w:val="19"/>
              </w:rPr>
            </w:pPr>
            <w:r w:rsidRPr="000B6AFE">
              <w:rPr>
                <w:rFonts w:cs="Arial"/>
                <w:sz w:val="19"/>
                <w:szCs w:val="19"/>
              </w:rPr>
              <w:t>sec</w:t>
            </w:r>
          </w:p>
        </w:tc>
        <w:tc>
          <w:tcPr>
            <w:tcW w:w="2061" w:type="pct"/>
            <w:tcBorders>
              <w:right w:val="single" w:sz="4" w:space="0" w:color="auto"/>
            </w:tcBorders>
          </w:tcPr>
          <w:p w14:paraId="3B9DC9E6" w14:textId="77777777" w:rsidR="00FC3D76" w:rsidRPr="000B6AFE" w:rsidRDefault="00FC3D76" w:rsidP="00FC3D76">
            <w:pPr>
              <w:rPr>
                <w:rFonts w:cs="Arial"/>
                <w:sz w:val="19"/>
                <w:szCs w:val="19"/>
              </w:rPr>
            </w:pPr>
            <w:r w:rsidRPr="000B6AFE">
              <w:rPr>
                <w:rFonts w:cs="Arial"/>
                <w:sz w:val="19"/>
                <w:szCs w:val="19"/>
              </w:rPr>
              <w:t>Seconds</w:t>
            </w:r>
          </w:p>
        </w:tc>
      </w:tr>
      <w:tr w:rsidR="00FC3D76" w:rsidRPr="000B6AFE" w14:paraId="3EA35941" w14:textId="77777777" w:rsidTr="004C0811">
        <w:trPr>
          <w:cantSplit/>
          <w:trHeight w:val="245"/>
          <w:jc w:val="center"/>
        </w:trPr>
        <w:tc>
          <w:tcPr>
            <w:tcW w:w="659" w:type="pct"/>
            <w:tcBorders>
              <w:left w:val="single" w:sz="4" w:space="0" w:color="auto"/>
            </w:tcBorders>
          </w:tcPr>
          <w:p w14:paraId="4612C16C" w14:textId="77777777" w:rsidR="00FC3D76" w:rsidRPr="000B6AFE" w:rsidRDefault="00FC3D76" w:rsidP="00FC3D76">
            <w:pPr>
              <w:rPr>
                <w:rFonts w:cs="Arial"/>
                <w:sz w:val="19"/>
                <w:szCs w:val="19"/>
              </w:rPr>
            </w:pPr>
            <w:r w:rsidRPr="000B6AFE">
              <w:rPr>
                <w:rFonts w:cs="Arial"/>
                <w:sz w:val="19"/>
                <w:szCs w:val="19"/>
              </w:rPr>
              <w:t>SC</w:t>
            </w:r>
          </w:p>
        </w:tc>
        <w:tc>
          <w:tcPr>
            <w:tcW w:w="1886" w:type="pct"/>
            <w:tcBorders>
              <w:right w:val="single" w:sz="4" w:space="0" w:color="auto"/>
            </w:tcBorders>
          </w:tcPr>
          <w:p w14:paraId="589322DA" w14:textId="77777777" w:rsidR="00FC3D76" w:rsidRPr="000B6AFE" w:rsidRDefault="00FC3D76" w:rsidP="00FC3D76">
            <w:pPr>
              <w:rPr>
                <w:rFonts w:cs="Arial"/>
                <w:sz w:val="19"/>
                <w:szCs w:val="19"/>
              </w:rPr>
            </w:pPr>
            <w:r w:rsidRPr="000B6AFE">
              <w:rPr>
                <w:rFonts w:cs="Arial"/>
                <w:sz w:val="19"/>
                <w:szCs w:val="19"/>
              </w:rPr>
              <w:t>Special Condition</w:t>
            </w:r>
          </w:p>
        </w:tc>
        <w:tc>
          <w:tcPr>
            <w:tcW w:w="394" w:type="pct"/>
            <w:tcBorders>
              <w:left w:val="single" w:sz="4" w:space="0" w:color="auto"/>
            </w:tcBorders>
          </w:tcPr>
          <w:p w14:paraId="1FACDE23" w14:textId="77777777" w:rsidR="00FC3D76" w:rsidRPr="000B6AFE" w:rsidRDefault="00FC3D76" w:rsidP="00FC3D7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single" w:sz="4" w:space="0" w:color="auto"/>
            </w:tcBorders>
          </w:tcPr>
          <w:p w14:paraId="45D2AF7E" w14:textId="77777777" w:rsidR="00FC3D76" w:rsidRPr="000B6AFE" w:rsidRDefault="00FC3D76" w:rsidP="00FC3D76">
            <w:pPr>
              <w:rPr>
                <w:rFonts w:cs="Arial"/>
                <w:sz w:val="19"/>
                <w:szCs w:val="19"/>
              </w:rPr>
            </w:pPr>
            <w:r w:rsidRPr="000B6AFE">
              <w:rPr>
                <w:rFonts w:cs="Arial"/>
                <w:sz w:val="19"/>
                <w:szCs w:val="19"/>
              </w:rPr>
              <w:t>Sulfur Dioxide</w:t>
            </w:r>
          </w:p>
        </w:tc>
      </w:tr>
      <w:tr w:rsidR="00FC3D76" w:rsidRPr="000B6AFE" w14:paraId="3CBBE4CF" w14:textId="77777777" w:rsidTr="004C0811">
        <w:trPr>
          <w:cantSplit/>
          <w:trHeight w:val="245"/>
          <w:jc w:val="center"/>
        </w:trPr>
        <w:tc>
          <w:tcPr>
            <w:tcW w:w="659" w:type="pct"/>
            <w:tcBorders>
              <w:left w:val="single" w:sz="4" w:space="0" w:color="auto"/>
            </w:tcBorders>
          </w:tcPr>
          <w:p w14:paraId="1BA3DC58" w14:textId="77777777" w:rsidR="00FC3D76" w:rsidRPr="000B6AFE" w:rsidRDefault="00FC3D76" w:rsidP="00FC3D76">
            <w:pPr>
              <w:rPr>
                <w:rFonts w:cs="Arial"/>
                <w:sz w:val="19"/>
                <w:szCs w:val="19"/>
              </w:rPr>
            </w:pPr>
            <w:r w:rsidRPr="000B6AFE">
              <w:rPr>
                <w:rFonts w:cs="Arial"/>
                <w:sz w:val="19"/>
                <w:szCs w:val="19"/>
              </w:rPr>
              <w:t>SCR</w:t>
            </w:r>
          </w:p>
        </w:tc>
        <w:tc>
          <w:tcPr>
            <w:tcW w:w="1886" w:type="pct"/>
            <w:tcBorders>
              <w:right w:val="single" w:sz="4" w:space="0" w:color="auto"/>
            </w:tcBorders>
          </w:tcPr>
          <w:p w14:paraId="7848EB9D" w14:textId="77777777" w:rsidR="00FC3D76" w:rsidRPr="000B6AFE" w:rsidRDefault="00FC3D76" w:rsidP="00FC3D7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2083E976" w14:textId="77777777" w:rsidR="00FC3D76" w:rsidRPr="000B6AFE" w:rsidRDefault="00FC3D76" w:rsidP="00FC3D76">
            <w:pPr>
              <w:rPr>
                <w:rFonts w:cs="Arial"/>
                <w:sz w:val="19"/>
                <w:szCs w:val="19"/>
              </w:rPr>
            </w:pPr>
            <w:r w:rsidRPr="000B6AFE">
              <w:rPr>
                <w:rFonts w:cs="Arial"/>
                <w:sz w:val="19"/>
                <w:szCs w:val="19"/>
              </w:rPr>
              <w:t>TAC</w:t>
            </w:r>
          </w:p>
        </w:tc>
        <w:tc>
          <w:tcPr>
            <w:tcW w:w="2061" w:type="pct"/>
            <w:tcBorders>
              <w:right w:val="single" w:sz="4" w:space="0" w:color="auto"/>
            </w:tcBorders>
          </w:tcPr>
          <w:p w14:paraId="7FA01E6B" w14:textId="77777777" w:rsidR="00FC3D76" w:rsidRPr="000B6AFE" w:rsidRDefault="00FC3D76" w:rsidP="00FC3D76">
            <w:pPr>
              <w:rPr>
                <w:rFonts w:cs="Arial"/>
                <w:sz w:val="19"/>
                <w:szCs w:val="19"/>
              </w:rPr>
            </w:pPr>
            <w:r w:rsidRPr="000B6AFE">
              <w:rPr>
                <w:rFonts w:cs="Arial"/>
                <w:sz w:val="19"/>
                <w:szCs w:val="19"/>
              </w:rPr>
              <w:t>Toxic Air Contaminant</w:t>
            </w:r>
          </w:p>
        </w:tc>
      </w:tr>
      <w:tr w:rsidR="00FC3D76" w:rsidRPr="000B6AFE" w14:paraId="3B5EFE05" w14:textId="77777777" w:rsidTr="004C0811">
        <w:trPr>
          <w:cantSplit/>
          <w:trHeight w:val="245"/>
          <w:jc w:val="center"/>
        </w:trPr>
        <w:tc>
          <w:tcPr>
            <w:tcW w:w="659" w:type="pct"/>
            <w:tcBorders>
              <w:left w:val="single" w:sz="4" w:space="0" w:color="auto"/>
            </w:tcBorders>
          </w:tcPr>
          <w:p w14:paraId="0F45AF72" w14:textId="77777777" w:rsidR="00FC3D76" w:rsidRPr="000B6AFE" w:rsidRDefault="00FC3D76" w:rsidP="00FC3D76">
            <w:pPr>
              <w:rPr>
                <w:rFonts w:cs="Arial"/>
                <w:sz w:val="19"/>
                <w:szCs w:val="19"/>
              </w:rPr>
            </w:pPr>
            <w:r w:rsidRPr="000B6AFE">
              <w:rPr>
                <w:rFonts w:cs="Arial"/>
                <w:sz w:val="19"/>
                <w:szCs w:val="19"/>
              </w:rPr>
              <w:t>SNCR</w:t>
            </w:r>
          </w:p>
        </w:tc>
        <w:tc>
          <w:tcPr>
            <w:tcW w:w="1886" w:type="pct"/>
            <w:tcBorders>
              <w:right w:val="single" w:sz="4" w:space="0" w:color="auto"/>
            </w:tcBorders>
          </w:tcPr>
          <w:p w14:paraId="7F685E82" w14:textId="77777777" w:rsidR="00FC3D76" w:rsidRPr="000B6AFE" w:rsidRDefault="00FC3D76" w:rsidP="00FC3D7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61FEA6F9" w14:textId="77777777" w:rsidR="00FC3D76" w:rsidRPr="000B6AFE" w:rsidRDefault="00FC3D76" w:rsidP="00FC3D76">
            <w:pPr>
              <w:rPr>
                <w:rFonts w:cs="Arial"/>
                <w:sz w:val="19"/>
                <w:szCs w:val="19"/>
              </w:rPr>
            </w:pPr>
            <w:r w:rsidRPr="000B6AFE">
              <w:rPr>
                <w:rFonts w:cs="Arial"/>
                <w:sz w:val="19"/>
                <w:szCs w:val="19"/>
              </w:rPr>
              <w:t>Temp</w:t>
            </w:r>
          </w:p>
        </w:tc>
        <w:tc>
          <w:tcPr>
            <w:tcW w:w="2061" w:type="pct"/>
            <w:tcBorders>
              <w:right w:val="single" w:sz="4" w:space="0" w:color="auto"/>
            </w:tcBorders>
          </w:tcPr>
          <w:p w14:paraId="01588124" w14:textId="77777777" w:rsidR="00FC3D76" w:rsidRPr="000B6AFE" w:rsidRDefault="00FC3D76" w:rsidP="00FC3D76">
            <w:pPr>
              <w:rPr>
                <w:rFonts w:cs="Arial"/>
                <w:sz w:val="19"/>
                <w:szCs w:val="19"/>
              </w:rPr>
            </w:pPr>
            <w:r w:rsidRPr="000B6AFE">
              <w:rPr>
                <w:rFonts w:cs="Arial"/>
                <w:sz w:val="19"/>
                <w:szCs w:val="19"/>
              </w:rPr>
              <w:t>Temperature</w:t>
            </w:r>
          </w:p>
        </w:tc>
      </w:tr>
      <w:tr w:rsidR="00FC3D76" w:rsidRPr="000B6AFE" w14:paraId="72DD08EA" w14:textId="77777777" w:rsidTr="004C0811">
        <w:trPr>
          <w:cantSplit/>
          <w:trHeight w:val="245"/>
          <w:jc w:val="center"/>
        </w:trPr>
        <w:tc>
          <w:tcPr>
            <w:tcW w:w="659" w:type="pct"/>
            <w:tcBorders>
              <w:left w:val="single" w:sz="4" w:space="0" w:color="auto"/>
            </w:tcBorders>
          </w:tcPr>
          <w:p w14:paraId="4643EBA5" w14:textId="77777777" w:rsidR="00FC3D76" w:rsidRPr="000B6AFE" w:rsidRDefault="00FC3D76" w:rsidP="00FC3D76">
            <w:pPr>
              <w:rPr>
                <w:rFonts w:cs="Arial"/>
                <w:sz w:val="19"/>
                <w:szCs w:val="19"/>
              </w:rPr>
            </w:pPr>
            <w:r w:rsidRPr="000B6AFE">
              <w:rPr>
                <w:rFonts w:cs="Arial"/>
                <w:sz w:val="19"/>
                <w:szCs w:val="19"/>
              </w:rPr>
              <w:t>SRN</w:t>
            </w:r>
          </w:p>
        </w:tc>
        <w:tc>
          <w:tcPr>
            <w:tcW w:w="1886" w:type="pct"/>
            <w:tcBorders>
              <w:right w:val="single" w:sz="4" w:space="0" w:color="auto"/>
            </w:tcBorders>
          </w:tcPr>
          <w:p w14:paraId="36B3F87A" w14:textId="77777777" w:rsidR="00FC3D76" w:rsidRPr="000B6AFE" w:rsidRDefault="00FC3D76" w:rsidP="00FC3D7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1502A80" w14:textId="77777777" w:rsidR="00FC3D76" w:rsidRPr="000B6AFE" w:rsidRDefault="00FC3D76" w:rsidP="00FC3D76">
            <w:pPr>
              <w:rPr>
                <w:rFonts w:cs="Arial"/>
                <w:sz w:val="19"/>
                <w:szCs w:val="19"/>
              </w:rPr>
            </w:pPr>
            <w:r w:rsidRPr="000B6AFE">
              <w:rPr>
                <w:rFonts w:cs="Arial"/>
                <w:sz w:val="19"/>
                <w:szCs w:val="19"/>
              </w:rPr>
              <w:t>THC</w:t>
            </w:r>
          </w:p>
        </w:tc>
        <w:tc>
          <w:tcPr>
            <w:tcW w:w="2061" w:type="pct"/>
            <w:tcBorders>
              <w:right w:val="single" w:sz="4" w:space="0" w:color="auto"/>
            </w:tcBorders>
          </w:tcPr>
          <w:p w14:paraId="6B7B4398" w14:textId="77777777" w:rsidR="00FC3D76" w:rsidRPr="000B6AFE" w:rsidRDefault="00FC3D76" w:rsidP="00FC3D76">
            <w:pPr>
              <w:rPr>
                <w:rFonts w:cs="Arial"/>
                <w:sz w:val="19"/>
                <w:szCs w:val="19"/>
              </w:rPr>
            </w:pPr>
            <w:r w:rsidRPr="000B6AFE">
              <w:rPr>
                <w:rFonts w:cs="Arial"/>
                <w:sz w:val="19"/>
                <w:szCs w:val="19"/>
              </w:rPr>
              <w:t>Total Hydrocarbons</w:t>
            </w:r>
          </w:p>
        </w:tc>
      </w:tr>
      <w:tr w:rsidR="00FC3D76" w:rsidRPr="000B6AFE" w14:paraId="087D7CCA" w14:textId="77777777" w:rsidTr="004C0811">
        <w:trPr>
          <w:cantSplit/>
          <w:trHeight w:val="245"/>
          <w:jc w:val="center"/>
        </w:trPr>
        <w:tc>
          <w:tcPr>
            <w:tcW w:w="659" w:type="pct"/>
            <w:tcBorders>
              <w:left w:val="single" w:sz="4" w:space="0" w:color="auto"/>
            </w:tcBorders>
          </w:tcPr>
          <w:p w14:paraId="24ABEC06" w14:textId="77777777" w:rsidR="00FC3D76" w:rsidRPr="000B6AFE" w:rsidRDefault="00FC3D76" w:rsidP="00FC3D76">
            <w:pPr>
              <w:rPr>
                <w:rFonts w:cs="Arial"/>
                <w:sz w:val="19"/>
                <w:szCs w:val="19"/>
              </w:rPr>
            </w:pPr>
            <w:r w:rsidRPr="000B6AFE">
              <w:rPr>
                <w:rFonts w:cs="Arial"/>
                <w:sz w:val="19"/>
                <w:szCs w:val="19"/>
              </w:rPr>
              <w:t>TEQ</w:t>
            </w:r>
          </w:p>
        </w:tc>
        <w:tc>
          <w:tcPr>
            <w:tcW w:w="1886" w:type="pct"/>
            <w:tcBorders>
              <w:right w:val="single" w:sz="4" w:space="0" w:color="auto"/>
            </w:tcBorders>
          </w:tcPr>
          <w:p w14:paraId="728A751F" w14:textId="77777777" w:rsidR="00FC3D76" w:rsidRPr="000B6AFE" w:rsidRDefault="00FC3D76" w:rsidP="00FC3D7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44BC2963" w14:textId="77777777" w:rsidR="00FC3D76" w:rsidRPr="000B6AFE" w:rsidRDefault="00FC3D76" w:rsidP="00FC3D76">
            <w:pPr>
              <w:rPr>
                <w:rFonts w:cs="Arial"/>
                <w:sz w:val="19"/>
                <w:szCs w:val="19"/>
              </w:rPr>
            </w:pPr>
            <w:r w:rsidRPr="000B6AFE">
              <w:rPr>
                <w:rFonts w:cs="Arial"/>
                <w:sz w:val="19"/>
                <w:szCs w:val="19"/>
              </w:rPr>
              <w:t>tpy</w:t>
            </w:r>
          </w:p>
        </w:tc>
        <w:tc>
          <w:tcPr>
            <w:tcW w:w="2061" w:type="pct"/>
            <w:tcBorders>
              <w:right w:val="single" w:sz="4" w:space="0" w:color="auto"/>
            </w:tcBorders>
          </w:tcPr>
          <w:p w14:paraId="018C9003" w14:textId="77777777" w:rsidR="00FC3D76" w:rsidRPr="000B6AFE" w:rsidRDefault="00FC3D76" w:rsidP="00FC3D76">
            <w:pPr>
              <w:rPr>
                <w:rFonts w:cs="Arial"/>
                <w:sz w:val="19"/>
                <w:szCs w:val="19"/>
              </w:rPr>
            </w:pPr>
            <w:r w:rsidRPr="000B6AFE">
              <w:rPr>
                <w:rFonts w:cs="Arial"/>
                <w:sz w:val="19"/>
                <w:szCs w:val="19"/>
              </w:rPr>
              <w:t>Tons per year</w:t>
            </w:r>
          </w:p>
        </w:tc>
      </w:tr>
      <w:tr w:rsidR="00FC3D76" w:rsidRPr="000B6AFE" w14:paraId="4069C8A8" w14:textId="77777777" w:rsidTr="004C0811">
        <w:trPr>
          <w:cantSplit/>
          <w:trHeight w:val="245"/>
          <w:jc w:val="center"/>
        </w:trPr>
        <w:tc>
          <w:tcPr>
            <w:tcW w:w="659" w:type="pct"/>
            <w:vMerge w:val="restart"/>
            <w:tcBorders>
              <w:left w:val="single" w:sz="4" w:space="0" w:color="auto"/>
            </w:tcBorders>
          </w:tcPr>
          <w:p w14:paraId="5128FF9D" w14:textId="77777777" w:rsidR="00FC3D76" w:rsidRPr="000B6AFE" w:rsidRDefault="00FC3D76" w:rsidP="00FC3D7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CE31226" w14:textId="77777777" w:rsidR="00FC3D76" w:rsidRPr="000B6AFE" w:rsidRDefault="00FC3D76" w:rsidP="00FC3D7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E3C1160" w14:textId="77777777" w:rsidR="00FC3D76" w:rsidRPr="000B6AFE" w:rsidRDefault="00FC3D76" w:rsidP="00FC3D76">
            <w:pPr>
              <w:rPr>
                <w:rFonts w:cs="Arial"/>
                <w:sz w:val="19"/>
                <w:szCs w:val="19"/>
              </w:rPr>
            </w:pPr>
            <w:r w:rsidRPr="000B6AFE">
              <w:rPr>
                <w:rFonts w:cs="Arial"/>
                <w:sz w:val="19"/>
                <w:szCs w:val="19"/>
              </w:rPr>
              <w:t>µg</w:t>
            </w:r>
          </w:p>
        </w:tc>
        <w:tc>
          <w:tcPr>
            <w:tcW w:w="2061" w:type="pct"/>
            <w:tcBorders>
              <w:right w:val="single" w:sz="4" w:space="0" w:color="auto"/>
            </w:tcBorders>
          </w:tcPr>
          <w:p w14:paraId="017353FD" w14:textId="77777777" w:rsidR="00FC3D76" w:rsidRPr="000B6AFE" w:rsidRDefault="00FC3D76" w:rsidP="00FC3D76">
            <w:pPr>
              <w:rPr>
                <w:rFonts w:cs="Arial"/>
                <w:sz w:val="19"/>
                <w:szCs w:val="19"/>
              </w:rPr>
            </w:pPr>
            <w:r w:rsidRPr="000B6AFE">
              <w:rPr>
                <w:rFonts w:cs="Arial"/>
                <w:sz w:val="19"/>
                <w:szCs w:val="19"/>
              </w:rPr>
              <w:t>Microgram</w:t>
            </w:r>
          </w:p>
        </w:tc>
      </w:tr>
      <w:tr w:rsidR="00FC3D76" w:rsidRPr="000B6AFE" w14:paraId="612A58F6" w14:textId="77777777" w:rsidTr="004C0811">
        <w:trPr>
          <w:cantSplit/>
          <w:trHeight w:val="245"/>
          <w:jc w:val="center"/>
        </w:trPr>
        <w:tc>
          <w:tcPr>
            <w:tcW w:w="659" w:type="pct"/>
            <w:vMerge/>
            <w:tcBorders>
              <w:left w:val="single" w:sz="4" w:space="0" w:color="auto"/>
            </w:tcBorders>
          </w:tcPr>
          <w:p w14:paraId="3543B444" w14:textId="77777777" w:rsidR="00FC3D76" w:rsidRPr="000B6AFE" w:rsidRDefault="00FC3D76" w:rsidP="00FC3D76">
            <w:pPr>
              <w:rPr>
                <w:rFonts w:cs="Arial"/>
                <w:sz w:val="19"/>
                <w:szCs w:val="19"/>
              </w:rPr>
            </w:pPr>
          </w:p>
        </w:tc>
        <w:tc>
          <w:tcPr>
            <w:tcW w:w="1886" w:type="pct"/>
            <w:vMerge/>
            <w:tcBorders>
              <w:right w:val="single" w:sz="4" w:space="0" w:color="auto"/>
            </w:tcBorders>
          </w:tcPr>
          <w:p w14:paraId="016774D7" w14:textId="77777777" w:rsidR="00FC3D76" w:rsidRPr="000B6AFE" w:rsidRDefault="00FC3D76" w:rsidP="00FC3D76">
            <w:pPr>
              <w:rPr>
                <w:rFonts w:cs="Arial"/>
                <w:sz w:val="19"/>
                <w:szCs w:val="19"/>
              </w:rPr>
            </w:pPr>
          </w:p>
        </w:tc>
        <w:tc>
          <w:tcPr>
            <w:tcW w:w="394" w:type="pct"/>
            <w:tcBorders>
              <w:left w:val="single" w:sz="4" w:space="0" w:color="auto"/>
            </w:tcBorders>
          </w:tcPr>
          <w:p w14:paraId="78FA114D" w14:textId="77777777" w:rsidR="00FC3D76" w:rsidRPr="000B6AFE" w:rsidRDefault="00FC3D76" w:rsidP="00FC3D76">
            <w:pPr>
              <w:rPr>
                <w:rFonts w:cs="Arial"/>
                <w:sz w:val="19"/>
                <w:szCs w:val="19"/>
              </w:rPr>
            </w:pPr>
            <w:r w:rsidRPr="000B6AFE">
              <w:rPr>
                <w:rFonts w:cs="Arial"/>
                <w:sz w:val="19"/>
                <w:szCs w:val="19"/>
              </w:rPr>
              <w:t>µm</w:t>
            </w:r>
          </w:p>
        </w:tc>
        <w:tc>
          <w:tcPr>
            <w:tcW w:w="2061" w:type="pct"/>
            <w:tcBorders>
              <w:right w:val="single" w:sz="4" w:space="0" w:color="auto"/>
            </w:tcBorders>
          </w:tcPr>
          <w:p w14:paraId="2C76B5D4" w14:textId="77777777" w:rsidR="00FC3D76" w:rsidRPr="000B6AFE" w:rsidRDefault="00FC3D76" w:rsidP="00FC3D76">
            <w:pPr>
              <w:rPr>
                <w:rFonts w:cs="Arial"/>
                <w:sz w:val="19"/>
                <w:szCs w:val="19"/>
              </w:rPr>
            </w:pPr>
            <w:r w:rsidRPr="000B6AFE">
              <w:rPr>
                <w:rFonts w:cs="Arial"/>
                <w:sz w:val="19"/>
                <w:szCs w:val="19"/>
              </w:rPr>
              <w:t>Micrometer or Micron</w:t>
            </w:r>
          </w:p>
        </w:tc>
      </w:tr>
      <w:tr w:rsidR="00FC3D76" w:rsidRPr="000B6AFE" w14:paraId="2D157B6F" w14:textId="77777777" w:rsidTr="004C0811">
        <w:trPr>
          <w:cantSplit/>
          <w:trHeight w:val="245"/>
          <w:jc w:val="center"/>
        </w:trPr>
        <w:tc>
          <w:tcPr>
            <w:tcW w:w="659" w:type="pct"/>
            <w:tcBorders>
              <w:left w:val="single" w:sz="4" w:space="0" w:color="auto"/>
            </w:tcBorders>
          </w:tcPr>
          <w:p w14:paraId="30A3B221" w14:textId="77777777" w:rsidR="00FC3D76" w:rsidRPr="000B6AFE" w:rsidRDefault="00FC3D76" w:rsidP="00FC3D76">
            <w:pPr>
              <w:rPr>
                <w:rFonts w:cs="Arial"/>
                <w:sz w:val="19"/>
                <w:szCs w:val="19"/>
              </w:rPr>
            </w:pPr>
            <w:r w:rsidRPr="000B6AFE">
              <w:rPr>
                <w:rFonts w:cs="Arial"/>
                <w:sz w:val="19"/>
                <w:szCs w:val="19"/>
              </w:rPr>
              <w:t>VE</w:t>
            </w:r>
          </w:p>
        </w:tc>
        <w:tc>
          <w:tcPr>
            <w:tcW w:w="1886" w:type="pct"/>
            <w:tcBorders>
              <w:right w:val="single" w:sz="4" w:space="0" w:color="auto"/>
            </w:tcBorders>
          </w:tcPr>
          <w:p w14:paraId="12F570E3" w14:textId="77777777" w:rsidR="00FC3D76" w:rsidRPr="000B6AFE" w:rsidRDefault="00FC3D76" w:rsidP="00FC3D76">
            <w:pPr>
              <w:rPr>
                <w:rFonts w:cs="Arial"/>
                <w:sz w:val="19"/>
                <w:szCs w:val="19"/>
              </w:rPr>
            </w:pPr>
            <w:r w:rsidRPr="000B6AFE">
              <w:rPr>
                <w:rFonts w:cs="Arial"/>
                <w:sz w:val="19"/>
                <w:szCs w:val="19"/>
              </w:rPr>
              <w:t>Visible Emissions</w:t>
            </w:r>
          </w:p>
        </w:tc>
        <w:tc>
          <w:tcPr>
            <w:tcW w:w="394" w:type="pct"/>
            <w:tcBorders>
              <w:left w:val="single" w:sz="4" w:space="0" w:color="auto"/>
            </w:tcBorders>
          </w:tcPr>
          <w:p w14:paraId="6CF86038" w14:textId="77777777" w:rsidR="00FC3D76" w:rsidRPr="000B6AFE" w:rsidRDefault="00FC3D76" w:rsidP="00FC3D76">
            <w:pPr>
              <w:rPr>
                <w:rFonts w:cs="Arial"/>
                <w:sz w:val="19"/>
                <w:szCs w:val="19"/>
              </w:rPr>
            </w:pPr>
            <w:r w:rsidRPr="000B6AFE">
              <w:rPr>
                <w:rFonts w:cs="Arial"/>
                <w:sz w:val="19"/>
                <w:szCs w:val="19"/>
              </w:rPr>
              <w:t>VOC</w:t>
            </w:r>
          </w:p>
        </w:tc>
        <w:tc>
          <w:tcPr>
            <w:tcW w:w="2061" w:type="pct"/>
            <w:tcBorders>
              <w:right w:val="single" w:sz="4" w:space="0" w:color="auto"/>
            </w:tcBorders>
          </w:tcPr>
          <w:p w14:paraId="0F90478C" w14:textId="77777777" w:rsidR="00FC3D76" w:rsidRPr="000B6AFE" w:rsidRDefault="00FC3D76" w:rsidP="00FC3D76">
            <w:pPr>
              <w:rPr>
                <w:rFonts w:cs="Arial"/>
                <w:sz w:val="19"/>
                <w:szCs w:val="19"/>
              </w:rPr>
            </w:pPr>
            <w:r w:rsidRPr="000B6AFE">
              <w:rPr>
                <w:rFonts w:cs="Arial"/>
                <w:sz w:val="19"/>
                <w:szCs w:val="19"/>
              </w:rPr>
              <w:t>Volatile Organic Compounds</w:t>
            </w:r>
          </w:p>
        </w:tc>
      </w:tr>
      <w:tr w:rsidR="00FC3D76" w:rsidRPr="000B6AFE" w14:paraId="18FBC301" w14:textId="77777777" w:rsidTr="004C0811">
        <w:trPr>
          <w:cantSplit/>
          <w:trHeight w:val="245"/>
          <w:jc w:val="center"/>
        </w:trPr>
        <w:tc>
          <w:tcPr>
            <w:tcW w:w="659" w:type="pct"/>
            <w:tcBorders>
              <w:left w:val="single" w:sz="4" w:space="0" w:color="auto"/>
              <w:bottom w:val="single" w:sz="4" w:space="0" w:color="auto"/>
            </w:tcBorders>
          </w:tcPr>
          <w:p w14:paraId="2C2D264B" w14:textId="77777777" w:rsidR="00FC3D76" w:rsidRPr="000B6AFE" w:rsidRDefault="00FC3D76" w:rsidP="00FC3D76">
            <w:pPr>
              <w:rPr>
                <w:rFonts w:cs="Arial"/>
                <w:sz w:val="19"/>
                <w:szCs w:val="19"/>
              </w:rPr>
            </w:pPr>
          </w:p>
        </w:tc>
        <w:tc>
          <w:tcPr>
            <w:tcW w:w="1886" w:type="pct"/>
            <w:tcBorders>
              <w:bottom w:val="single" w:sz="4" w:space="0" w:color="auto"/>
              <w:right w:val="single" w:sz="4" w:space="0" w:color="auto"/>
            </w:tcBorders>
          </w:tcPr>
          <w:p w14:paraId="5B22E456" w14:textId="77777777" w:rsidR="00FC3D76" w:rsidRPr="000B6AFE" w:rsidRDefault="00FC3D76" w:rsidP="00FC3D76">
            <w:pPr>
              <w:rPr>
                <w:rFonts w:cs="Arial"/>
                <w:sz w:val="19"/>
                <w:szCs w:val="19"/>
              </w:rPr>
            </w:pPr>
          </w:p>
        </w:tc>
        <w:tc>
          <w:tcPr>
            <w:tcW w:w="394" w:type="pct"/>
            <w:tcBorders>
              <w:left w:val="single" w:sz="4" w:space="0" w:color="auto"/>
              <w:bottom w:val="single" w:sz="4" w:space="0" w:color="auto"/>
            </w:tcBorders>
          </w:tcPr>
          <w:p w14:paraId="649E8FF5" w14:textId="77777777" w:rsidR="00FC3D76" w:rsidRPr="000B6AFE" w:rsidRDefault="00FC3D76" w:rsidP="00FC3D76">
            <w:pPr>
              <w:rPr>
                <w:rFonts w:cs="Arial"/>
                <w:sz w:val="19"/>
                <w:szCs w:val="19"/>
              </w:rPr>
            </w:pPr>
            <w:proofErr w:type="spellStart"/>
            <w:r w:rsidRPr="000B6AFE">
              <w:rPr>
                <w:rFonts w:cs="Arial"/>
                <w:sz w:val="19"/>
                <w:szCs w:val="19"/>
              </w:rPr>
              <w:t>yr</w:t>
            </w:r>
            <w:proofErr w:type="spellEnd"/>
          </w:p>
        </w:tc>
        <w:tc>
          <w:tcPr>
            <w:tcW w:w="2061" w:type="pct"/>
            <w:tcBorders>
              <w:bottom w:val="single" w:sz="4" w:space="0" w:color="auto"/>
              <w:right w:val="single" w:sz="4" w:space="0" w:color="auto"/>
            </w:tcBorders>
          </w:tcPr>
          <w:p w14:paraId="3205863E" w14:textId="77777777" w:rsidR="00FC3D76" w:rsidRPr="000B6AFE" w:rsidRDefault="00FC3D76" w:rsidP="00FC3D76">
            <w:pPr>
              <w:rPr>
                <w:rFonts w:cs="Arial"/>
                <w:sz w:val="19"/>
                <w:szCs w:val="19"/>
              </w:rPr>
            </w:pPr>
            <w:r w:rsidRPr="000B6AFE">
              <w:rPr>
                <w:rFonts w:cs="Arial"/>
                <w:sz w:val="19"/>
                <w:szCs w:val="19"/>
              </w:rPr>
              <w:t>Year</w:t>
            </w:r>
          </w:p>
        </w:tc>
      </w:tr>
    </w:tbl>
    <w:p w14:paraId="0D74C5F9" w14:textId="77777777" w:rsidR="00FC3D76" w:rsidRDefault="00FC3D76" w:rsidP="00FC3D76">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53DB954E" w14:textId="77777777" w:rsidR="00644C0E" w:rsidRPr="000B6AFE" w:rsidRDefault="00644C0E" w:rsidP="00FC3D76">
      <w:pPr>
        <w:rPr>
          <w:rFonts w:cs="Arial"/>
          <w:sz w:val="19"/>
          <w:szCs w:val="19"/>
        </w:rPr>
      </w:pPr>
    </w:p>
    <w:p w14:paraId="29FBC5DA" w14:textId="77777777" w:rsidR="00C60E84" w:rsidRPr="00461D22" w:rsidRDefault="00C60E84" w:rsidP="00461D22">
      <w:pPr>
        <w:pStyle w:val="Heading2"/>
        <w:numPr>
          <w:ilvl w:val="0"/>
          <w:numId w:val="0"/>
        </w:numPr>
        <w:jc w:val="left"/>
        <w:rPr>
          <w:bCs/>
          <w:sz w:val="22"/>
          <w:szCs w:val="22"/>
        </w:rPr>
      </w:pPr>
      <w:bookmarkStart w:id="90" w:name="_Toc524520630"/>
      <w:bookmarkStart w:id="91" w:name="_Toc390499894"/>
      <w:bookmarkStart w:id="92" w:name="_Toc390500323"/>
      <w:bookmarkStart w:id="93" w:name="_Toc390504376"/>
      <w:bookmarkStart w:id="94" w:name="_Toc390570166"/>
      <w:bookmarkStart w:id="95" w:name="_Toc391182900"/>
      <w:bookmarkStart w:id="96" w:name="_Toc437238964"/>
      <w:bookmarkStart w:id="97" w:name="_Toc451333041"/>
      <w:bookmarkStart w:id="98" w:name="_Toc1453521"/>
      <w:r w:rsidRPr="00461D22">
        <w:rPr>
          <w:bCs/>
          <w:sz w:val="22"/>
          <w:szCs w:val="22"/>
        </w:rPr>
        <w:t>Appendix 2.  Schedule of Compliance</w:t>
      </w:r>
      <w:bookmarkEnd w:id="90"/>
    </w:p>
    <w:p w14:paraId="3AE200FB" w14:textId="77777777" w:rsidR="002917CF" w:rsidRDefault="002917CF" w:rsidP="002917CF">
      <w:pPr>
        <w:jc w:val="both"/>
        <w:rPr>
          <w:rFonts w:cs="Arial"/>
          <w:sz w:val="20"/>
        </w:rPr>
      </w:pPr>
    </w:p>
    <w:p w14:paraId="0B4C6D49"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E0943AB" w14:textId="77777777" w:rsidR="00C60E84" w:rsidRPr="00440957" w:rsidRDefault="00C60E84" w:rsidP="004F09CF">
      <w:pPr>
        <w:pStyle w:val="Heading2"/>
        <w:numPr>
          <w:ilvl w:val="0"/>
          <w:numId w:val="0"/>
        </w:numPr>
        <w:jc w:val="both"/>
        <w:rPr>
          <w:sz w:val="20"/>
        </w:rPr>
      </w:pPr>
      <w:bookmarkStart w:id="99" w:name="_Toc524520631"/>
      <w:r w:rsidRPr="00461D22">
        <w:rPr>
          <w:sz w:val="22"/>
          <w:szCs w:val="22"/>
        </w:rPr>
        <w:t>Appendix 3.  Monitoring Requirements</w:t>
      </w:r>
      <w:bookmarkEnd w:id="99"/>
    </w:p>
    <w:p w14:paraId="1475A8CD" w14:textId="77777777" w:rsidR="00C60E84" w:rsidRPr="0080590E" w:rsidRDefault="00C60E84" w:rsidP="004F09CF">
      <w:pPr>
        <w:jc w:val="both"/>
        <w:rPr>
          <w:sz w:val="20"/>
        </w:rPr>
      </w:pPr>
    </w:p>
    <w:p w14:paraId="00D9845D" w14:textId="77777777" w:rsidR="00C60E84" w:rsidRPr="00B77C68" w:rsidRDefault="00402D13" w:rsidP="004F09CF">
      <w:pPr>
        <w:jc w:val="both"/>
        <w:rPr>
          <w:sz w:val="20"/>
        </w:rPr>
      </w:pPr>
      <w:r>
        <w:rPr>
          <w:sz w:val="20"/>
        </w:rPr>
        <w:t>S</w:t>
      </w:r>
      <w:r w:rsidR="00C60E84" w:rsidRPr="00B77C68">
        <w:rPr>
          <w:sz w:val="20"/>
        </w:rPr>
        <w:t xml:space="preserve">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00C60E84" w:rsidRPr="00B77C68">
        <w:rPr>
          <w:sz w:val="20"/>
        </w:rPr>
        <w:t>.  Therefore, this appendix is not applicable.</w:t>
      </w:r>
    </w:p>
    <w:p w14:paraId="33B786A1" w14:textId="77777777" w:rsidR="00C60E84" w:rsidRPr="00461D22" w:rsidRDefault="00C60E84" w:rsidP="004F09CF">
      <w:pPr>
        <w:pStyle w:val="Heading2"/>
        <w:numPr>
          <w:ilvl w:val="0"/>
          <w:numId w:val="0"/>
        </w:numPr>
        <w:jc w:val="both"/>
        <w:rPr>
          <w:sz w:val="22"/>
          <w:szCs w:val="22"/>
        </w:rPr>
      </w:pPr>
      <w:bookmarkStart w:id="100" w:name="_Toc524520632"/>
      <w:r w:rsidRPr="00461D22">
        <w:rPr>
          <w:sz w:val="22"/>
          <w:szCs w:val="22"/>
        </w:rPr>
        <w:t>Appendix 4.  Recordkeeping</w:t>
      </w:r>
      <w:bookmarkEnd w:id="100"/>
    </w:p>
    <w:p w14:paraId="22B493BA" w14:textId="77777777" w:rsidR="00C60E84" w:rsidRPr="0080590E" w:rsidRDefault="00C60E84" w:rsidP="004F09CF">
      <w:pPr>
        <w:jc w:val="both"/>
        <w:rPr>
          <w:sz w:val="20"/>
        </w:rPr>
      </w:pPr>
    </w:p>
    <w:p w14:paraId="0493FF42"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3CB4370B" w14:textId="77777777" w:rsidR="00C60E84" w:rsidRPr="00461D22" w:rsidRDefault="00C60E84" w:rsidP="004F09CF">
      <w:pPr>
        <w:pStyle w:val="Heading2"/>
        <w:numPr>
          <w:ilvl w:val="0"/>
          <w:numId w:val="0"/>
        </w:numPr>
        <w:jc w:val="both"/>
        <w:rPr>
          <w:sz w:val="22"/>
          <w:szCs w:val="22"/>
        </w:rPr>
      </w:pPr>
      <w:bookmarkStart w:id="101" w:name="_Toc524520633"/>
      <w:r w:rsidRPr="00461D22">
        <w:rPr>
          <w:sz w:val="22"/>
          <w:szCs w:val="22"/>
        </w:rPr>
        <w:t>Appendix 5.  Testing Procedures</w:t>
      </w:r>
      <w:bookmarkEnd w:id="101"/>
    </w:p>
    <w:p w14:paraId="68B07BB2" w14:textId="77777777" w:rsidR="00C60E84" w:rsidRPr="00B77C68" w:rsidRDefault="00C60E84" w:rsidP="004F09CF">
      <w:pPr>
        <w:jc w:val="both"/>
        <w:rPr>
          <w:sz w:val="20"/>
        </w:rPr>
      </w:pPr>
    </w:p>
    <w:p w14:paraId="558643F7" w14:textId="77777777" w:rsidR="00C60E84" w:rsidRPr="00B77C68" w:rsidRDefault="00C60E84" w:rsidP="004F09CF">
      <w:pPr>
        <w:jc w:val="both"/>
        <w:rPr>
          <w:sz w:val="20"/>
        </w:rPr>
      </w:pPr>
      <w:r w:rsidRPr="00B77C68">
        <w:rPr>
          <w:sz w:val="20"/>
        </w:rPr>
        <w:t>There are no specific testing requirement plans or procedures for this ROP.  Therefore, this appendix is not applicable.</w:t>
      </w:r>
    </w:p>
    <w:p w14:paraId="1AEA2E94" w14:textId="77777777" w:rsidR="00EC07BA" w:rsidRPr="00440957" w:rsidRDefault="00EC07BA" w:rsidP="001838ED">
      <w:pPr>
        <w:pStyle w:val="Heading2"/>
        <w:numPr>
          <w:ilvl w:val="0"/>
          <w:numId w:val="0"/>
        </w:numPr>
        <w:jc w:val="both"/>
        <w:rPr>
          <w:sz w:val="20"/>
        </w:rPr>
      </w:pPr>
      <w:bookmarkStart w:id="102" w:name="_Toc524520634"/>
      <w:r w:rsidRPr="00461D22">
        <w:rPr>
          <w:sz w:val="22"/>
          <w:szCs w:val="22"/>
        </w:rPr>
        <w:t>Appendix 6.  Permits to Install</w:t>
      </w:r>
      <w:bookmarkEnd w:id="102"/>
    </w:p>
    <w:p w14:paraId="2509A10F" w14:textId="77777777" w:rsidR="00EC07BA" w:rsidRPr="0080590E" w:rsidRDefault="00EC07BA" w:rsidP="001838ED">
      <w:pPr>
        <w:jc w:val="both"/>
        <w:rPr>
          <w:sz w:val="20"/>
        </w:rPr>
      </w:pPr>
    </w:p>
    <w:p w14:paraId="7D748640" w14:textId="77777777" w:rsidR="00EC07BA" w:rsidRPr="00B9348B" w:rsidRDefault="00EC07BA" w:rsidP="001838ED">
      <w:pPr>
        <w:jc w:val="both"/>
        <w:rPr>
          <w:rFonts w:cs="Arial"/>
          <w:color w:val="FF0000"/>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402D13">
        <w:rPr>
          <w:rFonts w:cs="Arial"/>
          <w:sz w:val="20"/>
        </w:rPr>
        <w:t xml:space="preserve">-N5575-2013.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A4F423A" w14:textId="77777777" w:rsidR="00EC07BA" w:rsidRPr="007713F1" w:rsidRDefault="00EC07BA" w:rsidP="001838ED">
      <w:pPr>
        <w:jc w:val="both"/>
        <w:rPr>
          <w:rFonts w:cs="Arial"/>
          <w:sz w:val="20"/>
        </w:rPr>
      </w:pPr>
    </w:p>
    <w:p w14:paraId="4DACAA5F" w14:textId="7551AD51" w:rsidR="00EC07BA" w:rsidRPr="003C19DE" w:rsidRDefault="00EC07BA" w:rsidP="001838ED">
      <w:pPr>
        <w:jc w:val="both"/>
        <w:rPr>
          <w:rFonts w:cs="Arial"/>
          <w:sz w:val="20"/>
        </w:rPr>
      </w:pPr>
      <w:r w:rsidRPr="00903ACF">
        <w:rPr>
          <w:rFonts w:cs="Arial"/>
          <w:sz w:val="20"/>
        </w:rPr>
        <w:t>Source-Wide PTI No MI-PTI</w:t>
      </w:r>
      <w:r w:rsidR="00402D13">
        <w:rPr>
          <w:rFonts w:cs="Arial"/>
          <w:sz w:val="20"/>
        </w:rPr>
        <w:t>-N5575-2013</w:t>
      </w:r>
      <w:r w:rsidRPr="00903ACF">
        <w:rPr>
          <w:rFonts w:cs="Arial"/>
          <w:color w:val="FF0000"/>
          <w:sz w:val="20"/>
        </w:rPr>
        <w:t xml:space="preserve"> </w:t>
      </w:r>
      <w:r w:rsidRPr="00903ACF">
        <w:rPr>
          <w:rFonts w:cs="Arial"/>
          <w:sz w:val="20"/>
        </w:rPr>
        <w:t>is being reissued as Source-Wide PTI No. MI-PTI</w:t>
      </w:r>
      <w:r w:rsidR="00402D13">
        <w:rPr>
          <w:rFonts w:cs="Arial"/>
          <w:sz w:val="20"/>
        </w:rPr>
        <w:t>-N5575</w:t>
      </w:r>
      <w:r w:rsidR="006F0DE9">
        <w:rPr>
          <w:rFonts w:cs="Arial"/>
          <w:sz w:val="20"/>
        </w:rPr>
        <w:t>-</w:t>
      </w:r>
      <w:r w:rsidR="00D134E9">
        <w:rPr>
          <w:rFonts w:cs="Arial"/>
          <w:sz w:val="20"/>
        </w:rPr>
        <w:t>20</w:t>
      </w:r>
      <w:r w:rsidR="000B1FCA">
        <w:rPr>
          <w:rFonts w:cs="Arial"/>
          <w:sz w:val="20"/>
        </w:rPr>
        <w:t>18</w:t>
      </w:r>
      <w:r w:rsidR="00D134E9">
        <w:rPr>
          <w:rFonts w:cs="Arial"/>
          <w:sz w:val="20"/>
        </w:rPr>
        <w:t>.</w:t>
      </w:r>
    </w:p>
    <w:p w14:paraId="7410EFBA" w14:textId="77777777" w:rsidR="00EC07BA" w:rsidRPr="007713F1" w:rsidRDefault="00EC07BA" w:rsidP="001838ED">
      <w:pPr>
        <w:jc w:val="both"/>
        <w:rPr>
          <w:rFonts w:cs="Arial"/>
          <w:sz w:val="20"/>
        </w:rPr>
      </w:pPr>
    </w:p>
    <w:tbl>
      <w:tblPr>
        <w:tblW w:w="5040" w:type="pct"/>
        <w:tblInd w:w="-23" w:type="dxa"/>
        <w:tblBorders>
          <w:top w:val="double" w:sz="6" w:space="0" w:color="auto"/>
          <w:left w:val="double" w:sz="6" w:space="0" w:color="auto"/>
          <w:bottom w:val="double" w:sz="4" w:space="0" w:color="auto"/>
          <w:right w:val="double" w:sz="6" w:space="0" w:color="auto"/>
          <w:insideH w:val="double" w:sz="6" w:space="0" w:color="auto"/>
          <w:insideV w:val="single" w:sz="4" w:space="0" w:color="auto"/>
        </w:tblBorders>
        <w:tblLook w:val="0000" w:firstRow="0" w:lastRow="0" w:firstColumn="0" w:lastColumn="0" w:noHBand="0" w:noVBand="0"/>
      </w:tblPr>
      <w:tblGrid>
        <w:gridCol w:w="1531"/>
        <w:gridCol w:w="2534"/>
        <w:gridCol w:w="3929"/>
        <w:gridCol w:w="2265"/>
      </w:tblGrid>
      <w:tr w:rsidR="00EC07BA" w:rsidRPr="001D53D9" w14:paraId="751C04FE" w14:textId="77777777" w:rsidTr="00785B38">
        <w:tc>
          <w:tcPr>
            <w:tcW w:w="746" w:type="pct"/>
            <w:shd w:val="clear" w:color="auto" w:fill="E0E0E0"/>
          </w:tcPr>
          <w:p w14:paraId="48C99E04" w14:textId="77777777" w:rsidR="00EC07BA" w:rsidRPr="001D53D9" w:rsidRDefault="00EC07BA" w:rsidP="001838ED">
            <w:pPr>
              <w:jc w:val="center"/>
              <w:rPr>
                <w:rFonts w:cs="Arial"/>
                <w:b/>
                <w:sz w:val="20"/>
              </w:rPr>
            </w:pPr>
            <w:r w:rsidRPr="001D53D9">
              <w:rPr>
                <w:rFonts w:cs="Arial"/>
                <w:b/>
                <w:sz w:val="20"/>
              </w:rPr>
              <w:t>Permit to Install Number</w:t>
            </w:r>
          </w:p>
        </w:tc>
        <w:tc>
          <w:tcPr>
            <w:tcW w:w="1235" w:type="pct"/>
            <w:shd w:val="clear" w:color="auto" w:fill="E0E0E0"/>
          </w:tcPr>
          <w:p w14:paraId="79BFEB92" w14:textId="77777777" w:rsidR="00EC07BA" w:rsidRPr="001D53D9" w:rsidRDefault="00EC07BA" w:rsidP="001838ED">
            <w:pPr>
              <w:jc w:val="center"/>
              <w:rPr>
                <w:rFonts w:cs="Arial"/>
                <w:b/>
                <w:sz w:val="20"/>
              </w:rPr>
            </w:pPr>
            <w:r w:rsidRPr="001D53D9">
              <w:rPr>
                <w:rFonts w:cs="Arial"/>
                <w:b/>
                <w:sz w:val="20"/>
              </w:rPr>
              <w:t>ROP Revision</w:t>
            </w:r>
          </w:p>
          <w:p w14:paraId="52BD445D" w14:textId="77777777" w:rsidR="00EC07BA" w:rsidRPr="001D53D9" w:rsidRDefault="00EC07BA" w:rsidP="001838ED">
            <w:pPr>
              <w:jc w:val="center"/>
              <w:rPr>
                <w:rFonts w:cs="Arial"/>
                <w:b/>
                <w:sz w:val="20"/>
              </w:rPr>
            </w:pPr>
            <w:r w:rsidRPr="001D53D9">
              <w:rPr>
                <w:rFonts w:cs="Arial"/>
                <w:b/>
                <w:sz w:val="20"/>
              </w:rPr>
              <w:t>Application Number</w:t>
            </w:r>
          </w:p>
        </w:tc>
        <w:tc>
          <w:tcPr>
            <w:tcW w:w="1915" w:type="pct"/>
            <w:shd w:val="clear" w:color="auto" w:fill="E0E0E0"/>
          </w:tcPr>
          <w:p w14:paraId="41F4753B" w14:textId="77777777" w:rsidR="00EC07BA" w:rsidRPr="001D53D9" w:rsidRDefault="00EC07BA" w:rsidP="001838ED">
            <w:pPr>
              <w:jc w:val="center"/>
              <w:rPr>
                <w:rFonts w:cs="Arial"/>
                <w:b/>
                <w:sz w:val="20"/>
              </w:rPr>
            </w:pPr>
          </w:p>
          <w:p w14:paraId="5A424348"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04" w:type="pct"/>
            <w:shd w:val="clear" w:color="auto" w:fill="E0E0E0"/>
          </w:tcPr>
          <w:p w14:paraId="3B1BFBBF" w14:textId="77777777" w:rsidR="00EC07BA" w:rsidRPr="001D53D9" w:rsidRDefault="00EC07BA" w:rsidP="001838ED">
            <w:pPr>
              <w:jc w:val="center"/>
              <w:rPr>
                <w:rFonts w:cs="Arial"/>
                <w:b/>
                <w:sz w:val="20"/>
              </w:rPr>
            </w:pPr>
            <w:r w:rsidRPr="001D53D9">
              <w:rPr>
                <w:rFonts w:cs="Arial"/>
                <w:b/>
                <w:sz w:val="20"/>
              </w:rPr>
              <w:t>Corresponding Emission Unit(s) or</w:t>
            </w:r>
          </w:p>
          <w:p w14:paraId="3B959904"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165D6F6" w14:textId="77777777" w:rsidTr="00785B38">
        <w:tc>
          <w:tcPr>
            <w:tcW w:w="746" w:type="pct"/>
            <w:shd w:val="clear" w:color="auto" w:fill="auto"/>
          </w:tcPr>
          <w:p w14:paraId="4EF87C9C" w14:textId="77777777" w:rsidR="00EC07BA" w:rsidRPr="001D53D9" w:rsidRDefault="00402D13" w:rsidP="006F0DE9">
            <w:pPr>
              <w:rPr>
                <w:rFonts w:cs="Arial"/>
                <w:sz w:val="20"/>
              </w:rPr>
            </w:pPr>
            <w:r>
              <w:rPr>
                <w:rFonts w:cs="Arial"/>
                <w:sz w:val="20"/>
              </w:rPr>
              <w:t>NA</w:t>
            </w:r>
          </w:p>
        </w:tc>
        <w:tc>
          <w:tcPr>
            <w:tcW w:w="1235" w:type="pct"/>
            <w:shd w:val="clear" w:color="auto" w:fill="auto"/>
          </w:tcPr>
          <w:p w14:paraId="2DD13BB9" w14:textId="77777777" w:rsidR="00EC07BA" w:rsidRPr="001D53D9" w:rsidRDefault="00402D13" w:rsidP="00402D13">
            <w:pPr>
              <w:jc w:val="center"/>
              <w:rPr>
                <w:rFonts w:cs="Arial"/>
                <w:sz w:val="20"/>
              </w:rPr>
            </w:pPr>
            <w:r>
              <w:rPr>
                <w:rFonts w:cs="Arial"/>
                <w:sz w:val="20"/>
              </w:rPr>
              <w:t>NA</w:t>
            </w:r>
          </w:p>
        </w:tc>
        <w:tc>
          <w:tcPr>
            <w:tcW w:w="1915" w:type="pct"/>
            <w:shd w:val="clear" w:color="auto" w:fill="auto"/>
          </w:tcPr>
          <w:p w14:paraId="4EECF3E2" w14:textId="77777777" w:rsidR="00EC07BA" w:rsidRPr="001D53D9" w:rsidRDefault="00402D13" w:rsidP="00402D13">
            <w:pPr>
              <w:jc w:val="center"/>
              <w:rPr>
                <w:rFonts w:cs="Arial"/>
                <w:sz w:val="20"/>
              </w:rPr>
            </w:pPr>
            <w:r>
              <w:rPr>
                <w:rFonts w:cs="Arial"/>
                <w:sz w:val="20"/>
              </w:rPr>
              <w:t>NA</w:t>
            </w:r>
          </w:p>
        </w:tc>
        <w:tc>
          <w:tcPr>
            <w:tcW w:w="1104" w:type="pct"/>
            <w:shd w:val="clear" w:color="auto" w:fill="auto"/>
          </w:tcPr>
          <w:p w14:paraId="73551079" w14:textId="77777777" w:rsidR="00EC07BA" w:rsidRPr="001D53D9" w:rsidRDefault="00402D13" w:rsidP="00402D13">
            <w:pPr>
              <w:jc w:val="center"/>
              <w:rPr>
                <w:rFonts w:cs="Arial"/>
                <w:sz w:val="20"/>
              </w:rPr>
            </w:pPr>
            <w:r>
              <w:rPr>
                <w:rFonts w:cs="Arial"/>
                <w:sz w:val="20"/>
              </w:rPr>
              <w:t>NA</w:t>
            </w:r>
          </w:p>
        </w:tc>
      </w:tr>
    </w:tbl>
    <w:p w14:paraId="5AF46F83" w14:textId="77777777" w:rsidR="00C60E84" w:rsidRPr="00440957" w:rsidRDefault="00C60E84" w:rsidP="004F09CF">
      <w:pPr>
        <w:pStyle w:val="Heading2"/>
        <w:numPr>
          <w:ilvl w:val="0"/>
          <w:numId w:val="0"/>
        </w:numPr>
        <w:jc w:val="both"/>
        <w:rPr>
          <w:sz w:val="20"/>
        </w:rPr>
      </w:pPr>
      <w:bookmarkStart w:id="103" w:name="_Toc524520635"/>
      <w:r w:rsidRPr="00461D22">
        <w:rPr>
          <w:sz w:val="22"/>
          <w:szCs w:val="22"/>
        </w:rPr>
        <w:t>Appendix 7.  Emission Calculations</w:t>
      </w:r>
      <w:bookmarkEnd w:id="103"/>
      <w:r w:rsidRPr="00461D22">
        <w:rPr>
          <w:sz w:val="22"/>
          <w:szCs w:val="22"/>
        </w:rPr>
        <w:t xml:space="preserve"> </w:t>
      </w:r>
    </w:p>
    <w:p w14:paraId="6E66CDC1" w14:textId="77777777" w:rsidR="00402D13" w:rsidRDefault="00402D13" w:rsidP="004F09CF">
      <w:pPr>
        <w:jc w:val="both"/>
        <w:rPr>
          <w:sz w:val="20"/>
        </w:rPr>
      </w:pPr>
      <w:bookmarkStart w:id="104" w:name="_Toc377276143"/>
      <w:bookmarkStart w:id="105" w:name="_Toc377877183"/>
    </w:p>
    <w:p w14:paraId="78F044CB" w14:textId="77777777" w:rsidR="00C60E84" w:rsidRDefault="00C60E84" w:rsidP="004F09CF">
      <w:pPr>
        <w:jc w:val="both"/>
        <w:rPr>
          <w:sz w:val="20"/>
        </w:rPr>
      </w:pPr>
      <w:r w:rsidRPr="00B77C68">
        <w:rPr>
          <w:sz w:val="20"/>
        </w:rPr>
        <w:t>There are no specific emission calculations to be used for this ROP.  Therefore, this appendix is not applicable.</w:t>
      </w:r>
    </w:p>
    <w:p w14:paraId="348C1E4D" w14:textId="77777777" w:rsidR="00C60E84" w:rsidRPr="00461D22" w:rsidRDefault="00C60E84" w:rsidP="004F09CF">
      <w:pPr>
        <w:pStyle w:val="Heading2"/>
        <w:numPr>
          <w:ilvl w:val="0"/>
          <w:numId w:val="0"/>
        </w:numPr>
        <w:jc w:val="both"/>
        <w:rPr>
          <w:sz w:val="22"/>
          <w:szCs w:val="22"/>
        </w:rPr>
      </w:pPr>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bookmarkStart w:id="118" w:name="_Toc524520636"/>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E7341DE" w14:textId="77777777" w:rsidR="00C60E84" w:rsidRPr="00B77C68" w:rsidRDefault="00C60E84" w:rsidP="004F09CF">
      <w:pPr>
        <w:jc w:val="both"/>
        <w:rPr>
          <w:sz w:val="20"/>
        </w:rPr>
      </w:pPr>
    </w:p>
    <w:p w14:paraId="26B2CFF2"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4E038C7" w14:textId="77777777" w:rsidR="00C60E84" w:rsidRPr="0080590E" w:rsidRDefault="00C60E84" w:rsidP="004F09CF">
      <w:pPr>
        <w:jc w:val="both"/>
        <w:rPr>
          <w:sz w:val="20"/>
        </w:rPr>
      </w:pPr>
    </w:p>
    <w:p w14:paraId="18EEF72C" w14:textId="77777777" w:rsidR="00C60E84" w:rsidRPr="00B77C68" w:rsidRDefault="00C60E84" w:rsidP="004F09CF">
      <w:pPr>
        <w:jc w:val="both"/>
        <w:rPr>
          <w:sz w:val="20"/>
        </w:rPr>
      </w:pPr>
      <w:r w:rsidRPr="00B77C68">
        <w:rPr>
          <w:sz w:val="20"/>
        </w:rPr>
        <w:t xml:space="preserve">The permittee shall use the </w:t>
      </w:r>
      <w:r w:rsidR="00BC48DF">
        <w:rPr>
          <w:sz w:val="20"/>
        </w:rPr>
        <w:t>MDEQ</w:t>
      </w:r>
      <w:r w:rsidR="008526A1">
        <w:rPr>
          <w:sz w:val="20"/>
        </w:rPr>
        <w:t>, AQD,</w:t>
      </w:r>
      <w:r w:rsidRPr="00B77C68">
        <w:rPr>
          <w:sz w:val="20"/>
        </w:rPr>
        <w:t xml:space="preserve"> Report Certification form (EQP 5736) and </w:t>
      </w:r>
      <w:r w:rsidR="00BC48DF">
        <w:rPr>
          <w:sz w:val="20"/>
        </w:rPr>
        <w:t>MDEQ</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28D1466" w14:textId="77777777" w:rsidR="00C60E84" w:rsidRPr="00B77C68" w:rsidRDefault="00C60E84" w:rsidP="004F09CF">
      <w:pPr>
        <w:jc w:val="both"/>
        <w:rPr>
          <w:sz w:val="20"/>
        </w:rPr>
      </w:pPr>
    </w:p>
    <w:p w14:paraId="1954567D" w14:textId="77777777" w:rsidR="00C60E84" w:rsidRPr="00B77C68" w:rsidRDefault="00C60E84" w:rsidP="004F09CF">
      <w:pPr>
        <w:jc w:val="both"/>
        <w:rPr>
          <w:b/>
          <w:sz w:val="20"/>
        </w:rPr>
      </w:pPr>
      <w:r w:rsidRPr="00B77C68">
        <w:rPr>
          <w:b/>
          <w:sz w:val="20"/>
        </w:rPr>
        <w:t>B.  Other Reporting</w:t>
      </w:r>
    </w:p>
    <w:p w14:paraId="5386AD2F" w14:textId="77777777" w:rsidR="00C60E84" w:rsidRPr="00B77C68" w:rsidRDefault="00C60E84" w:rsidP="004F09CF">
      <w:pPr>
        <w:jc w:val="both"/>
        <w:rPr>
          <w:sz w:val="20"/>
        </w:rPr>
      </w:pPr>
    </w:p>
    <w:p w14:paraId="70AED19E"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1"/>
      <w:bookmarkEnd w:id="92"/>
      <w:bookmarkEnd w:id="93"/>
      <w:bookmarkEnd w:id="94"/>
      <w:bookmarkEnd w:id="95"/>
      <w:bookmarkEnd w:id="96"/>
      <w:bookmarkEnd w:id="97"/>
      <w:bookmarkEnd w:id="98"/>
    </w:p>
    <w:p w14:paraId="7DAC89AA" w14:textId="77777777" w:rsidR="005207F9" w:rsidRDefault="005207F9" w:rsidP="004F09CF">
      <w:pPr>
        <w:jc w:val="both"/>
        <w:rPr>
          <w:sz w:val="20"/>
        </w:rPr>
      </w:pPr>
    </w:p>
    <w:p w14:paraId="5F2A34EB" w14:textId="77777777" w:rsidR="005207F9" w:rsidRDefault="005207F9" w:rsidP="004F09CF">
      <w:pPr>
        <w:jc w:val="both"/>
        <w:rPr>
          <w:sz w:val="20"/>
        </w:rPr>
      </w:pPr>
    </w:p>
    <w:sectPr w:rsidR="005207F9" w:rsidSect="00723C92">
      <w:headerReference w:type="default" r:id="rId8"/>
      <w:footerReference w:type="even" r:id="rId9"/>
      <w:footerReference w:type="defaul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D15F1" w14:textId="77777777" w:rsidR="00B40509" w:rsidRDefault="00B40509">
      <w:r>
        <w:separator/>
      </w:r>
    </w:p>
  </w:endnote>
  <w:endnote w:type="continuationSeparator" w:id="0">
    <w:p w14:paraId="38623DED" w14:textId="77777777" w:rsidR="00B40509" w:rsidRDefault="00B4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31E0A" w14:textId="77777777" w:rsidR="00B40509" w:rsidRDefault="00B40509"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4454C1" w14:textId="77777777" w:rsidR="00B40509" w:rsidRDefault="00B40509"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10B3" w14:textId="77777777" w:rsidR="00B40509" w:rsidRPr="001F649E" w:rsidRDefault="00B40509"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7F9D6" w14:textId="77777777" w:rsidR="00B40509" w:rsidRPr="0060772E" w:rsidRDefault="00B40509"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1515D" w14:textId="77777777" w:rsidR="00B40509" w:rsidRDefault="00B40509">
      <w:r>
        <w:separator/>
      </w:r>
    </w:p>
  </w:footnote>
  <w:footnote w:type="continuationSeparator" w:id="0">
    <w:p w14:paraId="30F7F298" w14:textId="77777777" w:rsidR="00B40509" w:rsidRDefault="00B40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C5E83" w14:textId="515C8F87" w:rsidR="00B40509" w:rsidRPr="002339A7" w:rsidRDefault="00B40509" w:rsidP="002332C3">
    <w:pPr>
      <w:pStyle w:val="Header"/>
      <w:tabs>
        <w:tab w:val="clear" w:pos="8640"/>
        <w:tab w:val="left" w:pos="6660"/>
      </w:tabs>
      <w:rPr>
        <w:rFonts w:cs="Arial"/>
        <w:sz w:val="20"/>
      </w:rPr>
    </w:pPr>
    <w:r>
      <w:rPr>
        <w:b/>
        <w:color w:val="FF0000"/>
        <w:sz w:val="28"/>
      </w:rPr>
      <w:tab/>
    </w:r>
    <w:r>
      <w:rPr>
        <w:b/>
        <w:sz w:val="28"/>
      </w:rPr>
      <w:tab/>
    </w:r>
    <w:r w:rsidRPr="002339A7">
      <w:rPr>
        <w:rFonts w:cs="Arial"/>
        <w:sz w:val="20"/>
      </w:rPr>
      <w:t>ROP No:  MI-ROP-</w:t>
    </w:r>
    <w:bookmarkStart w:id="119" w:name="bSRN4"/>
    <w:bookmarkEnd w:id="119"/>
    <w:r>
      <w:rPr>
        <w:rFonts w:cs="Arial"/>
        <w:sz w:val="20"/>
      </w:rPr>
      <w:t>N5575-</w:t>
    </w:r>
    <w:bookmarkStart w:id="120" w:name="bIssueYear3"/>
    <w:bookmarkEnd w:id="120"/>
    <w:r>
      <w:rPr>
        <w:rFonts w:cs="Arial"/>
        <w:sz w:val="20"/>
      </w:rPr>
      <w:t>2018</w:t>
    </w:r>
  </w:p>
  <w:p w14:paraId="68A2C086" w14:textId="09C9878C" w:rsidR="00B40509" w:rsidRPr="005C1928" w:rsidRDefault="00B40509"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1" w:name="bExpireDate2"/>
    <w:bookmarkEnd w:id="121"/>
    <w:r>
      <w:rPr>
        <w:rFonts w:cs="Arial"/>
        <w:sz w:val="20"/>
      </w:rPr>
      <w:t>September 12, 2023</w:t>
    </w:r>
  </w:p>
  <w:p w14:paraId="46C0B51D" w14:textId="4287F592" w:rsidR="00B40509" w:rsidRDefault="00B40509" w:rsidP="005C1928">
    <w:pPr>
      <w:pStyle w:val="Header"/>
      <w:tabs>
        <w:tab w:val="left" w:pos="6660"/>
      </w:tabs>
      <w:rPr>
        <w:sz w:val="20"/>
      </w:rPr>
    </w:pPr>
    <w:r w:rsidRPr="005C1928">
      <w:rPr>
        <w:sz w:val="20"/>
      </w:rPr>
      <w:tab/>
    </w:r>
    <w:r w:rsidRPr="005C1928">
      <w:rPr>
        <w:sz w:val="20"/>
      </w:rPr>
      <w:tab/>
      <w:t>PTI</w:t>
    </w:r>
    <w:r>
      <w:rPr>
        <w:sz w:val="20"/>
      </w:rPr>
      <w:t xml:space="preserve"> No:  MI-PTI-</w:t>
    </w:r>
    <w:bookmarkStart w:id="122" w:name="bSRN5"/>
    <w:bookmarkEnd w:id="122"/>
    <w:r>
      <w:rPr>
        <w:sz w:val="20"/>
      </w:rPr>
      <w:t>N5575-</w:t>
    </w:r>
    <w:bookmarkStart w:id="123" w:name="bIssueYear4"/>
    <w:bookmarkEnd w:id="123"/>
    <w:r>
      <w:rPr>
        <w:sz w:val="20"/>
      </w:rPr>
      <w:t>2018</w:t>
    </w:r>
  </w:p>
  <w:p w14:paraId="69F0EA9B" w14:textId="77777777" w:rsidR="00B40509" w:rsidRDefault="00B40509" w:rsidP="005C1928">
    <w:pPr>
      <w:pStyle w:val="Header"/>
      <w:tabs>
        <w:tab w:val="left" w:pos="6660"/>
      </w:tabs>
      <w:rPr>
        <w:rFonts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863C06"/>
    <w:multiLevelType w:val="hybridMultilevel"/>
    <w:tmpl w:val="E8F0F286"/>
    <w:lvl w:ilvl="0" w:tplc="A85C56C4">
      <w:start w:val="7"/>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97D4C"/>
    <w:multiLevelType w:val="hybridMultilevel"/>
    <w:tmpl w:val="5B683C68"/>
    <w:lvl w:ilvl="0" w:tplc="2604E76E">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B370039"/>
    <w:multiLevelType w:val="hybridMultilevel"/>
    <w:tmpl w:val="FBAEDF08"/>
    <w:lvl w:ilvl="0" w:tplc="04EE8FFE">
      <w:start w:val="13"/>
      <w:numFmt w:val="decimal"/>
      <w:lvlText w:val="%1."/>
      <w:lvlJc w:val="left"/>
      <w:pPr>
        <w:ind w:left="360" w:hanging="360"/>
      </w:pPr>
      <w:rPr>
        <w:rFonts w:hint="default"/>
        <w:b w:val="0"/>
      </w:rPr>
    </w:lvl>
    <w:lvl w:ilvl="1" w:tplc="A2761D28">
      <w:start w:val="1"/>
      <w:numFmt w:val="lowerLetter"/>
      <w:lvlText w:val="%2."/>
      <w:lvlJc w:val="left"/>
      <w:pPr>
        <w:ind w:left="1440" w:hanging="360"/>
      </w:pPr>
      <w:rPr>
        <w:b w:val="0"/>
      </w:rPr>
    </w:lvl>
    <w:lvl w:ilvl="2" w:tplc="C428C160">
      <w:start w:val="1"/>
      <w:numFmt w:val="lowerRoman"/>
      <w:lvlText w:val="%3."/>
      <w:lvlJc w:val="right"/>
      <w:pPr>
        <w:ind w:left="2160" w:hanging="180"/>
      </w:pPr>
      <w:rPr>
        <w:rFonts w:ascii="Arial" w:hAnsi="Arial" w:hint="default"/>
        <w:b w:val="0"/>
        <w:i w:val="0"/>
        <w:sz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30619"/>
    <w:multiLevelType w:val="hybridMultilevel"/>
    <w:tmpl w:val="385C90BA"/>
    <w:lvl w:ilvl="0" w:tplc="8C54DF40">
      <w:start w:val="3"/>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D0306"/>
    <w:multiLevelType w:val="hybridMultilevel"/>
    <w:tmpl w:val="7470483C"/>
    <w:lvl w:ilvl="0" w:tplc="3AF2B496">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5B6885"/>
    <w:multiLevelType w:val="hybridMultilevel"/>
    <w:tmpl w:val="22B8754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932135"/>
    <w:multiLevelType w:val="hybridMultilevel"/>
    <w:tmpl w:val="C3DEB202"/>
    <w:lvl w:ilvl="0" w:tplc="04090011">
      <w:start w:val="1"/>
      <w:numFmt w:val="decimal"/>
      <w:lvlText w:val="%1)"/>
      <w:lvlJc w:val="left"/>
      <w:pPr>
        <w:ind w:left="1440" w:hanging="360"/>
      </w:pPr>
      <w:rPr>
        <w:rFonts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1D7D70"/>
    <w:multiLevelType w:val="hybridMultilevel"/>
    <w:tmpl w:val="2A1E2D3A"/>
    <w:lvl w:ilvl="0" w:tplc="68C0FC8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D437BD8"/>
    <w:multiLevelType w:val="hybridMultilevel"/>
    <w:tmpl w:val="78748732"/>
    <w:lvl w:ilvl="0" w:tplc="4B62725A">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450300"/>
    <w:multiLevelType w:val="hybridMultilevel"/>
    <w:tmpl w:val="9AEE42D4"/>
    <w:lvl w:ilvl="0" w:tplc="068C7F0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08E3761"/>
    <w:multiLevelType w:val="hybridMultilevel"/>
    <w:tmpl w:val="1FB84646"/>
    <w:lvl w:ilvl="0" w:tplc="6248C0A0">
      <w:start w:val="5"/>
      <w:numFmt w:val="decimal"/>
      <w:lvlText w:val="%1."/>
      <w:lvlJc w:val="left"/>
      <w:pPr>
        <w:ind w:left="36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444B2D60"/>
    <w:multiLevelType w:val="hybridMultilevel"/>
    <w:tmpl w:val="90720CBC"/>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5C19E2"/>
    <w:multiLevelType w:val="hybridMultilevel"/>
    <w:tmpl w:val="6610CBF2"/>
    <w:lvl w:ilvl="0" w:tplc="304C56F0">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B722760"/>
    <w:multiLevelType w:val="hybridMultilevel"/>
    <w:tmpl w:val="AC7A52E4"/>
    <w:lvl w:ilvl="0" w:tplc="946A2944">
      <w:start w:val="5"/>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469776B"/>
    <w:multiLevelType w:val="hybridMultilevel"/>
    <w:tmpl w:val="715AEC28"/>
    <w:lvl w:ilvl="0" w:tplc="4586B6C0">
      <w:start w:val="2"/>
      <w:numFmt w:val="lowerLetter"/>
      <w:lvlText w:val="%1."/>
      <w:lvlJc w:val="left"/>
      <w:pPr>
        <w:tabs>
          <w:tab w:val="num" w:pos="720"/>
        </w:tabs>
        <w:ind w:left="720" w:hanging="360"/>
      </w:pPr>
      <w:rPr>
        <w:rFonts w:hint="default"/>
      </w:rPr>
    </w:lvl>
    <w:lvl w:ilvl="1" w:tplc="5330CD64">
      <w:start w:val="4"/>
      <w:numFmt w:val="decimal"/>
      <w:lvlText w:val="%2."/>
      <w:lvlJc w:val="left"/>
      <w:pPr>
        <w:tabs>
          <w:tab w:val="num" w:pos="360"/>
        </w:tabs>
        <w:ind w:left="36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28A1AC5"/>
    <w:multiLevelType w:val="hybridMultilevel"/>
    <w:tmpl w:val="78B88CC8"/>
    <w:lvl w:ilvl="0" w:tplc="A7B09E5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35C084A"/>
    <w:multiLevelType w:val="hybridMultilevel"/>
    <w:tmpl w:val="55145378"/>
    <w:lvl w:ilvl="0" w:tplc="38A6CB5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862264"/>
    <w:multiLevelType w:val="hybridMultilevel"/>
    <w:tmpl w:val="142C1B5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C886BB6"/>
    <w:multiLevelType w:val="hybridMultilevel"/>
    <w:tmpl w:val="31FAC9A8"/>
    <w:lvl w:ilvl="0" w:tplc="D3E0D3D6">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6"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57F5813"/>
    <w:multiLevelType w:val="hybridMultilevel"/>
    <w:tmpl w:val="0246874C"/>
    <w:lvl w:ilvl="0" w:tplc="0E22AA2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ED63AD"/>
    <w:multiLevelType w:val="hybridMultilevel"/>
    <w:tmpl w:val="04D6CF1A"/>
    <w:lvl w:ilvl="0" w:tplc="1F1484C0">
      <w:start w:val="3"/>
      <w:numFmt w:val="decimal"/>
      <w:lvlText w:val="%1."/>
      <w:lvlJc w:val="left"/>
      <w:pPr>
        <w:tabs>
          <w:tab w:val="num" w:pos="360"/>
        </w:tabs>
        <w:ind w:left="360" w:hanging="360"/>
      </w:pPr>
      <w:rPr>
        <w:rFonts w:hint="default"/>
        <w:b w:val="0"/>
      </w:rPr>
    </w:lvl>
    <w:lvl w:ilvl="1" w:tplc="4F5CD4C0">
      <w:start w:val="1"/>
      <w:numFmt w:val="lowerLetter"/>
      <w:lvlText w:val="%2."/>
      <w:lvlJc w:val="left"/>
      <w:pPr>
        <w:tabs>
          <w:tab w:val="num" w:pos="720"/>
        </w:tabs>
        <w:ind w:left="720" w:hanging="360"/>
      </w:pPr>
      <w:rPr>
        <w:rFonts w:hint="default"/>
        <w:b w:val="0"/>
      </w:rPr>
    </w:lvl>
    <w:lvl w:ilvl="2" w:tplc="401E541E">
      <w:start w:val="1"/>
      <w:numFmt w:val="lowerRoman"/>
      <w:lvlText w:val="%3."/>
      <w:lvlJc w:val="left"/>
      <w:pPr>
        <w:tabs>
          <w:tab w:val="num" w:pos="1080"/>
        </w:tabs>
        <w:ind w:left="108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5F45588"/>
    <w:multiLevelType w:val="hybridMultilevel"/>
    <w:tmpl w:val="3182947E"/>
    <w:lvl w:ilvl="0" w:tplc="6ECE5CFE">
      <w:start w:val="8"/>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77C64526"/>
    <w:multiLevelType w:val="hybridMultilevel"/>
    <w:tmpl w:val="0FEC41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FC443D"/>
    <w:multiLevelType w:val="hybridMultilevel"/>
    <w:tmpl w:val="1F7673E6"/>
    <w:lvl w:ilvl="0" w:tplc="7338983E">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3"/>
  </w:num>
  <w:num w:numId="3">
    <w:abstractNumId w:val="13"/>
  </w:num>
  <w:num w:numId="4">
    <w:abstractNumId w:val="41"/>
  </w:num>
  <w:num w:numId="5">
    <w:abstractNumId w:val="2"/>
  </w:num>
  <w:num w:numId="6">
    <w:abstractNumId w:val="65"/>
  </w:num>
  <w:num w:numId="7">
    <w:abstractNumId w:val="38"/>
  </w:num>
  <w:num w:numId="8">
    <w:abstractNumId w:val="51"/>
  </w:num>
  <w:num w:numId="9">
    <w:abstractNumId w:val="12"/>
  </w:num>
  <w:num w:numId="10">
    <w:abstractNumId w:val="27"/>
  </w:num>
  <w:num w:numId="11">
    <w:abstractNumId w:val="43"/>
  </w:num>
  <w:num w:numId="12">
    <w:abstractNumId w:val="60"/>
  </w:num>
  <w:num w:numId="13">
    <w:abstractNumId w:val="50"/>
  </w:num>
  <w:num w:numId="14">
    <w:abstractNumId w:val="9"/>
  </w:num>
  <w:num w:numId="15">
    <w:abstractNumId w:val="64"/>
  </w:num>
  <w:num w:numId="16">
    <w:abstractNumId w:val="53"/>
  </w:num>
  <w:num w:numId="17">
    <w:abstractNumId w:val="20"/>
  </w:num>
  <w:num w:numId="18">
    <w:abstractNumId w:val="47"/>
  </w:num>
  <w:num w:numId="19">
    <w:abstractNumId w:val="45"/>
  </w:num>
  <w:num w:numId="20">
    <w:abstractNumId w:val="11"/>
  </w:num>
  <w:num w:numId="21">
    <w:abstractNumId w:val="23"/>
  </w:num>
  <w:num w:numId="22">
    <w:abstractNumId w:val="29"/>
  </w:num>
  <w:num w:numId="23">
    <w:abstractNumId w:val="0"/>
  </w:num>
  <w:num w:numId="24">
    <w:abstractNumId w:val="40"/>
  </w:num>
  <w:num w:numId="25">
    <w:abstractNumId w:val="34"/>
  </w:num>
  <w:num w:numId="26">
    <w:abstractNumId w:val="30"/>
  </w:num>
  <w:num w:numId="27">
    <w:abstractNumId w:val="36"/>
  </w:num>
  <w:num w:numId="28">
    <w:abstractNumId w:val="66"/>
  </w:num>
  <w:num w:numId="29">
    <w:abstractNumId w:val="21"/>
  </w:num>
  <w:num w:numId="30">
    <w:abstractNumId w:val="37"/>
  </w:num>
  <w:num w:numId="31">
    <w:abstractNumId w:val="7"/>
  </w:num>
  <w:num w:numId="32">
    <w:abstractNumId w:val="39"/>
  </w:num>
  <w:num w:numId="33">
    <w:abstractNumId w:val="16"/>
  </w:num>
  <w:num w:numId="34">
    <w:abstractNumId w:val="1"/>
  </w:num>
  <w:num w:numId="35">
    <w:abstractNumId w:val="32"/>
  </w:num>
  <w:num w:numId="36">
    <w:abstractNumId w:val="31"/>
  </w:num>
  <w:num w:numId="37">
    <w:abstractNumId w:val="19"/>
  </w:num>
  <w:num w:numId="38">
    <w:abstractNumId w:val="14"/>
  </w:num>
  <w:num w:numId="39">
    <w:abstractNumId w:val="54"/>
  </w:num>
  <w:num w:numId="40">
    <w:abstractNumId w:val="42"/>
  </w:num>
  <w:num w:numId="41">
    <w:abstractNumId w:val="58"/>
  </w:num>
  <w:num w:numId="42">
    <w:abstractNumId w:val="44"/>
  </w:num>
  <w:num w:numId="43">
    <w:abstractNumId w:val="22"/>
  </w:num>
  <w:num w:numId="44">
    <w:abstractNumId w:val="35"/>
  </w:num>
  <w:num w:numId="45">
    <w:abstractNumId w:val="10"/>
  </w:num>
  <w:num w:numId="46">
    <w:abstractNumId w:val="48"/>
  </w:num>
  <w:num w:numId="47">
    <w:abstractNumId w:val="55"/>
  </w:num>
  <w:num w:numId="48">
    <w:abstractNumId w:val="26"/>
  </w:num>
  <w:num w:numId="49">
    <w:abstractNumId w:val="52"/>
  </w:num>
  <w:num w:numId="50">
    <w:abstractNumId w:val="24"/>
  </w:num>
  <w:num w:numId="51">
    <w:abstractNumId w:val="6"/>
  </w:num>
  <w:num w:numId="52">
    <w:abstractNumId w:val="62"/>
  </w:num>
  <w:num w:numId="53">
    <w:abstractNumId w:val="57"/>
  </w:num>
  <w:num w:numId="54">
    <w:abstractNumId w:val="28"/>
  </w:num>
  <w:num w:numId="55">
    <w:abstractNumId w:val="59"/>
  </w:num>
  <w:num w:numId="56">
    <w:abstractNumId w:val="25"/>
  </w:num>
  <w:num w:numId="57">
    <w:abstractNumId w:val="15"/>
  </w:num>
  <w:num w:numId="58">
    <w:abstractNumId w:val="56"/>
  </w:num>
  <w:num w:numId="59">
    <w:abstractNumId w:val="46"/>
  </w:num>
  <w:num w:numId="60">
    <w:abstractNumId w:val="18"/>
  </w:num>
  <w:num w:numId="61">
    <w:abstractNumId w:val="61"/>
  </w:num>
  <w:num w:numId="62">
    <w:abstractNumId w:val="33"/>
  </w:num>
  <w:num w:numId="63">
    <w:abstractNumId w:val="3"/>
  </w:num>
  <w:num w:numId="64">
    <w:abstractNumId w:val="17"/>
  </w:num>
  <w:num w:numId="65">
    <w:abstractNumId w:val="49"/>
  </w:num>
  <w:num w:numId="66">
    <w:abstractNumId w:val="8"/>
  </w:num>
  <w:num w:numId="67">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UtcqLse1s62f5OPm0gTXhr1lMhiU1Z4Aw1OAQA3eBm0tcaZtXesMYEAJL5w0xEHWs7pN5hhMLCQyC1gVz1kxg==" w:salt="i50Xm3XGB1ZpBoTAS+6nNQ=="/>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03"/>
    <w:rsid w:val="000000B9"/>
    <w:rsid w:val="000067DD"/>
    <w:rsid w:val="00006871"/>
    <w:rsid w:val="000069B5"/>
    <w:rsid w:val="00006A4E"/>
    <w:rsid w:val="00006F92"/>
    <w:rsid w:val="000112F8"/>
    <w:rsid w:val="00012E33"/>
    <w:rsid w:val="00014082"/>
    <w:rsid w:val="00017E74"/>
    <w:rsid w:val="00020F12"/>
    <w:rsid w:val="00021E1F"/>
    <w:rsid w:val="00021F93"/>
    <w:rsid w:val="00024091"/>
    <w:rsid w:val="000243E8"/>
    <w:rsid w:val="00025A80"/>
    <w:rsid w:val="0002792B"/>
    <w:rsid w:val="000317CC"/>
    <w:rsid w:val="000363C9"/>
    <w:rsid w:val="000363E8"/>
    <w:rsid w:val="000369CC"/>
    <w:rsid w:val="00040921"/>
    <w:rsid w:val="0004217B"/>
    <w:rsid w:val="0004371D"/>
    <w:rsid w:val="00044CCA"/>
    <w:rsid w:val="000507AD"/>
    <w:rsid w:val="000509C6"/>
    <w:rsid w:val="00054BBF"/>
    <w:rsid w:val="00055028"/>
    <w:rsid w:val="000577A6"/>
    <w:rsid w:val="00057F26"/>
    <w:rsid w:val="00060C42"/>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4308"/>
    <w:rsid w:val="00075EF4"/>
    <w:rsid w:val="00080036"/>
    <w:rsid w:val="00081762"/>
    <w:rsid w:val="000822B4"/>
    <w:rsid w:val="00083866"/>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59D1"/>
    <w:rsid w:val="000A7F2B"/>
    <w:rsid w:val="000B1FCA"/>
    <w:rsid w:val="000B3A18"/>
    <w:rsid w:val="000B59E4"/>
    <w:rsid w:val="000B5B9C"/>
    <w:rsid w:val="000B692A"/>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E0860"/>
    <w:rsid w:val="000E192A"/>
    <w:rsid w:val="000E2279"/>
    <w:rsid w:val="000E2596"/>
    <w:rsid w:val="000E4153"/>
    <w:rsid w:val="000E4E06"/>
    <w:rsid w:val="000E6FEF"/>
    <w:rsid w:val="000E756D"/>
    <w:rsid w:val="000F036D"/>
    <w:rsid w:val="000F14DA"/>
    <w:rsid w:val="000F23D6"/>
    <w:rsid w:val="000F2439"/>
    <w:rsid w:val="000F256D"/>
    <w:rsid w:val="000F3188"/>
    <w:rsid w:val="000F32FF"/>
    <w:rsid w:val="000F4B60"/>
    <w:rsid w:val="000F67EE"/>
    <w:rsid w:val="0010097A"/>
    <w:rsid w:val="00101186"/>
    <w:rsid w:val="00103446"/>
    <w:rsid w:val="0010367F"/>
    <w:rsid w:val="001041B1"/>
    <w:rsid w:val="00104849"/>
    <w:rsid w:val="00105176"/>
    <w:rsid w:val="001055B3"/>
    <w:rsid w:val="00107D12"/>
    <w:rsid w:val="00112782"/>
    <w:rsid w:val="00112871"/>
    <w:rsid w:val="00112B81"/>
    <w:rsid w:val="00112CA0"/>
    <w:rsid w:val="00114C6F"/>
    <w:rsid w:val="001152DA"/>
    <w:rsid w:val="00116158"/>
    <w:rsid w:val="00117BC4"/>
    <w:rsid w:val="00117BC6"/>
    <w:rsid w:val="001217AC"/>
    <w:rsid w:val="0012240D"/>
    <w:rsid w:val="0012743F"/>
    <w:rsid w:val="00127459"/>
    <w:rsid w:val="0013346B"/>
    <w:rsid w:val="00133F34"/>
    <w:rsid w:val="00135A89"/>
    <w:rsid w:val="001375CA"/>
    <w:rsid w:val="00142D38"/>
    <w:rsid w:val="00146AA5"/>
    <w:rsid w:val="00151027"/>
    <w:rsid w:val="001515E9"/>
    <w:rsid w:val="00152BC7"/>
    <w:rsid w:val="00152C77"/>
    <w:rsid w:val="00153FA5"/>
    <w:rsid w:val="00156668"/>
    <w:rsid w:val="00160359"/>
    <w:rsid w:val="00162A6E"/>
    <w:rsid w:val="001632B0"/>
    <w:rsid w:val="001648B5"/>
    <w:rsid w:val="001656C0"/>
    <w:rsid w:val="001671A4"/>
    <w:rsid w:val="001673B4"/>
    <w:rsid w:val="00167F81"/>
    <w:rsid w:val="00171611"/>
    <w:rsid w:val="00171CB6"/>
    <w:rsid w:val="0017221D"/>
    <w:rsid w:val="0017445C"/>
    <w:rsid w:val="001758FC"/>
    <w:rsid w:val="0017594B"/>
    <w:rsid w:val="001761C5"/>
    <w:rsid w:val="00180C7F"/>
    <w:rsid w:val="0018372C"/>
    <w:rsid w:val="001838ED"/>
    <w:rsid w:val="00186EBC"/>
    <w:rsid w:val="001877F3"/>
    <w:rsid w:val="00190ABB"/>
    <w:rsid w:val="00196614"/>
    <w:rsid w:val="001973B2"/>
    <w:rsid w:val="001A1D50"/>
    <w:rsid w:val="001A30DB"/>
    <w:rsid w:val="001A3AAD"/>
    <w:rsid w:val="001A6C24"/>
    <w:rsid w:val="001A702B"/>
    <w:rsid w:val="001B25BC"/>
    <w:rsid w:val="001B2916"/>
    <w:rsid w:val="001B383F"/>
    <w:rsid w:val="001B3DC0"/>
    <w:rsid w:val="001B53FC"/>
    <w:rsid w:val="001B5ACB"/>
    <w:rsid w:val="001B5E34"/>
    <w:rsid w:val="001C3773"/>
    <w:rsid w:val="001C3EEA"/>
    <w:rsid w:val="001C432A"/>
    <w:rsid w:val="001C5405"/>
    <w:rsid w:val="001C614B"/>
    <w:rsid w:val="001C6DB8"/>
    <w:rsid w:val="001C6DD2"/>
    <w:rsid w:val="001D288F"/>
    <w:rsid w:val="001D4151"/>
    <w:rsid w:val="001D4191"/>
    <w:rsid w:val="001D464A"/>
    <w:rsid w:val="001D58B9"/>
    <w:rsid w:val="001D6893"/>
    <w:rsid w:val="001E1249"/>
    <w:rsid w:val="001E1B5E"/>
    <w:rsid w:val="001E2AF2"/>
    <w:rsid w:val="001E5069"/>
    <w:rsid w:val="001E714D"/>
    <w:rsid w:val="001F02BE"/>
    <w:rsid w:val="001F15C6"/>
    <w:rsid w:val="001F25A4"/>
    <w:rsid w:val="001F3E8E"/>
    <w:rsid w:val="001F61EC"/>
    <w:rsid w:val="001F649E"/>
    <w:rsid w:val="001F7DDD"/>
    <w:rsid w:val="0020199D"/>
    <w:rsid w:val="00201DE4"/>
    <w:rsid w:val="0020556E"/>
    <w:rsid w:val="00216128"/>
    <w:rsid w:val="0022115A"/>
    <w:rsid w:val="00221386"/>
    <w:rsid w:val="0022171F"/>
    <w:rsid w:val="002246C0"/>
    <w:rsid w:val="002251DA"/>
    <w:rsid w:val="00226013"/>
    <w:rsid w:val="002266D2"/>
    <w:rsid w:val="00230346"/>
    <w:rsid w:val="00231889"/>
    <w:rsid w:val="002332C3"/>
    <w:rsid w:val="00233961"/>
    <w:rsid w:val="00233E61"/>
    <w:rsid w:val="00234667"/>
    <w:rsid w:val="0023479A"/>
    <w:rsid w:val="00235B98"/>
    <w:rsid w:val="002413B2"/>
    <w:rsid w:val="00241B5D"/>
    <w:rsid w:val="002425DC"/>
    <w:rsid w:val="00244FD5"/>
    <w:rsid w:val="002465A7"/>
    <w:rsid w:val="00251830"/>
    <w:rsid w:val="002527A5"/>
    <w:rsid w:val="00252EB9"/>
    <w:rsid w:val="00254B38"/>
    <w:rsid w:val="00255675"/>
    <w:rsid w:val="0025601A"/>
    <w:rsid w:val="00256C88"/>
    <w:rsid w:val="00257A1A"/>
    <w:rsid w:val="0026033F"/>
    <w:rsid w:val="002635B0"/>
    <w:rsid w:val="00267C45"/>
    <w:rsid w:val="00270B7C"/>
    <w:rsid w:val="00272560"/>
    <w:rsid w:val="002745AE"/>
    <w:rsid w:val="0027572B"/>
    <w:rsid w:val="00276651"/>
    <w:rsid w:val="00277397"/>
    <w:rsid w:val="002779A5"/>
    <w:rsid w:val="002806DC"/>
    <w:rsid w:val="0028234D"/>
    <w:rsid w:val="00285F21"/>
    <w:rsid w:val="00287FE1"/>
    <w:rsid w:val="002916B2"/>
    <w:rsid w:val="002916F7"/>
    <w:rsid w:val="002917CF"/>
    <w:rsid w:val="002974B8"/>
    <w:rsid w:val="00297DB0"/>
    <w:rsid w:val="002A374B"/>
    <w:rsid w:val="002A4D24"/>
    <w:rsid w:val="002A4E09"/>
    <w:rsid w:val="002B2132"/>
    <w:rsid w:val="002B29E9"/>
    <w:rsid w:val="002B5413"/>
    <w:rsid w:val="002B5A0D"/>
    <w:rsid w:val="002B5ED5"/>
    <w:rsid w:val="002B5F18"/>
    <w:rsid w:val="002C152E"/>
    <w:rsid w:val="002C1EFD"/>
    <w:rsid w:val="002C529B"/>
    <w:rsid w:val="002C7CC5"/>
    <w:rsid w:val="002D6F00"/>
    <w:rsid w:val="002D6FB7"/>
    <w:rsid w:val="002D710E"/>
    <w:rsid w:val="002E10A6"/>
    <w:rsid w:val="002E3875"/>
    <w:rsid w:val="002E4DE5"/>
    <w:rsid w:val="002E6E40"/>
    <w:rsid w:val="002E6E9A"/>
    <w:rsid w:val="002F1A73"/>
    <w:rsid w:val="002F2615"/>
    <w:rsid w:val="002F307C"/>
    <w:rsid w:val="002F373C"/>
    <w:rsid w:val="002F4C64"/>
    <w:rsid w:val="002F4C9E"/>
    <w:rsid w:val="0030089A"/>
    <w:rsid w:val="003033E1"/>
    <w:rsid w:val="00304085"/>
    <w:rsid w:val="003042E2"/>
    <w:rsid w:val="00304770"/>
    <w:rsid w:val="00304852"/>
    <w:rsid w:val="003051A1"/>
    <w:rsid w:val="003052C8"/>
    <w:rsid w:val="003113BF"/>
    <w:rsid w:val="003163DA"/>
    <w:rsid w:val="0031787E"/>
    <w:rsid w:val="00322F56"/>
    <w:rsid w:val="003255D2"/>
    <w:rsid w:val="00327430"/>
    <w:rsid w:val="0033042D"/>
    <w:rsid w:val="00330626"/>
    <w:rsid w:val="003316BA"/>
    <w:rsid w:val="0033265F"/>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637"/>
    <w:rsid w:val="003557AC"/>
    <w:rsid w:val="00356360"/>
    <w:rsid w:val="003613B8"/>
    <w:rsid w:val="003625C7"/>
    <w:rsid w:val="003633AD"/>
    <w:rsid w:val="003647B9"/>
    <w:rsid w:val="00371AEB"/>
    <w:rsid w:val="00372E7C"/>
    <w:rsid w:val="00374A95"/>
    <w:rsid w:val="00375AE2"/>
    <w:rsid w:val="0038082B"/>
    <w:rsid w:val="00381994"/>
    <w:rsid w:val="00382004"/>
    <w:rsid w:val="00385F1E"/>
    <w:rsid w:val="0039080E"/>
    <w:rsid w:val="00390A50"/>
    <w:rsid w:val="003922C1"/>
    <w:rsid w:val="00393A6F"/>
    <w:rsid w:val="00395AB3"/>
    <w:rsid w:val="00395F98"/>
    <w:rsid w:val="00396734"/>
    <w:rsid w:val="003968B8"/>
    <w:rsid w:val="003A0E4B"/>
    <w:rsid w:val="003A13C1"/>
    <w:rsid w:val="003A28DA"/>
    <w:rsid w:val="003A327D"/>
    <w:rsid w:val="003A4268"/>
    <w:rsid w:val="003A52A1"/>
    <w:rsid w:val="003A6802"/>
    <w:rsid w:val="003B263F"/>
    <w:rsid w:val="003B3AB8"/>
    <w:rsid w:val="003B4A42"/>
    <w:rsid w:val="003C19DE"/>
    <w:rsid w:val="003C2679"/>
    <w:rsid w:val="003C4678"/>
    <w:rsid w:val="003C6E52"/>
    <w:rsid w:val="003C71D8"/>
    <w:rsid w:val="003D1052"/>
    <w:rsid w:val="003D35F5"/>
    <w:rsid w:val="003D3E97"/>
    <w:rsid w:val="003D4984"/>
    <w:rsid w:val="003D6E3F"/>
    <w:rsid w:val="003D753E"/>
    <w:rsid w:val="003E2836"/>
    <w:rsid w:val="003E514A"/>
    <w:rsid w:val="003F4905"/>
    <w:rsid w:val="003F5BE8"/>
    <w:rsid w:val="00402D13"/>
    <w:rsid w:val="00402F46"/>
    <w:rsid w:val="004032B7"/>
    <w:rsid w:val="00405CB3"/>
    <w:rsid w:val="0041064E"/>
    <w:rsid w:val="004132A7"/>
    <w:rsid w:val="00415A04"/>
    <w:rsid w:val="00415C8A"/>
    <w:rsid w:val="00416304"/>
    <w:rsid w:val="00420094"/>
    <w:rsid w:val="004249DD"/>
    <w:rsid w:val="00425031"/>
    <w:rsid w:val="004255EC"/>
    <w:rsid w:val="00427891"/>
    <w:rsid w:val="00430A3C"/>
    <w:rsid w:val="004315AE"/>
    <w:rsid w:val="00431A42"/>
    <w:rsid w:val="00431EA0"/>
    <w:rsid w:val="0043250B"/>
    <w:rsid w:val="00434344"/>
    <w:rsid w:val="00435A6A"/>
    <w:rsid w:val="004377EE"/>
    <w:rsid w:val="00440957"/>
    <w:rsid w:val="00442B4A"/>
    <w:rsid w:val="00442BF0"/>
    <w:rsid w:val="00445C28"/>
    <w:rsid w:val="004465A7"/>
    <w:rsid w:val="00447D64"/>
    <w:rsid w:val="00447DF3"/>
    <w:rsid w:val="00450590"/>
    <w:rsid w:val="004507AD"/>
    <w:rsid w:val="004544ED"/>
    <w:rsid w:val="004568E6"/>
    <w:rsid w:val="00456F47"/>
    <w:rsid w:val="00457073"/>
    <w:rsid w:val="004614AC"/>
    <w:rsid w:val="00461D11"/>
    <w:rsid w:val="00461D22"/>
    <w:rsid w:val="00461E40"/>
    <w:rsid w:val="00462A44"/>
    <w:rsid w:val="00462A82"/>
    <w:rsid w:val="004649EF"/>
    <w:rsid w:val="004651D3"/>
    <w:rsid w:val="00466618"/>
    <w:rsid w:val="00470192"/>
    <w:rsid w:val="00474174"/>
    <w:rsid w:val="0047449A"/>
    <w:rsid w:val="004747E9"/>
    <w:rsid w:val="00475C48"/>
    <w:rsid w:val="00477689"/>
    <w:rsid w:val="004825B1"/>
    <w:rsid w:val="00486140"/>
    <w:rsid w:val="00493E52"/>
    <w:rsid w:val="004945C4"/>
    <w:rsid w:val="00495101"/>
    <w:rsid w:val="004A23B7"/>
    <w:rsid w:val="004A2E0F"/>
    <w:rsid w:val="004A3CD0"/>
    <w:rsid w:val="004A46ED"/>
    <w:rsid w:val="004A47CD"/>
    <w:rsid w:val="004A4F2B"/>
    <w:rsid w:val="004A6666"/>
    <w:rsid w:val="004A6BB8"/>
    <w:rsid w:val="004A6C75"/>
    <w:rsid w:val="004A7DC8"/>
    <w:rsid w:val="004B2105"/>
    <w:rsid w:val="004B34D9"/>
    <w:rsid w:val="004B3E39"/>
    <w:rsid w:val="004B4509"/>
    <w:rsid w:val="004B4632"/>
    <w:rsid w:val="004B6755"/>
    <w:rsid w:val="004C0811"/>
    <w:rsid w:val="004C1BC6"/>
    <w:rsid w:val="004C1D64"/>
    <w:rsid w:val="004C26F1"/>
    <w:rsid w:val="004C3288"/>
    <w:rsid w:val="004C69F6"/>
    <w:rsid w:val="004C6C0D"/>
    <w:rsid w:val="004C7900"/>
    <w:rsid w:val="004D2084"/>
    <w:rsid w:val="004D269A"/>
    <w:rsid w:val="004D3F70"/>
    <w:rsid w:val="004D5E2D"/>
    <w:rsid w:val="004D609A"/>
    <w:rsid w:val="004D7E0E"/>
    <w:rsid w:val="004E0F42"/>
    <w:rsid w:val="004E101B"/>
    <w:rsid w:val="004E2DF9"/>
    <w:rsid w:val="004E384B"/>
    <w:rsid w:val="004F09CF"/>
    <w:rsid w:val="004F0E04"/>
    <w:rsid w:val="004F111B"/>
    <w:rsid w:val="004F1860"/>
    <w:rsid w:val="004F47B3"/>
    <w:rsid w:val="004F77DB"/>
    <w:rsid w:val="0050200E"/>
    <w:rsid w:val="005032BF"/>
    <w:rsid w:val="005035AE"/>
    <w:rsid w:val="00504297"/>
    <w:rsid w:val="0050707C"/>
    <w:rsid w:val="005114C5"/>
    <w:rsid w:val="0051355E"/>
    <w:rsid w:val="00514F56"/>
    <w:rsid w:val="005161BF"/>
    <w:rsid w:val="00516B00"/>
    <w:rsid w:val="00516DEF"/>
    <w:rsid w:val="00517D38"/>
    <w:rsid w:val="00517F80"/>
    <w:rsid w:val="005207F9"/>
    <w:rsid w:val="00523B02"/>
    <w:rsid w:val="005242A5"/>
    <w:rsid w:val="0052583B"/>
    <w:rsid w:val="00525D37"/>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38CA"/>
    <w:rsid w:val="00563986"/>
    <w:rsid w:val="00565415"/>
    <w:rsid w:val="00570FD5"/>
    <w:rsid w:val="0057321C"/>
    <w:rsid w:val="005774F5"/>
    <w:rsid w:val="00577783"/>
    <w:rsid w:val="00580207"/>
    <w:rsid w:val="0058196B"/>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6A09"/>
    <w:rsid w:val="005B7DF9"/>
    <w:rsid w:val="005C07D8"/>
    <w:rsid w:val="005C1928"/>
    <w:rsid w:val="005C5D89"/>
    <w:rsid w:val="005C6E7E"/>
    <w:rsid w:val="005D236B"/>
    <w:rsid w:val="005D2B82"/>
    <w:rsid w:val="005D41CA"/>
    <w:rsid w:val="005D48FB"/>
    <w:rsid w:val="005D5FBE"/>
    <w:rsid w:val="005E0EE9"/>
    <w:rsid w:val="005E2E5E"/>
    <w:rsid w:val="005E3E6D"/>
    <w:rsid w:val="005E40D0"/>
    <w:rsid w:val="005E5399"/>
    <w:rsid w:val="005E53AB"/>
    <w:rsid w:val="005E6377"/>
    <w:rsid w:val="005E71AE"/>
    <w:rsid w:val="005E74F9"/>
    <w:rsid w:val="005F071A"/>
    <w:rsid w:val="005F1071"/>
    <w:rsid w:val="005F2CC2"/>
    <w:rsid w:val="005F3060"/>
    <w:rsid w:val="005F70F5"/>
    <w:rsid w:val="00600524"/>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5CC6"/>
    <w:rsid w:val="0063764A"/>
    <w:rsid w:val="006377A6"/>
    <w:rsid w:val="006409E6"/>
    <w:rsid w:val="0064210C"/>
    <w:rsid w:val="0064283E"/>
    <w:rsid w:val="00642C98"/>
    <w:rsid w:val="00644C0E"/>
    <w:rsid w:val="00644DF8"/>
    <w:rsid w:val="00646B80"/>
    <w:rsid w:val="00646EB0"/>
    <w:rsid w:val="00650A8F"/>
    <w:rsid w:val="00650D0D"/>
    <w:rsid w:val="00651081"/>
    <w:rsid w:val="0065116B"/>
    <w:rsid w:val="006549C9"/>
    <w:rsid w:val="00655DC0"/>
    <w:rsid w:val="00656AC0"/>
    <w:rsid w:val="006615E2"/>
    <w:rsid w:val="00665478"/>
    <w:rsid w:val="0066595D"/>
    <w:rsid w:val="00670CDC"/>
    <w:rsid w:val="0067176C"/>
    <w:rsid w:val="00671FED"/>
    <w:rsid w:val="00672E09"/>
    <w:rsid w:val="00673358"/>
    <w:rsid w:val="00673BC8"/>
    <w:rsid w:val="00674FBC"/>
    <w:rsid w:val="00680067"/>
    <w:rsid w:val="00680676"/>
    <w:rsid w:val="0068205D"/>
    <w:rsid w:val="0068362D"/>
    <w:rsid w:val="00684018"/>
    <w:rsid w:val="006874EB"/>
    <w:rsid w:val="00690C5A"/>
    <w:rsid w:val="00690F0D"/>
    <w:rsid w:val="00691891"/>
    <w:rsid w:val="00693960"/>
    <w:rsid w:val="00694092"/>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6A43"/>
    <w:rsid w:val="006B6FBE"/>
    <w:rsid w:val="006C01BA"/>
    <w:rsid w:val="006C1682"/>
    <w:rsid w:val="006C17DA"/>
    <w:rsid w:val="006C185F"/>
    <w:rsid w:val="006C3B67"/>
    <w:rsid w:val="006C59C3"/>
    <w:rsid w:val="006D2A71"/>
    <w:rsid w:val="006D2B16"/>
    <w:rsid w:val="006D2EFC"/>
    <w:rsid w:val="006D36C8"/>
    <w:rsid w:val="006D4ED5"/>
    <w:rsid w:val="006D6436"/>
    <w:rsid w:val="006D7B66"/>
    <w:rsid w:val="006E30A7"/>
    <w:rsid w:val="006E3639"/>
    <w:rsid w:val="006E3F82"/>
    <w:rsid w:val="006E53B4"/>
    <w:rsid w:val="006E7E8E"/>
    <w:rsid w:val="006F0DE9"/>
    <w:rsid w:val="006F2C46"/>
    <w:rsid w:val="006F37A6"/>
    <w:rsid w:val="006F4A84"/>
    <w:rsid w:val="006F555B"/>
    <w:rsid w:val="006F5D35"/>
    <w:rsid w:val="007014BE"/>
    <w:rsid w:val="00704653"/>
    <w:rsid w:val="00705C70"/>
    <w:rsid w:val="00707254"/>
    <w:rsid w:val="0071499D"/>
    <w:rsid w:val="007149DE"/>
    <w:rsid w:val="007235AE"/>
    <w:rsid w:val="00723774"/>
    <w:rsid w:val="00723C92"/>
    <w:rsid w:val="0072602E"/>
    <w:rsid w:val="00730A50"/>
    <w:rsid w:val="00734D35"/>
    <w:rsid w:val="00736224"/>
    <w:rsid w:val="007366EB"/>
    <w:rsid w:val="00736BDB"/>
    <w:rsid w:val="00736D46"/>
    <w:rsid w:val="00737183"/>
    <w:rsid w:val="0073763E"/>
    <w:rsid w:val="00740FB3"/>
    <w:rsid w:val="00744901"/>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3648"/>
    <w:rsid w:val="007743F0"/>
    <w:rsid w:val="00774B98"/>
    <w:rsid w:val="00775BB9"/>
    <w:rsid w:val="00784B66"/>
    <w:rsid w:val="00785B38"/>
    <w:rsid w:val="00785E06"/>
    <w:rsid w:val="00785EAC"/>
    <w:rsid w:val="00786553"/>
    <w:rsid w:val="00786C09"/>
    <w:rsid w:val="00787518"/>
    <w:rsid w:val="00792E97"/>
    <w:rsid w:val="0079344B"/>
    <w:rsid w:val="00794966"/>
    <w:rsid w:val="00795A9E"/>
    <w:rsid w:val="00796280"/>
    <w:rsid w:val="00796780"/>
    <w:rsid w:val="00797823"/>
    <w:rsid w:val="00797C10"/>
    <w:rsid w:val="007A0BBC"/>
    <w:rsid w:val="007A0DFE"/>
    <w:rsid w:val="007A0E87"/>
    <w:rsid w:val="007A14E5"/>
    <w:rsid w:val="007A25D1"/>
    <w:rsid w:val="007A32B1"/>
    <w:rsid w:val="007A7419"/>
    <w:rsid w:val="007B116E"/>
    <w:rsid w:val="007B50A9"/>
    <w:rsid w:val="007B7BB2"/>
    <w:rsid w:val="007C452F"/>
    <w:rsid w:val="007C57A5"/>
    <w:rsid w:val="007C7621"/>
    <w:rsid w:val="007C7A90"/>
    <w:rsid w:val="007D1729"/>
    <w:rsid w:val="007D3017"/>
    <w:rsid w:val="007D348A"/>
    <w:rsid w:val="007D3703"/>
    <w:rsid w:val="007D6731"/>
    <w:rsid w:val="007E091E"/>
    <w:rsid w:val="007E0EE4"/>
    <w:rsid w:val="007E32BB"/>
    <w:rsid w:val="007E4030"/>
    <w:rsid w:val="007E490C"/>
    <w:rsid w:val="007F320C"/>
    <w:rsid w:val="007F3965"/>
    <w:rsid w:val="007F7347"/>
    <w:rsid w:val="00800D49"/>
    <w:rsid w:val="00800F24"/>
    <w:rsid w:val="008055D8"/>
    <w:rsid w:val="0080590E"/>
    <w:rsid w:val="0080749F"/>
    <w:rsid w:val="00807634"/>
    <w:rsid w:val="00811377"/>
    <w:rsid w:val="00811B42"/>
    <w:rsid w:val="00812B4C"/>
    <w:rsid w:val="00813271"/>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544"/>
    <w:rsid w:val="00830D12"/>
    <w:rsid w:val="00831D57"/>
    <w:rsid w:val="00833182"/>
    <w:rsid w:val="00833269"/>
    <w:rsid w:val="00833994"/>
    <w:rsid w:val="008364E5"/>
    <w:rsid w:val="00837FCC"/>
    <w:rsid w:val="00841EFB"/>
    <w:rsid w:val="008427BE"/>
    <w:rsid w:val="00845441"/>
    <w:rsid w:val="00846CC3"/>
    <w:rsid w:val="008471EF"/>
    <w:rsid w:val="008520B7"/>
    <w:rsid w:val="008526A1"/>
    <w:rsid w:val="00853010"/>
    <w:rsid w:val="00854153"/>
    <w:rsid w:val="008544F3"/>
    <w:rsid w:val="00855EA0"/>
    <w:rsid w:val="00857C26"/>
    <w:rsid w:val="00861233"/>
    <w:rsid w:val="00862334"/>
    <w:rsid w:val="008627B5"/>
    <w:rsid w:val="0086299F"/>
    <w:rsid w:val="00862ED1"/>
    <w:rsid w:val="00863111"/>
    <w:rsid w:val="008637E3"/>
    <w:rsid w:val="00864F0C"/>
    <w:rsid w:val="008653C8"/>
    <w:rsid w:val="00865632"/>
    <w:rsid w:val="0087115A"/>
    <w:rsid w:val="00871287"/>
    <w:rsid w:val="00875F04"/>
    <w:rsid w:val="00876F3F"/>
    <w:rsid w:val="008772A6"/>
    <w:rsid w:val="00882B03"/>
    <w:rsid w:val="00882BAF"/>
    <w:rsid w:val="00882BE2"/>
    <w:rsid w:val="008834C5"/>
    <w:rsid w:val="00883E9A"/>
    <w:rsid w:val="00885E17"/>
    <w:rsid w:val="00887AAA"/>
    <w:rsid w:val="00893522"/>
    <w:rsid w:val="00893890"/>
    <w:rsid w:val="00893BE8"/>
    <w:rsid w:val="00896557"/>
    <w:rsid w:val="008968B6"/>
    <w:rsid w:val="0089691E"/>
    <w:rsid w:val="008969FD"/>
    <w:rsid w:val="00897669"/>
    <w:rsid w:val="008978A0"/>
    <w:rsid w:val="00897D42"/>
    <w:rsid w:val="008A6361"/>
    <w:rsid w:val="008B472F"/>
    <w:rsid w:val="008B4F6A"/>
    <w:rsid w:val="008B5251"/>
    <w:rsid w:val="008C1140"/>
    <w:rsid w:val="008C114E"/>
    <w:rsid w:val="008C57D2"/>
    <w:rsid w:val="008D145E"/>
    <w:rsid w:val="008D1C1B"/>
    <w:rsid w:val="008D1FF2"/>
    <w:rsid w:val="008D41B0"/>
    <w:rsid w:val="008D631E"/>
    <w:rsid w:val="008D6E4D"/>
    <w:rsid w:val="008E0110"/>
    <w:rsid w:val="008E1254"/>
    <w:rsid w:val="008E13FC"/>
    <w:rsid w:val="008E1ED5"/>
    <w:rsid w:val="008E2DCE"/>
    <w:rsid w:val="008E2F3D"/>
    <w:rsid w:val="008E5144"/>
    <w:rsid w:val="008E64C9"/>
    <w:rsid w:val="008F1E54"/>
    <w:rsid w:val="008F20E9"/>
    <w:rsid w:val="008F2768"/>
    <w:rsid w:val="008F345A"/>
    <w:rsid w:val="008F6D06"/>
    <w:rsid w:val="00903257"/>
    <w:rsid w:val="00906093"/>
    <w:rsid w:val="009069B9"/>
    <w:rsid w:val="00906ACF"/>
    <w:rsid w:val="00906EB9"/>
    <w:rsid w:val="00911146"/>
    <w:rsid w:val="00914F6A"/>
    <w:rsid w:val="0091678C"/>
    <w:rsid w:val="009172B1"/>
    <w:rsid w:val="009174E7"/>
    <w:rsid w:val="009222BA"/>
    <w:rsid w:val="009233B2"/>
    <w:rsid w:val="00926238"/>
    <w:rsid w:val="00926547"/>
    <w:rsid w:val="00927270"/>
    <w:rsid w:val="00930C1A"/>
    <w:rsid w:val="00932561"/>
    <w:rsid w:val="00934EA9"/>
    <w:rsid w:val="00936739"/>
    <w:rsid w:val="00937179"/>
    <w:rsid w:val="0094194F"/>
    <w:rsid w:val="009448E0"/>
    <w:rsid w:val="0094514E"/>
    <w:rsid w:val="00946B73"/>
    <w:rsid w:val="00946E9F"/>
    <w:rsid w:val="009539C8"/>
    <w:rsid w:val="00955616"/>
    <w:rsid w:val="00956139"/>
    <w:rsid w:val="009602B7"/>
    <w:rsid w:val="00960BD7"/>
    <w:rsid w:val="00961A2F"/>
    <w:rsid w:val="0096282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213B"/>
    <w:rsid w:val="009B2FEE"/>
    <w:rsid w:val="009B70A7"/>
    <w:rsid w:val="009B716E"/>
    <w:rsid w:val="009C023E"/>
    <w:rsid w:val="009D2AF0"/>
    <w:rsid w:val="009D2BDF"/>
    <w:rsid w:val="009D4360"/>
    <w:rsid w:val="009D4E60"/>
    <w:rsid w:val="009D52E8"/>
    <w:rsid w:val="009D68B3"/>
    <w:rsid w:val="009D6C93"/>
    <w:rsid w:val="009D76F8"/>
    <w:rsid w:val="009D7A70"/>
    <w:rsid w:val="009E0535"/>
    <w:rsid w:val="009E1CCA"/>
    <w:rsid w:val="009E4068"/>
    <w:rsid w:val="009E4465"/>
    <w:rsid w:val="009E5B64"/>
    <w:rsid w:val="009F43AB"/>
    <w:rsid w:val="009F5282"/>
    <w:rsid w:val="009F59CB"/>
    <w:rsid w:val="00A00686"/>
    <w:rsid w:val="00A0106D"/>
    <w:rsid w:val="00A018D7"/>
    <w:rsid w:val="00A038CE"/>
    <w:rsid w:val="00A0408D"/>
    <w:rsid w:val="00A07516"/>
    <w:rsid w:val="00A1123E"/>
    <w:rsid w:val="00A1146D"/>
    <w:rsid w:val="00A13378"/>
    <w:rsid w:val="00A13EF6"/>
    <w:rsid w:val="00A1415D"/>
    <w:rsid w:val="00A15295"/>
    <w:rsid w:val="00A15BD1"/>
    <w:rsid w:val="00A1768D"/>
    <w:rsid w:val="00A21FA1"/>
    <w:rsid w:val="00A23F19"/>
    <w:rsid w:val="00A23F64"/>
    <w:rsid w:val="00A24EF1"/>
    <w:rsid w:val="00A26563"/>
    <w:rsid w:val="00A30F60"/>
    <w:rsid w:val="00A34B51"/>
    <w:rsid w:val="00A34CC4"/>
    <w:rsid w:val="00A36763"/>
    <w:rsid w:val="00A40FB6"/>
    <w:rsid w:val="00A429DA"/>
    <w:rsid w:val="00A42A4F"/>
    <w:rsid w:val="00A476FA"/>
    <w:rsid w:val="00A50466"/>
    <w:rsid w:val="00A50ADF"/>
    <w:rsid w:val="00A51EE7"/>
    <w:rsid w:val="00A53612"/>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39CE"/>
    <w:rsid w:val="00A85B2C"/>
    <w:rsid w:val="00A86D8D"/>
    <w:rsid w:val="00A87516"/>
    <w:rsid w:val="00A90665"/>
    <w:rsid w:val="00A90AC3"/>
    <w:rsid w:val="00A926DD"/>
    <w:rsid w:val="00A9278B"/>
    <w:rsid w:val="00A92A65"/>
    <w:rsid w:val="00A935B0"/>
    <w:rsid w:val="00A946A9"/>
    <w:rsid w:val="00A94FF2"/>
    <w:rsid w:val="00A95624"/>
    <w:rsid w:val="00A96AA7"/>
    <w:rsid w:val="00A9750A"/>
    <w:rsid w:val="00A9781F"/>
    <w:rsid w:val="00AA1099"/>
    <w:rsid w:val="00AA1107"/>
    <w:rsid w:val="00AA155B"/>
    <w:rsid w:val="00AA28A2"/>
    <w:rsid w:val="00AA37FF"/>
    <w:rsid w:val="00AA3FFA"/>
    <w:rsid w:val="00AA46E9"/>
    <w:rsid w:val="00AA47A9"/>
    <w:rsid w:val="00AA6190"/>
    <w:rsid w:val="00AA7C0D"/>
    <w:rsid w:val="00AA7FBB"/>
    <w:rsid w:val="00AB10F1"/>
    <w:rsid w:val="00AB2375"/>
    <w:rsid w:val="00AB38C9"/>
    <w:rsid w:val="00AB7179"/>
    <w:rsid w:val="00AB77AC"/>
    <w:rsid w:val="00AC0896"/>
    <w:rsid w:val="00AC3DCD"/>
    <w:rsid w:val="00AC5663"/>
    <w:rsid w:val="00AC614D"/>
    <w:rsid w:val="00AC6A86"/>
    <w:rsid w:val="00AD1E74"/>
    <w:rsid w:val="00AD441E"/>
    <w:rsid w:val="00AD4678"/>
    <w:rsid w:val="00AD4BEB"/>
    <w:rsid w:val="00AE1187"/>
    <w:rsid w:val="00AE1D84"/>
    <w:rsid w:val="00AE2FA7"/>
    <w:rsid w:val="00AE62E4"/>
    <w:rsid w:val="00AE63D6"/>
    <w:rsid w:val="00AF24BB"/>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96C"/>
    <w:rsid w:val="00B37A7D"/>
    <w:rsid w:val="00B37FF3"/>
    <w:rsid w:val="00B40355"/>
    <w:rsid w:val="00B40509"/>
    <w:rsid w:val="00B4254F"/>
    <w:rsid w:val="00B4303B"/>
    <w:rsid w:val="00B4545F"/>
    <w:rsid w:val="00B45B5B"/>
    <w:rsid w:val="00B45D76"/>
    <w:rsid w:val="00B461CD"/>
    <w:rsid w:val="00B4709B"/>
    <w:rsid w:val="00B509E8"/>
    <w:rsid w:val="00B50D4E"/>
    <w:rsid w:val="00B519F9"/>
    <w:rsid w:val="00B52184"/>
    <w:rsid w:val="00B52DB2"/>
    <w:rsid w:val="00B5447F"/>
    <w:rsid w:val="00B55DC9"/>
    <w:rsid w:val="00B60FAD"/>
    <w:rsid w:val="00B639B1"/>
    <w:rsid w:val="00B646F4"/>
    <w:rsid w:val="00B672B6"/>
    <w:rsid w:val="00B71C24"/>
    <w:rsid w:val="00B730C5"/>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3D1"/>
    <w:rsid w:val="00BB23E6"/>
    <w:rsid w:val="00BB36FE"/>
    <w:rsid w:val="00BB49FE"/>
    <w:rsid w:val="00BB6058"/>
    <w:rsid w:val="00BB7C9E"/>
    <w:rsid w:val="00BC02F9"/>
    <w:rsid w:val="00BC107D"/>
    <w:rsid w:val="00BC48B8"/>
    <w:rsid w:val="00BC48DF"/>
    <w:rsid w:val="00BC74F1"/>
    <w:rsid w:val="00BD04A1"/>
    <w:rsid w:val="00BD60C8"/>
    <w:rsid w:val="00BD6AF5"/>
    <w:rsid w:val="00BD6C4A"/>
    <w:rsid w:val="00BD6F22"/>
    <w:rsid w:val="00BE0766"/>
    <w:rsid w:val="00BE42B9"/>
    <w:rsid w:val="00BE535F"/>
    <w:rsid w:val="00BE757D"/>
    <w:rsid w:val="00BF3332"/>
    <w:rsid w:val="00BF63B0"/>
    <w:rsid w:val="00BF7CB0"/>
    <w:rsid w:val="00C011AB"/>
    <w:rsid w:val="00C05C56"/>
    <w:rsid w:val="00C063C0"/>
    <w:rsid w:val="00C06ED7"/>
    <w:rsid w:val="00C1113C"/>
    <w:rsid w:val="00C12A10"/>
    <w:rsid w:val="00C12CBD"/>
    <w:rsid w:val="00C1438C"/>
    <w:rsid w:val="00C1649D"/>
    <w:rsid w:val="00C16668"/>
    <w:rsid w:val="00C17B92"/>
    <w:rsid w:val="00C2134D"/>
    <w:rsid w:val="00C21D15"/>
    <w:rsid w:val="00C22B41"/>
    <w:rsid w:val="00C24A37"/>
    <w:rsid w:val="00C250A9"/>
    <w:rsid w:val="00C26134"/>
    <w:rsid w:val="00C2618F"/>
    <w:rsid w:val="00C31A89"/>
    <w:rsid w:val="00C327AC"/>
    <w:rsid w:val="00C35218"/>
    <w:rsid w:val="00C3571F"/>
    <w:rsid w:val="00C36162"/>
    <w:rsid w:val="00C363B3"/>
    <w:rsid w:val="00C37067"/>
    <w:rsid w:val="00C401DE"/>
    <w:rsid w:val="00C416C1"/>
    <w:rsid w:val="00C423D8"/>
    <w:rsid w:val="00C43223"/>
    <w:rsid w:val="00C44C61"/>
    <w:rsid w:val="00C44E0D"/>
    <w:rsid w:val="00C4691B"/>
    <w:rsid w:val="00C46952"/>
    <w:rsid w:val="00C5097E"/>
    <w:rsid w:val="00C50CB7"/>
    <w:rsid w:val="00C52A08"/>
    <w:rsid w:val="00C53769"/>
    <w:rsid w:val="00C539FA"/>
    <w:rsid w:val="00C54DC5"/>
    <w:rsid w:val="00C54F2C"/>
    <w:rsid w:val="00C56A13"/>
    <w:rsid w:val="00C571B3"/>
    <w:rsid w:val="00C60E84"/>
    <w:rsid w:val="00C6273C"/>
    <w:rsid w:val="00C62C62"/>
    <w:rsid w:val="00C6419A"/>
    <w:rsid w:val="00C655D5"/>
    <w:rsid w:val="00C663B0"/>
    <w:rsid w:val="00C66F89"/>
    <w:rsid w:val="00C67826"/>
    <w:rsid w:val="00C711F7"/>
    <w:rsid w:val="00C7163E"/>
    <w:rsid w:val="00C73FB0"/>
    <w:rsid w:val="00C74DAA"/>
    <w:rsid w:val="00C74DEC"/>
    <w:rsid w:val="00C75F47"/>
    <w:rsid w:val="00C76003"/>
    <w:rsid w:val="00C7684F"/>
    <w:rsid w:val="00C7692A"/>
    <w:rsid w:val="00C77296"/>
    <w:rsid w:val="00C82718"/>
    <w:rsid w:val="00C8324B"/>
    <w:rsid w:val="00C83483"/>
    <w:rsid w:val="00C947DC"/>
    <w:rsid w:val="00C951DB"/>
    <w:rsid w:val="00C95816"/>
    <w:rsid w:val="00C96CDF"/>
    <w:rsid w:val="00CA6307"/>
    <w:rsid w:val="00CA665E"/>
    <w:rsid w:val="00CB06AA"/>
    <w:rsid w:val="00CB367E"/>
    <w:rsid w:val="00CB7260"/>
    <w:rsid w:val="00CC02A3"/>
    <w:rsid w:val="00CC0536"/>
    <w:rsid w:val="00CC13E5"/>
    <w:rsid w:val="00CC57F2"/>
    <w:rsid w:val="00CC5C04"/>
    <w:rsid w:val="00CC6BC5"/>
    <w:rsid w:val="00CD068F"/>
    <w:rsid w:val="00CD2497"/>
    <w:rsid w:val="00CD6436"/>
    <w:rsid w:val="00CD7846"/>
    <w:rsid w:val="00CD7EA8"/>
    <w:rsid w:val="00CE1923"/>
    <w:rsid w:val="00CE1925"/>
    <w:rsid w:val="00CE2DDF"/>
    <w:rsid w:val="00CE40E3"/>
    <w:rsid w:val="00CE44D8"/>
    <w:rsid w:val="00CE4628"/>
    <w:rsid w:val="00CE4F2C"/>
    <w:rsid w:val="00CE5C49"/>
    <w:rsid w:val="00CE6843"/>
    <w:rsid w:val="00CF1A5E"/>
    <w:rsid w:val="00CF1B71"/>
    <w:rsid w:val="00CF3C14"/>
    <w:rsid w:val="00CF443E"/>
    <w:rsid w:val="00CF5C8E"/>
    <w:rsid w:val="00CF6FF0"/>
    <w:rsid w:val="00CF7A04"/>
    <w:rsid w:val="00D00B1A"/>
    <w:rsid w:val="00D0206D"/>
    <w:rsid w:val="00D06DA9"/>
    <w:rsid w:val="00D10803"/>
    <w:rsid w:val="00D134E9"/>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714"/>
    <w:rsid w:val="00D428BB"/>
    <w:rsid w:val="00D43C40"/>
    <w:rsid w:val="00D4554F"/>
    <w:rsid w:val="00D46E53"/>
    <w:rsid w:val="00D47218"/>
    <w:rsid w:val="00D50DDB"/>
    <w:rsid w:val="00D50F0D"/>
    <w:rsid w:val="00D5293E"/>
    <w:rsid w:val="00D53CE3"/>
    <w:rsid w:val="00D55FFF"/>
    <w:rsid w:val="00D56F5E"/>
    <w:rsid w:val="00D57BB5"/>
    <w:rsid w:val="00D606E3"/>
    <w:rsid w:val="00D62872"/>
    <w:rsid w:val="00D64FFC"/>
    <w:rsid w:val="00D6512F"/>
    <w:rsid w:val="00D702C7"/>
    <w:rsid w:val="00D72132"/>
    <w:rsid w:val="00D72D77"/>
    <w:rsid w:val="00D74BBE"/>
    <w:rsid w:val="00D765AA"/>
    <w:rsid w:val="00D80937"/>
    <w:rsid w:val="00D82604"/>
    <w:rsid w:val="00D8429D"/>
    <w:rsid w:val="00D8564A"/>
    <w:rsid w:val="00D86B5E"/>
    <w:rsid w:val="00D91B0D"/>
    <w:rsid w:val="00D92592"/>
    <w:rsid w:val="00D935B1"/>
    <w:rsid w:val="00D93691"/>
    <w:rsid w:val="00D93AAD"/>
    <w:rsid w:val="00D96F22"/>
    <w:rsid w:val="00D97218"/>
    <w:rsid w:val="00DA0FA7"/>
    <w:rsid w:val="00DA20DA"/>
    <w:rsid w:val="00DA6C16"/>
    <w:rsid w:val="00DB1513"/>
    <w:rsid w:val="00DB2A79"/>
    <w:rsid w:val="00DB32EE"/>
    <w:rsid w:val="00DB3605"/>
    <w:rsid w:val="00DB4BB4"/>
    <w:rsid w:val="00DB5EB0"/>
    <w:rsid w:val="00DC22AE"/>
    <w:rsid w:val="00DC3A29"/>
    <w:rsid w:val="00DC3CDB"/>
    <w:rsid w:val="00DC44C7"/>
    <w:rsid w:val="00DC5758"/>
    <w:rsid w:val="00DD02F8"/>
    <w:rsid w:val="00DD09C1"/>
    <w:rsid w:val="00DD1B48"/>
    <w:rsid w:val="00DD3E9B"/>
    <w:rsid w:val="00DD4C73"/>
    <w:rsid w:val="00DD504D"/>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3865"/>
    <w:rsid w:val="00E05DF6"/>
    <w:rsid w:val="00E0727B"/>
    <w:rsid w:val="00E07623"/>
    <w:rsid w:val="00E10E00"/>
    <w:rsid w:val="00E12C93"/>
    <w:rsid w:val="00E12DE3"/>
    <w:rsid w:val="00E12F15"/>
    <w:rsid w:val="00E12F2B"/>
    <w:rsid w:val="00E14632"/>
    <w:rsid w:val="00E153E7"/>
    <w:rsid w:val="00E154FB"/>
    <w:rsid w:val="00E16194"/>
    <w:rsid w:val="00E174A2"/>
    <w:rsid w:val="00E1790E"/>
    <w:rsid w:val="00E20681"/>
    <w:rsid w:val="00E24CD5"/>
    <w:rsid w:val="00E27FD2"/>
    <w:rsid w:val="00E3386C"/>
    <w:rsid w:val="00E342EC"/>
    <w:rsid w:val="00E36E00"/>
    <w:rsid w:val="00E37ABF"/>
    <w:rsid w:val="00E4393D"/>
    <w:rsid w:val="00E450C1"/>
    <w:rsid w:val="00E45E0A"/>
    <w:rsid w:val="00E52AB7"/>
    <w:rsid w:val="00E55356"/>
    <w:rsid w:val="00E61A10"/>
    <w:rsid w:val="00E64BE3"/>
    <w:rsid w:val="00E652C3"/>
    <w:rsid w:val="00E6685E"/>
    <w:rsid w:val="00E716C1"/>
    <w:rsid w:val="00E71DBD"/>
    <w:rsid w:val="00E7223C"/>
    <w:rsid w:val="00E735E6"/>
    <w:rsid w:val="00E76CEB"/>
    <w:rsid w:val="00E77875"/>
    <w:rsid w:val="00E8021E"/>
    <w:rsid w:val="00E8104C"/>
    <w:rsid w:val="00E81E41"/>
    <w:rsid w:val="00E854AF"/>
    <w:rsid w:val="00E86D67"/>
    <w:rsid w:val="00E8750C"/>
    <w:rsid w:val="00E908E1"/>
    <w:rsid w:val="00E91673"/>
    <w:rsid w:val="00E9403E"/>
    <w:rsid w:val="00E950BA"/>
    <w:rsid w:val="00E96293"/>
    <w:rsid w:val="00E96657"/>
    <w:rsid w:val="00E9713D"/>
    <w:rsid w:val="00EA119B"/>
    <w:rsid w:val="00EA3673"/>
    <w:rsid w:val="00EA5104"/>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707E"/>
    <w:rsid w:val="00ED0849"/>
    <w:rsid w:val="00ED0AFD"/>
    <w:rsid w:val="00ED23B5"/>
    <w:rsid w:val="00ED3803"/>
    <w:rsid w:val="00ED3A23"/>
    <w:rsid w:val="00ED4DC6"/>
    <w:rsid w:val="00ED5563"/>
    <w:rsid w:val="00ED5DFA"/>
    <w:rsid w:val="00ED6813"/>
    <w:rsid w:val="00ED74CC"/>
    <w:rsid w:val="00ED7FCD"/>
    <w:rsid w:val="00EE02F9"/>
    <w:rsid w:val="00EE0A91"/>
    <w:rsid w:val="00EE2588"/>
    <w:rsid w:val="00EE57C0"/>
    <w:rsid w:val="00EE6065"/>
    <w:rsid w:val="00EE62DF"/>
    <w:rsid w:val="00EE6970"/>
    <w:rsid w:val="00EE7B45"/>
    <w:rsid w:val="00EF1674"/>
    <w:rsid w:val="00EF394B"/>
    <w:rsid w:val="00EF3E6B"/>
    <w:rsid w:val="00EF4242"/>
    <w:rsid w:val="00F00341"/>
    <w:rsid w:val="00F00CCC"/>
    <w:rsid w:val="00F03025"/>
    <w:rsid w:val="00F049D4"/>
    <w:rsid w:val="00F04B01"/>
    <w:rsid w:val="00F056D0"/>
    <w:rsid w:val="00F0695C"/>
    <w:rsid w:val="00F1304F"/>
    <w:rsid w:val="00F164F1"/>
    <w:rsid w:val="00F16767"/>
    <w:rsid w:val="00F16F5D"/>
    <w:rsid w:val="00F20EDE"/>
    <w:rsid w:val="00F21983"/>
    <w:rsid w:val="00F23328"/>
    <w:rsid w:val="00F24287"/>
    <w:rsid w:val="00F25782"/>
    <w:rsid w:val="00F259E4"/>
    <w:rsid w:val="00F2791C"/>
    <w:rsid w:val="00F30EB9"/>
    <w:rsid w:val="00F33E32"/>
    <w:rsid w:val="00F34503"/>
    <w:rsid w:val="00F35ADC"/>
    <w:rsid w:val="00F35BF3"/>
    <w:rsid w:val="00F428FA"/>
    <w:rsid w:val="00F4313D"/>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569F"/>
    <w:rsid w:val="00F85D4F"/>
    <w:rsid w:val="00F861F5"/>
    <w:rsid w:val="00F867B6"/>
    <w:rsid w:val="00F86884"/>
    <w:rsid w:val="00F90717"/>
    <w:rsid w:val="00F92F76"/>
    <w:rsid w:val="00F954AB"/>
    <w:rsid w:val="00F978DA"/>
    <w:rsid w:val="00FA0205"/>
    <w:rsid w:val="00FA25C4"/>
    <w:rsid w:val="00FB4DB7"/>
    <w:rsid w:val="00FB51F1"/>
    <w:rsid w:val="00FB52DF"/>
    <w:rsid w:val="00FB53C0"/>
    <w:rsid w:val="00FB59FD"/>
    <w:rsid w:val="00FB6540"/>
    <w:rsid w:val="00FB6B54"/>
    <w:rsid w:val="00FB7DFA"/>
    <w:rsid w:val="00FC3D76"/>
    <w:rsid w:val="00FD079B"/>
    <w:rsid w:val="00FD23A9"/>
    <w:rsid w:val="00FD242B"/>
    <w:rsid w:val="00FD265B"/>
    <w:rsid w:val="00FD35BF"/>
    <w:rsid w:val="00FD63AC"/>
    <w:rsid w:val="00FD63AF"/>
    <w:rsid w:val="00FD6A73"/>
    <w:rsid w:val="00FD73FF"/>
    <w:rsid w:val="00FD7674"/>
    <w:rsid w:val="00FE0AD0"/>
    <w:rsid w:val="00FE2A0A"/>
    <w:rsid w:val="00FE4724"/>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4577"/>
    <o:shapelayout v:ext="edit">
      <o:idmap v:ext="edit" data="1"/>
    </o:shapelayout>
  </w:shapeDefaults>
  <w:decimalSymbol w:val="."/>
  <w:listSeparator w:val=","/>
  <w14:docId w14:val="3324592B"/>
  <w15:chartTrackingRefBased/>
  <w15:docId w15:val="{A909645B-8CE7-44AB-9F0F-5C66649A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2C2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rsid w:val="005E74F9"/>
    <w:pPr>
      <w:spacing w:before="100" w:beforeAutospacing="1" w:after="100" w:afterAutospacing="1"/>
    </w:pPr>
    <w:rPr>
      <w:rFonts w:ascii="Times New Roman" w:hAnsi="Times New Roman"/>
      <w:sz w:val="24"/>
      <w:szCs w:val="24"/>
    </w:rPr>
  </w:style>
  <w:style w:type="numbering" w:customStyle="1" w:styleId="NoList1">
    <w:name w:val="No List1"/>
    <w:next w:val="NoList"/>
    <w:uiPriority w:val="99"/>
    <w:semiHidden/>
    <w:unhideWhenUsed/>
    <w:rsid w:val="00475C48"/>
  </w:style>
  <w:style w:type="character" w:customStyle="1" w:styleId="Heading2Char">
    <w:name w:val="Heading 2 Char"/>
    <w:link w:val="Heading2"/>
    <w:rsid w:val="00475C48"/>
    <w:rPr>
      <w:rFonts w:ascii="Arial" w:hAnsi="Arial"/>
      <w:b/>
      <w:sz w:val="28"/>
    </w:rPr>
  </w:style>
  <w:style w:type="character" w:customStyle="1" w:styleId="Heading3Char">
    <w:name w:val="Heading 3 Char"/>
    <w:link w:val="Heading3"/>
    <w:rsid w:val="00475C48"/>
    <w:rPr>
      <w:rFonts w:ascii="Arial" w:hAnsi="Arial"/>
      <w:b/>
      <w:sz w:val="22"/>
    </w:rPr>
  </w:style>
  <w:style w:type="character" w:customStyle="1" w:styleId="Heading4Char">
    <w:name w:val="Heading 4 Char"/>
    <w:link w:val="Heading4"/>
    <w:rsid w:val="00475C48"/>
    <w:rPr>
      <w:rFonts w:ascii="Arial" w:hAnsi="Arial"/>
      <w:b/>
      <w:sz w:val="24"/>
    </w:rPr>
  </w:style>
  <w:style w:type="character" w:customStyle="1" w:styleId="Heading5Char">
    <w:name w:val="Heading 5 Char"/>
    <w:link w:val="Heading5"/>
    <w:rsid w:val="00475C48"/>
    <w:rPr>
      <w:rFonts w:ascii="Arial" w:hAnsi="Arial"/>
      <w:sz w:val="22"/>
    </w:rPr>
  </w:style>
  <w:style w:type="character" w:customStyle="1" w:styleId="Heading6Char">
    <w:name w:val="Heading 6 Char"/>
    <w:link w:val="Heading6"/>
    <w:rsid w:val="00475C48"/>
    <w:rPr>
      <w:i/>
      <w:sz w:val="22"/>
    </w:rPr>
  </w:style>
  <w:style w:type="character" w:customStyle="1" w:styleId="Heading7Char">
    <w:name w:val="Heading 7 Char"/>
    <w:link w:val="Heading7"/>
    <w:rsid w:val="00475C48"/>
    <w:rPr>
      <w:rFonts w:ascii="Arial" w:hAnsi="Arial"/>
    </w:rPr>
  </w:style>
  <w:style w:type="character" w:customStyle="1" w:styleId="Heading8Char">
    <w:name w:val="Heading 8 Char"/>
    <w:link w:val="Heading8"/>
    <w:rsid w:val="00475C48"/>
    <w:rPr>
      <w:rFonts w:ascii="Arial" w:hAnsi="Arial"/>
      <w:i/>
    </w:rPr>
  </w:style>
  <w:style w:type="character" w:customStyle="1" w:styleId="Heading9Char">
    <w:name w:val="Heading 9 Char"/>
    <w:link w:val="Heading9"/>
    <w:rsid w:val="00475C48"/>
    <w:rPr>
      <w:rFonts w:ascii="Arial" w:hAnsi="Arial"/>
      <w:b/>
      <w:i/>
      <w:sz w:val="18"/>
    </w:rPr>
  </w:style>
  <w:style w:type="character" w:customStyle="1" w:styleId="CommentTextChar">
    <w:name w:val="Comment Text Char"/>
    <w:link w:val="CommentText"/>
    <w:uiPriority w:val="99"/>
    <w:rsid w:val="00475C48"/>
    <w:rPr>
      <w:rFonts w:ascii="Arial" w:hAnsi="Arial"/>
    </w:rPr>
  </w:style>
  <w:style w:type="character" w:customStyle="1" w:styleId="BalloonTextChar">
    <w:name w:val="Balloon Text Char"/>
    <w:link w:val="BalloonText"/>
    <w:uiPriority w:val="99"/>
    <w:semiHidden/>
    <w:rsid w:val="00475C48"/>
    <w:rPr>
      <w:rFonts w:ascii="Tahoma" w:hAnsi="Tahoma" w:cs="Tahoma"/>
      <w:sz w:val="16"/>
      <w:szCs w:val="16"/>
    </w:rPr>
  </w:style>
  <w:style w:type="character" w:customStyle="1" w:styleId="CommentSubjectChar">
    <w:name w:val="Comment Subject Char"/>
    <w:link w:val="CommentSubject"/>
    <w:uiPriority w:val="99"/>
    <w:semiHidden/>
    <w:rsid w:val="00475C48"/>
    <w:rPr>
      <w:rFonts w:ascii="Arial" w:hAnsi="Arial"/>
      <w:b/>
      <w:bCs/>
    </w:rPr>
  </w:style>
  <w:style w:type="character" w:customStyle="1" w:styleId="HeaderChar">
    <w:name w:val="Header Char"/>
    <w:link w:val="Header"/>
    <w:uiPriority w:val="99"/>
    <w:rsid w:val="00475C48"/>
    <w:rPr>
      <w:rFonts w:ascii="Arial" w:hAnsi="Arial"/>
      <w:sz w:val="22"/>
    </w:rPr>
  </w:style>
  <w:style w:type="character" w:customStyle="1" w:styleId="FooterChar">
    <w:name w:val="Footer Char"/>
    <w:link w:val="Footer"/>
    <w:uiPriority w:val="99"/>
    <w:rsid w:val="00475C48"/>
    <w:rPr>
      <w:rFonts w:ascii="Arial" w:hAnsi="Arial"/>
      <w:sz w:val="22"/>
    </w:rPr>
  </w:style>
  <w:style w:type="paragraph" w:customStyle="1" w:styleId="Default">
    <w:name w:val="Default"/>
    <w:rsid w:val="00475C4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75C48"/>
    <w:rPr>
      <w:rFonts w:ascii="Arial" w:hAnsi="Arial"/>
      <w:sz w:val="22"/>
    </w:rPr>
  </w:style>
  <w:style w:type="character" w:styleId="FollowedHyperlink">
    <w:name w:val="FollowedHyperlink"/>
    <w:uiPriority w:val="99"/>
    <w:unhideWhenUsed/>
    <w:rsid w:val="00475C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1D23-4FF9-4582-A50E-0E62A3966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42</TotalTime>
  <Pages>31</Pages>
  <Words>12665</Words>
  <Characters>70836</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DEQ-AQD-Field</Manager>
  <Company>DEQ-AQD</Company>
  <LinksUpToDate>false</LinksUpToDate>
  <CharactersWithSpaces>83335</CharactersWithSpaces>
  <SharedDoc>false</SharedDoc>
  <HyperlinkBase>484014</HyperlinkBase>
  <HLinks>
    <vt:vector size="204" baseType="variant">
      <vt:variant>
        <vt:i4>1376306</vt:i4>
      </vt:variant>
      <vt:variant>
        <vt:i4>200</vt:i4>
      </vt:variant>
      <vt:variant>
        <vt:i4>0</vt:i4>
      </vt:variant>
      <vt:variant>
        <vt:i4>5</vt:i4>
      </vt:variant>
      <vt:variant>
        <vt:lpwstr/>
      </vt:variant>
      <vt:variant>
        <vt:lpwstr>_Toc491258213</vt:lpwstr>
      </vt:variant>
      <vt:variant>
        <vt:i4>1376306</vt:i4>
      </vt:variant>
      <vt:variant>
        <vt:i4>194</vt:i4>
      </vt:variant>
      <vt:variant>
        <vt:i4>0</vt:i4>
      </vt:variant>
      <vt:variant>
        <vt:i4>5</vt:i4>
      </vt:variant>
      <vt:variant>
        <vt:lpwstr/>
      </vt:variant>
      <vt:variant>
        <vt:lpwstr>_Toc491258212</vt:lpwstr>
      </vt:variant>
      <vt:variant>
        <vt:i4>1376306</vt:i4>
      </vt:variant>
      <vt:variant>
        <vt:i4>188</vt:i4>
      </vt:variant>
      <vt:variant>
        <vt:i4>0</vt:i4>
      </vt:variant>
      <vt:variant>
        <vt:i4>5</vt:i4>
      </vt:variant>
      <vt:variant>
        <vt:lpwstr/>
      </vt:variant>
      <vt:variant>
        <vt:lpwstr>_Toc491258211</vt:lpwstr>
      </vt:variant>
      <vt:variant>
        <vt:i4>1376306</vt:i4>
      </vt:variant>
      <vt:variant>
        <vt:i4>182</vt:i4>
      </vt:variant>
      <vt:variant>
        <vt:i4>0</vt:i4>
      </vt:variant>
      <vt:variant>
        <vt:i4>5</vt:i4>
      </vt:variant>
      <vt:variant>
        <vt:lpwstr/>
      </vt:variant>
      <vt:variant>
        <vt:lpwstr>_Toc491258210</vt:lpwstr>
      </vt:variant>
      <vt:variant>
        <vt:i4>1310770</vt:i4>
      </vt:variant>
      <vt:variant>
        <vt:i4>176</vt:i4>
      </vt:variant>
      <vt:variant>
        <vt:i4>0</vt:i4>
      </vt:variant>
      <vt:variant>
        <vt:i4>5</vt:i4>
      </vt:variant>
      <vt:variant>
        <vt:lpwstr/>
      </vt:variant>
      <vt:variant>
        <vt:lpwstr>_Toc491258209</vt:lpwstr>
      </vt:variant>
      <vt:variant>
        <vt:i4>1310770</vt:i4>
      </vt:variant>
      <vt:variant>
        <vt:i4>170</vt:i4>
      </vt:variant>
      <vt:variant>
        <vt:i4>0</vt:i4>
      </vt:variant>
      <vt:variant>
        <vt:i4>5</vt:i4>
      </vt:variant>
      <vt:variant>
        <vt:lpwstr/>
      </vt:variant>
      <vt:variant>
        <vt:lpwstr>_Toc491258208</vt:lpwstr>
      </vt:variant>
      <vt:variant>
        <vt:i4>1310770</vt:i4>
      </vt:variant>
      <vt:variant>
        <vt:i4>164</vt:i4>
      </vt:variant>
      <vt:variant>
        <vt:i4>0</vt:i4>
      </vt:variant>
      <vt:variant>
        <vt:i4>5</vt:i4>
      </vt:variant>
      <vt:variant>
        <vt:lpwstr/>
      </vt:variant>
      <vt:variant>
        <vt:lpwstr>_Toc491258207</vt:lpwstr>
      </vt:variant>
      <vt:variant>
        <vt:i4>1310770</vt:i4>
      </vt:variant>
      <vt:variant>
        <vt:i4>158</vt:i4>
      </vt:variant>
      <vt:variant>
        <vt:i4>0</vt:i4>
      </vt:variant>
      <vt:variant>
        <vt:i4>5</vt:i4>
      </vt:variant>
      <vt:variant>
        <vt:lpwstr/>
      </vt:variant>
      <vt:variant>
        <vt:lpwstr>_Toc491258206</vt:lpwstr>
      </vt:variant>
      <vt:variant>
        <vt:i4>1310770</vt:i4>
      </vt:variant>
      <vt:variant>
        <vt:i4>152</vt:i4>
      </vt:variant>
      <vt:variant>
        <vt:i4>0</vt:i4>
      </vt:variant>
      <vt:variant>
        <vt:i4>5</vt:i4>
      </vt:variant>
      <vt:variant>
        <vt:lpwstr/>
      </vt:variant>
      <vt:variant>
        <vt:lpwstr>_Toc491258205</vt:lpwstr>
      </vt:variant>
      <vt:variant>
        <vt:i4>1310770</vt:i4>
      </vt:variant>
      <vt:variant>
        <vt:i4>146</vt:i4>
      </vt:variant>
      <vt:variant>
        <vt:i4>0</vt:i4>
      </vt:variant>
      <vt:variant>
        <vt:i4>5</vt:i4>
      </vt:variant>
      <vt:variant>
        <vt:lpwstr/>
      </vt:variant>
      <vt:variant>
        <vt:lpwstr>_Toc491258204</vt:lpwstr>
      </vt:variant>
      <vt:variant>
        <vt:i4>1310770</vt:i4>
      </vt:variant>
      <vt:variant>
        <vt:i4>140</vt:i4>
      </vt:variant>
      <vt:variant>
        <vt:i4>0</vt:i4>
      </vt:variant>
      <vt:variant>
        <vt:i4>5</vt:i4>
      </vt:variant>
      <vt:variant>
        <vt:lpwstr/>
      </vt:variant>
      <vt:variant>
        <vt:lpwstr>_Toc491258203</vt:lpwstr>
      </vt:variant>
      <vt:variant>
        <vt:i4>1310770</vt:i4>
      </vt:variant>
      <vt:variant>
        <vt:i4>134</vt:i4>
      </vt:variant>
      <vt:variant>
        <vt:i4>0</vt:i4>
      </vt:variant>
      <vt:variant>
        <vt:i4>5</vt:i4>
      </vt:variant>
      <vt:variant>
        <vt:lpwstr/>
      </vt:variant>
      <vt:variant>
        <vt:lpwstr>_Toc491258202</vt:lpwstr>
      </vt:variant>
      <vt:variant>
        <vt:i4>1310770</vt:i4>
      </vt:variant>
      <vt:variant>
        <vt:i4>128</vt:i4>
      </vt:variant>
      <vt:variant>
        <vt:i4>0</vt:i4>
      </vt:variant>
      <vt:variant>
        <vt:i4>5</vt:i4>
      </vt:variant>
      <vt:variant>
        <vt:lpwstr/>
      </vt:variant>
      <vt:variant>
        <vt:lpwstr>_Toc491258201</vt:lpwstr>
      </vt:variant>
      <vt:variant>
        <vt:i4>1310770</vt:i4>
      </vt:variant>
      <vt:variant>
        <vt:i4>122</vt:i4>
      </vt:variant>
      <vt:variant>
        <vt:i4>0</vt:i4>
      </vt:variant>
      <vt:variant>
        <vt:i4>5</vt:i4>
      </vt:variant>
      <vt:variant>
        <vt:lpwstr/>
      </vt:variant>
      <vt:variant>
        <vt:lpwstr>_Toc491258200</vt:lpwstr>
      </vt:variant>
      <vt:variant>
        <vt:i4>1900593</vt:i4>
      </vt:variant>
      <vt:variant>
        <vt:i4>116</vt:i4>
      </vt:variant>
      <vt:variant>
        <vt:i4>0</vt:i4>
      </vt:variant>
      <vt:variant>
        <vt:i4>5</vt:i4>
      </vt:variant>
      <vt:variant>
        <vt:lpwstr/>
      </vt:variant>
      <vt:variant>
        <vt:lpwstr>_Toc491258199</vt:lpwstr>
      </vt:variant>
      <vt:variant>
        <vt:i4>1900593</vt:i4>
      </vt:variant>
      <vt:variant>
        <vt:i4>110</vt:i4>
      </vt:variant>
      <vt:variant>
        <vt:i4>0</vt:i4>
      </vt:variant>
      <vt:variant>
        <vt:i4>5</vt:i4>
      </vt:variant>
      <vt:variant>
        <vt:lpwstr/>
      </vt:variant>
      <vt:variant>
        <vt:lpwstr>_Toc491258198</vt:lpwstr>
      </vt:variant>
      <vt:variant>
        <vt:i4>1900593</vt:i4>
      </vt:variant>
      <vt:variant>
        <vt:i4>104</vt:i4>
      </vt:variant>
      <vt:variant>
        <vt:i4>0</vt:i4>
      </vt:variant>
      <vt:variant>
        <vt:i4>5</vt:i4>
      </vt:variant>
      <vt:variant>
        <vt:lpwstr/>
      </vt:variant>
      <vt:variant>
        <vt:lpwstr>_Toc491258197</vt:lpwstr>
      </vt:variant>
      <vt:variant>
        <vt:i4>1900593</vt:i4>
      </vt:variant>
      <vt:variant>
        <vt:i4>98</vt:i4>
      </vt:variant>
      <vt:variant>
        <vt:i4>0</vt:i4>
      </vt:variant>
      <vt:variant>
        <vt:i4>5</vt:i4>
      </vt:variant>
      <vt:variant>
        <vt:lpwstr/>
      </vt:variant>
      <vt:variant>
        <vt:lpwstr>_Toc491258196</vt:lpwstr>
      </vt:variant>
      <vt:variant>
        <vt:i4>1900593</vt:i4>
      </vt:variant>
      <vt:variant>
        <vt:i4>92</vt:i4>
      </vt:variant>
      <vt:variant>
        <vt:i4>0</vt:i4>
      </vt:variant>
      <vt:variant>
        <vt:i4>5</vt:i4>
      </vt:variant>
      <vt:variant>
        <vt:lpwstr/>
      </vt:variant>
      <vt:variant>
        <vt:lpwstr>_Toc491258195</vt:lpwstr>
      </vt:variant>
      <vt:variant>
        <vt:i4>1900593</vt:i4>
      </vt:variant>
      <vt:variant>
        <vt:i4>86</vt:i4>
      </vt:variant>
      <vt:variant>
        <vt:i4>0</vt:i4>
      </vt:variant>
      <vt:variant>
        <vt:i4>5</vt:i4>
      </vt:variant>
      <vt:variant>
        <vt:lpwstr/>
      </vt:variant>
      <vt:variant>
        <vt:lpwstr>_Toc491258194</vt:lpwstr>
      </vt:variant>
      <vt:variant>
        <vt:i4>1900593</vt:i4>
      </vt:variant>
      <vt:variant>
        <vt:i4>80</vt:i4>
      </vt:variant>
      <vt:variant>
        <vt:i4>0</vt:i4>
      </vt:variant>
      <vt:variant>
        <vt:i4>5</vt:i4>
      </vt:variant>
      <vt:variant>
        <vt:lpwstr/>
      </vt:variant>
      <vt:variant>
        <vt:lpwstr>_Toc491258193</vt:lpwstr>
      </vt:variant>
      <vt:variant>
        <vt:i4>1900593</vt:i4>
      </vt:variant>
      <vt:variant>
        <vt:i4>74</vt:i4>
      </vt:variant>
      <vt:variant>
        <vt:i4>0</vt:i4>
      </vt:variant>
      <vt:variant>
        <vt:i4>5</vt:i4>
      </vt:variant>
      <vt:variant>
        <vt:lpwstr/>
      </vt:variant>
      <vt:variant>
        <vt:lpwstr>_Toc491258192</vt:lpwstr>
      </vt:variant>
      <vt:variant>
        <vt:i4>1900593</vt:i4>
      </vt:variant>
      <vt:variant>
        <vt:i4>68</vt:i4>
      </vt:variant>
      <vt:variant>
        <vt:i4>0</vt:i4>
      </vt:variant>
      <vt:variant>
        <vt:i4>5</vt:i4>
      </vt:variant>
      <vt:variant>
        <vt:lpwstr/>
      </vt:variant>
      <vt:variant>
        <vt:lpwstr>_Toc491258191</vt:lpwstr>
      </vt:variant>
      <vt:variant>
        <vt:i4>1900593</vt:i4>
      </vt:variant>
      <vt:variant>
        <vt:i4>62</vt:i4>
      </vt:variant>
      <vt:variant>
        <vt:i4>0</vt:i4>
      </vt:variant>
      <vt:variant>
        <vt:i4>5</vt:i4>
      </vt:variant>
      <vt:variant>
        <vt:lpwstr/>
      </vt:variant>
      <vt:variant>
        <vt:lpwstr>_Toc491258190</vt:lpwstr>
      </vt:variant>
      <vt:variant>
        <vt:i4>1835057</vt:i4>
      </vt:variant>
      <vt:variant>
        <vt:i4>56</vt:i4>
      </vt:variant>
      <vt:variant>
        <vt:i4>0</vt:i4>
      </vt:variant>
      <vt:variant>
        <vt:i4>5</vt:i4>
      </vt:variant>
      <vt:variant>
        <vt:lpwstr/>
      </vt:variant>
      <vt:variant>
        <vt:lpwstr>_Toc491258189</vt:lpwstr>
      </vt:variant>
      <vt:variant>
        <vt:i4>1835057</vt:i4>
      </vt:variant>
      <vt:variant>
        <vt:i4>50</vt:i4>
      </vt:variant>
      <vt:variant>
        <vt:i4>0</vt:i4>
      </vt:variant>
      <vt:variant>
        <vt:i4>5</vt:i4>
      </vt:variant>
      <vt:variant>
        <vt:lpwstr/>
      </vt:variant>
      <vt:variant>
        <vt:lpwstr>_Toc491258188</vt:lpwstr>
      </vt:variant>
      <vt:variant>
        <vt:i4>1835057</vt:i4>
      </vt:variant>
      <vt:variant>
        <vt:i4>44</vt:i4>
      </vt:variant>
      <vt:variant>
        <vt:i4>0</vt:i4>
      </vt:variant>
      <vt:variant>
        <vt:i4>5</vt:i4>
      </vt:variant>
      <vt:variant>
        <vt:lpwstr/>
      </vt:variant>
      <vt:variant>
        <vt:lpwstr>_Toc491258187</vt:lpwstr>
      </vt:variant>
      <vt:variant>
        <vt:i4>1835057</vt:i4>
      </vt:variant>
      <vt:variant>
        <vt:i4>38</vt:i4>
      </vt:variant>
      <vt:variant>
        <vt:i4>0</vt:i4>
      </vt:variant>
      <vt:variant>
        <vt:i4>5</vt:i4>
      </vt:variant>
      <vt:variant>
        <vt:lpwstr/>
      </vt:variant>
      <vt:variant>
        <vt:lpwstr>_Toc491258186</vt:lpwstr>
      </vt:variant>
      <vt:variant>
        <vt:i4>1835057</vt:i4>
      </vt:variant>
      <vt:variant>
        <vt:i4>32</vt:i4>
      </vt:variant>
      <vt:variant>
        <vt:i4>0</vt:i4>
      </vt:variant>
      <vt:variant>
        <vt:i4>5</vt:i4>
      </vt:variant>
      <vt:variant>
        <vt:lpwstr/>
      </vt:variant>
      <vt:variant>
        <vt:lpwstr>_Toc491258185</vt:lpwstr>
      </vt:variant>
      <vt:variant>
        <vt:i4>1835057</vt:i4>
      </vt:variant>
      <vt:variant>
        <vt:i4>26</vt:i4>
      </vt:variant>
      <vt:variant>
        <vt:i4>0</vt:i4>
      </vt:variant>
      <vt:variant>
        <vt:i4>5</vt:i4>
      </vt:variant>
      <vt:variant>
        <vt:lpwstr/>
      </vt:variant>
      <vt:variant>
        <vt:lpwstr>_Toc491258184</vt:lpwstr>
      </vt:variant>
      <vt:variant>
        <vt:i4>1835057</vt:i4>
      </vt:variant>
      <vt:variant>
        <vt:i4>20</vt:i4>
      </vt:variant>
      <vt:variant>
        <vt:i4>0</vt:i4>
      </vt:variant>
      <vt:variant>
        <vt:i4>5</vt:i4>
      </vt:variant>
      <vt:variant>
        <vt:lpwstr/>
      </vt:variant>
      <vt:variant>
        <vt:lpwstr>_Toc491258183</vt:lpwstr>
      </vt:variant>
      <vt:variant>
        <vt:i4>1835057</vt:i4>
      </vt:variant>
      <vt:variant>
        <vt:i4>14</vt:i4>
      </vt:variant>
      <vt:variant>
        <vt:i4>0</vt:i4>
      </vt:variant>
      <vt:variant>
        <vt:i4>5</vt:i4>
      </vt:variant>
      <vt:variant>
        <vt:lpwstr/>
      </vt:variant>
      <vt:variant>
        <vt:lpwstr>_Toc491258182</vt:lpwstr>
      </vt:variant>
      <vt:variant>
        <vt:i4>1835057</vt:i4>
      </vt:variant>
      <vt:variant>
        <vt:i4>8</vt:i4>
      </vt:variant>
      <vt:variant>
        <vt:i4>0</vt:i4>
      </vt:variant>
      <vt:variant>
        <vt:i4>5</vt:i4>
      </vt:variant>
      <vt:variant>
        <vt:lpwstr/>
      </vt:variant>
      <vt:variant>
        <vt:lpwstr>_Toc491258181</vt:lpwstr>
      </vt:variant>
      <vt:variant>
        <vt:i4>1835057</vt:i4>
      </vt:variant>
      <vt:variant>
        <vt:i4>2</vt:i4>
      </vt:variant>
      <vt:variant>
        <vt:i4>0</vt:i4>
      </vt:variant>
      <vt:variant>
        <vt:i4>5</vt:i4>
      </vt:variant>
      <vt:variant>
        <vt:lpwstr/>
      </vt:variant>
      <vt:variant>
        <vt:lpwstr>_Toc491258180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
  <dc:creator>Deskins, Matthew (DEQ)</dc:creator>
  <cp:keywords>DEQ-AQD-ROP Related Template</cp:keywords>
  <cp:lastModifiedBy>Frens, Colleen (DEQ)</cp:lastModifiedBy>
  <cp:revision>6</cp:revision>
  <cp:lastPrinted>2018-09-12T18:50:00Z</cp:lastPrinted>
  <dcterms:created xsi:type="dcterms:W3CDTF">2018-09-11T12:52:00Z</dcterms:created>
  <dcterms:modified xsi:type="dcterms:W3CDTF">2018-09-12T18:51:00Z</dcterms:modified>
  <cp:category>DEQ-AQD-ROP Related Template</cp:category>
</cp:coreProperties>
</file>