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7840" w14:textId="77777777" w:rsidR="00AF4326" w:rsidRDefault="00AF4326">
      <w:pPr>
        <w:pStyle w:val="Header"/>
        <w:tabs>
          <w:tab w:val="clear" w:pos="4320"/>
          <w:tab w:val="clear" w:pos="8640"/>
        </w:tabs>
        <w:rPr>
          <w:rFonts w:ascii="Arial" w:hAnsi="Arial"/>
          <w:sz w:val="18"/>
        </w:rPr>
      </w:pPr>
    </w:p>
    <w:p w14:paraId="4D6F0438"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3A7F4661" w14:textId="77777777" w:rsidTr="00240431">
        <w:tc>
          <w:tcPr>
            <w:tcW w:w="2250" w:type="dxa"/>
          </w:tcPr>
          <w:p w14:paraId="3701B16F" w14:textId="77777777" w:rsidR="00AA0D6E" w:rsidRDefault="00AA0D6E" w:rsidP="00AA0D6E">
            <w:pPr>
              <w:jc w:val="center"/>
              <w:rPr>
                <w:rFonts w:ascii="Arial" w:hAnsi="Arial"/>
                <w:sz w:val="16"/>
              </w:rPr>
            </w:pPr>
          </w:p>
        </w:tc>
        <w:tc>
          <w:tcPr>
            <w:tcW w:w="5670" w:type="dxa"/>
          </w:tcPr>
          <w:p w14:paraId="5700C80A"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540703DE" w14:textId="77777777" w:rsidR="00AA0D6E" w:rsidRDefault="00AA0D6E" w:rsidP="00AA0D6E">
            <w:pPr>
              <w:jc w:val="center"/>
              <w:rPr>
                <w:rFonts w:ascii="Arial" w:hAnsi="Arial"/>
                <w:sz w:val="16"/>
              </w:rPr>
            </w:pPr>
            <w:r>
              <w:rPr>
                <w:rFonts w:ascii="Arial" w:hAnsi="Arial"/>
              </w:rPr>
              <w:t>Air Quality Division</w:t>
            </w:r>
          </w:p>
        </w:tc>
        <w:tc>
          <w:tcPr>
            <w:tcW w:w="2430" w:type="dxa"/>
          </w:tcPr>
          <w:p w14:paraId="2C2C4C7E" w14:textId="77777777" w:rsidR="00AA0D6E" w:rsidRDefault="00AA0D6E" w:rsidP="00AA0D6E">
            <w:pPr>
              <w:jc w:val="center"/>
              <w:rPr>
                <w:rFonts w:ascii="Arial" w:hAnsi="Arial"/>
                <w:b/>
                <w:sz w:val="24"/>
              </w:rPr>
            </w:pPr>
          </w:p>
        </w:tc>
      </w:tr>
      <w:tr w:rsidR="00AA0D6E" w14:paraId="24298202" w14:textId="77777777" w:rsidTr="00240431">
        <w:trPr>
          <w:cantSplit/>
          <w:trHeight w:val="146"/>
        </w:trPr>
        <w:tc>
          <w:tcPr>
            <w:tcW w:w="2250" w:type="dxa"/>
          </w:tcPr>
          <w:p w14:paraId="3FBBD174"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235F1D4B"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12F38B09"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3F2BE0AA" w14:textId="77777777" w:rsidTr="00240431">
        <w:trPr>
          <w:cantSplit/>
          <w:trHeight w:val="145"/>
        </w:trPr>
        <w:tc>
          <w:tcPr>
            <w:tcW w:w="2250" w:type="dxa"/>
          </w:tcPr>
          <w:p w14:paraId="676D40DE" w14:textId="651E6267" w:rsidR="00AA0D6E" w:rsidRPr="00910FEA" w:rsidRDefault="002C4670" w:rsidP="00AA0D6E">
            <w:pPr>
              <w:pStyle w:val="Header"/>
              <w:jc w:val="center"/>
              <w:rPr>
                <w:rFonts w:ascii="Arial" w:hAnsi="Arial"/>
                <w:sz w:val="22"/>
                <w:szCs w:val="22"/>
              </w:rPr>
            </w:pPr>
            <w:r w:rsidRPr="002C4670">
              <w:rPr>
                <w:rFonts w:ascii="Arial" w:hAnsi="Arial"/>
                <w:sz w:val="22"/>
              </w:rPr>
              <w:t>N7256</w:t>
            </w:r>
          </w:p>
        </w:tc>
        <w:tc>
          <w:tcPr>
            <w:tcW w:w="5670" w:type="dxa"/>
          </w:tcPr>
          <w:p w14:paraId="655E830D"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75D673F8" w14:textId="056F23DF" w:rsidR="00AA0D6E" w:rsidRPr="00910FEA" w:rsidRDefault="0082220E" w:rsidP="00AA0D6E">
            <w:pPr>
              <w:pStyle w:val="Header"/>
              <w:jc w:val="center"/>
              <w:rPr>
                <w:rFonts w:ascii="Arial" w:hAnsi="Arial"/>
                <w:sz w:val="22"/>
                <w:szCs w:val="22"/>
              </w:rPr>
            </w:pPr>
            <w:bookmarkStart w:id="0" w:name="Text17"/>
            <w:r>
              <w:rPr>
                <w:rFonts w:ascii="Arial" w:hAnsi="Arial"/>
                <w:sz w:val="22"/>
                <w:szCs w:val="22"/>
              </w:rPr>
              <w:t>MI-ROP-N7256-20</w:t>
            </w:r>
            <w:bookmarkEnd w:id="0"/>
            <w:r w:rsidR="004B2EB4">
              <w:rPr>
                <w:rFonts w:ascii="Arial" w:hAnsi="Arial"/>
                <w:sz w:val="22"/>
                <w:szCs w:val="22"/>
              </w:rPr>
              <w:t>24</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1" w:name="ROP"/>
            <w:r w:rsidR="00AA0D6E" w:rsidRPr="00910FEA">
              <w:rPr>
                <w:rFonts w:ascii="Arial" w:hAnsi="Arial"/>
                <w:sz w:val="22"/>
                <w:szCs w:val="22"/>
              </w:rPr>
              <w:instrText xml:space="preserve"> FORMTEXT </w:instrText>
            </w:r>
            <w:r w:rsidR="00C914C5">
              <w:rPr>
                <w:rFonts w:ascii="Arial" w:hAnsi="Arial"/>
                <w:sz w:val="22"/>
                <w:szCs w:val="22"/>
              </w:rPr>
            </w:r>
            <w:r w:rsidR="00C914C5">
              <w:rPr>
                <w:rFonts w:ascii="Arial" w:hAnsi="Arial"/>
                <w:sz w:val="22"/>
                <w:szCs w:val="22"/>
              </w:rPr>
              <w:fldChar w:fldCharType="separate"/>
            </w:r>
            <w:r w:rsidR="00AA0D6E" w:rsidRPr="00910FEA">
              <w:rPr>
                <w:rFonts w:ascii="Arial" w:hAnsi="Arial"/>
                <w:sz w:val="22"/>
                <w:szCs w:val="22"/>
              </w:rPr>
              <w:fldChar w:fldCharType="end"/>
            </w:r>
            <w:bookmarkEnd w:id="1"/>
          </w:p>
        </w:tc>
      </w:tr>
    </w:tbl>
    <w:p w14:paraId="11569F12" w14:textId="77777777" w:rsidR="00AF4326" w:rsidRDefault="00AF4326">
      <w:pPr>
        <w:rPr>
          <w:rFonts w:ascii="Arial" w:hAnsi="Arial"/>
          <w:color w:val="000000"/>
          <w:sz w:val="14"/>
        </w:rPr>
      </w:pPr>
    </w:p>
    <w:p w14:paraId="432129B0" w14:textId="77777777" w:rsidR="00AF4326" w:rsidRDefault="00AF4326">
      <w:pPr>
        <w:jc w:val="center"/>
        <w:rPr>
          <w:rFonts w:ascii="Arial" w:hAnsi="Arial"/>
          <w:sz w:val="22"/>
        </w:rPr>
      </w:pPr>
    </w:p>
    <w:p w14:paraId="6A492EF5" w14:textId="3C9CE656" w:rsidR="003D6C8F" w:rsidRPr="003D6C8F" w:rsidRDefault="002C4670">
      <w:pPr>
        <w:jc w:val="center"/>
        <w:rPr>
          <w:rFonts w:ascii="Arial" w:hAnsi="Arial"/>
          <w:b/>
          <w:sz w:val="22"/>
        </w:rPr>
      </w:pPr>
      <w:r w:rsidRPr="002C4670">
        <w:rPr>
          <w:rFonts w:ascii="Arial" w:hAnsi="Arial"/>
          <w:b/>
          <w:sz w:val="22"/>
        </w:rPr>
        <w:t>Universal Coating, Inc.</w:t>
      </w:r>
    </w:p>
    <w:p w14:paraId="149B6E09" w14:textId="77777777" w:rsidR="00AF4326" w:rsidRDefault="00AF4326">
      <w:pPr>
        <w:rPr>
          <w:rFonts w:ascii="Arial" w:hAnsi="Arial"/>
          <w:sz w:val="22"/>
        </w:rPr>
      </w:pPr>
    </w:p>
    <w:p w14:paraId="29D8FA81" w14:textId="77777777" w:rsidR="00AF4326" w:rsidRDefault="00AF4326">
      <w:pPr>
        <w:jc w:val="center"/>
        <w:rPr>
          <w:rFonts w:ascii="Arial" w:hAnsi="Arial"/>
          <w:sz w:val="22"/>
        </w:rPr>
      </w:pPr>
    </w:p>
    <w:p w14:paraId="040EF94A" w14:textId="7EBC161A"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1648A">
        <w:rPr>
          <w:rFonts w:ascii="Arial" w:hAnsi="Arial"/>
          <w:sz w:val="22"/>
        </w:rPr>
        <w:t xml:space="preserve"> </w:t>
      </w:r>
      <w:r w:rsidR="002C4670" w:rsidRPr="002C4670">
        <w:rPr>
          <w:rFonts w:ascii="Arial" w:hAnsi="Arial"/>
          <w:sz w:val="22"/>
        </w:rPr>
        <w:t>N7256</w:t>
      </w:r>
    </w:p>
    <w:p w14:paraId="4D7E37DD" w14:textId="77777777" w:rsidR="00AF4326" w:rsidRDefault="00AF4326">
      <w:pPr>
        <w:jc w:val="center"/>
        <w:rPr>
          <w:rFonts w:ascii="Arial" w:hAnsi="Arial"/>
          <w:sz w:val="22"/>
        </w:rPr>
      </w:pPr>
    </w:p>
    <w:p w14:paraId="7E320B06"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60DDDB0A" w14:textId="77777777" w:rsidR="006240B1" w:rsidRDefault="006240B1">
      <w:pPr>
        <w:jc w:val="center"/>
        <w:outlineLvl w:val="0"/>
        <w:rPr>
          <w:rFonts w:ascii="Arial" w:hAnsi="Arial"/>
          <w:sz w:val="22"/>
        </w:rPr>
      </w:pPr>
    </w:p>
    <w:p w14:paraId="5292CBC7" w14:textId="3EF669D4" w:rsidR="00AF4326" w:rsidRDefault="002C4670">
      <w:pPr>
        <w:jc w:val="center"/>
        <w:rPr>
          <w:rFonts w:ascii="Arial" w:hAnsi="Arial"/>
          <w:sz w:val="22"/>
        </w:rPr>
      </w:pPr>
      <w:r w:rsidRPr="002C4670">
        <w:rPr>
          <w:rFonts w:ascii="Arial" w:hAnsi="Arial"/>
          <w:sz w:val="22"/>
        </w:rPr>
        <w:t>5204 Energy Drive, Flint, Genesee County, Michigan 48505</w:t>
      </w:r>
    </w:p>
    <w:p w14:paraId="0E46B53F" w14:textId="77777777" w:rsidR="002C4670" w:rsidRDefault="002C4670">
      <w:pPr>
        <w:jc w:val="center"/>
        <w:rPr>
          <w:rFonts w:ascii="Arial" w:hAnsi="Arial"/>
          <w:sz w:val="22"/>
        </w:rPr>
      </w:pPr>
    </w:p>
    <w:p w14:paraId="64A0746C" w14:textId="13317934"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2" w:name="Text19"/>
      <w:r w:rsidR="0082220E">
        <w:rPr>
          <w:rFonts w:ascii="Arial" w:hAnsi="Arial"/>
          <w:noProof/>
          <w:sz w:val="22"/>
        </w:rPr>
        <w:t>MI-ROP-N7256-20</w:t>
      </w:r>
      <w:bookmarkEnd w:id="2"/>
      <w:r w:rsidR="004B2EB4">
        <w:rPr>
          <w:rFonts w:ascii="Arial" w:hAnsi="Arial"/>
          <w:noProof/>
          <w:sz w:val="22"/>
        </w:rPr>
        <w:t>24</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7A9F38FC" w14:textId="77777777" w:rsidR="00AF4326" w:rsidRDefault="00AF4326">
      <w:pPr>
        <w:ind w:left="3150"/>
        <w:rPr>
          <w:rFonts w:ascii="Arial" w:hAnsi="Arial"/>
          <w:sz w:val="22"/>
        </w:rPr>
      </w:pPr>
    </w:p>
    <w:p w14:paraId="495A0F03" w14:textId="172EF3E3"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BE59C7">
        <w:rPr>
          <w:rFonts w:ascii="Arial" w:hAnsi="Arial"/>
          <w:sz w:val="22"/>
        </w:rPr>
        <w:t>January 22, 2024</w:t>
      </w:r>
    </w:p>
    <w:p w14:paraId="2D91A515" w14:textId="77777777" w:rsidR="00DB5924" w:rsidRPr="007129B8" w:rsidRDefault="00DB5924">
      <w:pPr>
        <w:pStyle w:val="BodyText"/>
      </w:pPr>
    </w:p>
    <w:p w14:paraId="4776EDC5" w14:textId="77777777" w:rsidR="00644884" w:rsidRDefault="00644884" w:rsidP="00DB5924">
      <w:pPr>
        <w:jc w:val="both"/>
        <w:rPr>
          <w:rFonts w:ascii="Arial" w:hAnsi="Arial"/>
          <w:sz w:val="22"/>
        </w:rPr>
      </w:pPr>
    </w:p>
    <w:p w14:paraId="388C81EC" w14:textId="77777777" w:rsidR="00644884" w:rsidRDefault="00644884" w:rsidP="00DB5924">
      <w:pPr>
        <w:jc w:val="both"/>
        <w:rPr>
          <w:rFonts w:ascii="Arial" w:hAnsi="Arial"/>
          <w:sz w:val="22"/>
        </w:rPr>
      </w:pPr>
    </w:p>
    <w:p w14:paraId="01610F08" w14:textId="77777777" w:rsidR="00644884" w:rsidRDefault="00644884" w:rsidP="00DB5924">
      <w:pPr>
        <w:jc w:val="both"/>
        <w:rPr>
          <w:rFonts w:ascii="Arial" w:hAnsi="Arial"/>
          <w:sz w:val="22"/>
        </w:rPr>
      </w:pPr>
    </w:p>
    <w:p w14:paraId="038A66A6"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6F909F62" w14:textId="77777777" w:rsidR="00AF4326" w:rsidRDefault="00AF4326">
      <w:pPr>
        <w:rPr>
          <w:rFonts w:ascii="Arial" w:hAnsi="Arial"/>
          <w:sz w:val="22"/>
        </w:rPr>
      </w:pPr>
    </w:p>
    <w:p w14:paraId="1A3F56F7" w14:textId="77777777" w:rsidR="00AF4326" w:rsidRDefault="00AF4326">
      <w:pPr>
        <w:rPr>
          <w:rFonts w:ascii="Arial" w:hAnsi="Arial"/>
          <w:sz w:val="22"/>
        </w:rPr>
      </w:pPr>
    </w:p>
    <w:p w14:paraId="0AF80C96" w14:textId="77777777" w:rsidR="00AF4326" w:rsidRDefault="00AF4326">
      <w:pPr>
        <w:rPr>
          <w:rFonts w:ascii="Arial" w:hAnsi="Arial"/>
          <w:sz w:val="22"/>
        </w:rPr>
      </w:pPr>
    </w:p>
    <w:p w14:paraId="69079B93" w14:textId="77777777" w:rsidR="00AF4326" w:rsidRDefault="00AF4326">
      <w:pPr>
        <w:rPr>
          <w:rFonts w:ascii="Arial" w:hAnsi="Arial"/>
          <w:sz w:val="22"/>
        </w:rPr>
      </w:pPr>
    </w:p>
    <w:p w14:paraId="63E8425F" w14:textId="77777777" w:rsidR="00AF4326" w:rsidRDefault="00AF4326">
      <w:pPr>
        <w:rPr>
          <w:rFonts w:ascii="Arial" w:hAnsi="Arial"/>
          <w:sz w:val="22"/>
        </w:rPr>
      </w:pPr>
    </w:p>
    <w:p w14:paraId="60472CE6" w14:textId="77777777" w:rsidR="00AF4326" w:rsidRDefault="00AF4326">
      <w:pPr>
        <w:rPr>
          <w:rFonts w:ascii="Arial" w:hAnsi="Arial"/>
          <w:sz w:val="22"/>
        </w:rPr>
      </w:pPr>
    </w:p>
    <w:p w14:paraId="25924D19" w14:textId="77777777" w:rsidR="00DB5924" w:rsidRDefault="00DB5924">
      <w:pPr>
        <w:rPr>
          <w:rFonts w:ascii="Arial" w:hAnsi="Arial"/>
          <w:sz w:val="22"/>
        </w:rPr>
      </w:pPr>
    </w:p>
    <w:p w14:paraId="78A46DE1" w14:textId="77777777" w:rsidR="00DB5924" w:rsidRDefault="00DB5924">
      <w:pPr>
        <w:rPr>
          <w:rFonts w:ascii="Arial" w:hAnsi="Arial"/>
          <w:sz w:val="22"/>
        </w:rPr>
      </w:pPr>
    </w:p>
    <w:p w14:paraId="57183A9C" w14:textId="77777777" w:rsidR="00DB5924" w:rsidRDefault="00DB5924">
      <w:pPr>
        <w:rPr>
          <w:rFonts w:ascii="Arial" w:hAnsi="Arial"/>
          <w:sz w:val="22"/>
        </w:rPr>
      </w:pPr>
    </w:p>
    <w:p w14:paraId="578D65D6" w14:textId="77777777" w:rsidR="00DB5924" w:rsidRDefault="00DB5924">
      <w:pPr>
        <w:rPr>
          <w:rFonts w:ascii="Arial" w:hAnsi="Arial"/>
          <w:sz w:val="22"/>
        </w:rPr>
      </w:pPr>
    </w:p>
    <w:p w14:paraId="6688A38C" w14:textId="77777777" w:rsidR="00DB5924" w:rsidRDefault="00DB5924">
      <w:pPr>
        <w:rPr>
          <w:rFonts w:ascii="Arial" w:hAnsi="Arial"/>
          <w:sz w:val="22"/>
        </w:rPr>
      </w:pPr>
    </w:p>
    <w:p w14:paraId="22F725C7" w14:textId="77777777" w:rsidR="00DB5924" w:rsidRDefault="00DB5924">
      <w:pPr>
        <w:rPr>
          <w:rFonts w:ascii="Arial" w:hAnsi="Arial"/>
          <w:sz w:val="22"/>
        </w:rPr>
      </w:pPr>
    </w:p>
    <w:p w14:paraId="7E70F6B1" w14:textId="77777777" w:rsidR="00DB5924" w:rsidRDefault="00DB5924">
      <w:pPr>
        <w:rPr>
          <w:rFonts w:ascii="Arial" w:hAnsi="Arial"/>
          <w:sz w:val="22"/>
        </w:rPr>
      </w:pPr>
    </w:p>
    <w:p w14:paraId="4EB4D55E" w14:textId="77777777" w:rsidR="00DB5924" w:rsidRDefault="00DB5924">
      <w:pPr>
        <w:rPr>
          <w:rFonts w:ascii="Arial" w:hAnsi="Arial"/>
          <w:sz w:val="22"/>
        </w:rPr>
      </w:pPr>
    </w:p>
    <w:p w14:paraId="0A6A54BD" w14:textId="77777777" w:rsidR="00AF4326" w:rsidRDefault="00AF4326">
      <w:pPr>
        <w:rPr>
          <w:rFonts w:ascii="Arial" w:hAnsi="Arial"/>
          <w:sz w:val="22"/>
        </w:rPr>
      </w:pPr>
    </w:p>
    <w:p w14:paraId="2C41851E" w14:textId="77777777" w:rsidR="00AF4326" w:rsidRDefault="00AF4326">
      <w:pPr>
        <w:rPr>
          <w:rFonts w:ascii="Arial" w:hAnsi="Arial"/>
          <w:sz w:val="22"/>
        </w:rPr>
      </w:pPr>
    </w:p>
    <w:p w14:paraId="689C9B0D" w14:textId="77777777" w:rsidR="00AF4326" w:rsidRDefault="00AF4326">
      <w:pPr>
        <w:rPr>
          <w:rFonts w:ascii="Arial" w:hAnsi="Arial"/>
          <w:sz w:val="22"/>
        </w:rPr>
      </w:pPr>
    </w:p>
    <w:p w14:paraId="5AF522AE" w14:textId="77777777" w:rsidR="00644884" w:rsidRDefault="00644884">
      <w:pPr>
        <w:rPr>
          <w:rFonts w:ascii="Arial" w:hAnsi="Arial"/>
          <w:sz w:val="22"/>
        </w:rPr>
      </w:pPr>
    </w:p>
    <w:p w14:paraId="094048B4" w14:textId="77777777" w:rsidR="00AF4326" w:rsidRDefault="00644884" w:rsidP="00644884">
      <w:pPr>
        <w:rPr>
          <w:rFonts w:ascii="Arial" w:hAnsi="Arial"/>
          <w:sz w:val="22"/>
        </w:rPr>
      </w:pPr>
      <w:r>
        <w:rPr>
          <w:rFonts w:ascii="Arial" w:hAnsi="Arial"/>
          <w:sz w:val="22"/>
        </w:rPr>
        <w:br w:type="page"/>
      </w:r>
    </w:p>
    <w:p w14:paraId="0231CC8E" w14:textId="77777777" w:rsidR="00AF4326" w:rsidRDefault="00AF4326">
      <w:pPr>
        <w:jc w:val="center"/>
        <w:outlineLvl w:val="0"/>
        <w:rPr>
          <w:rFonts w:ascii="Arial" w:hAnsi="Arial"/>
          <w:b/>
          <w:sz w:val="22"/>
        </w:rPr>
      </w:pPr>
      <w:r>
        <w:rPr>
          <w:rFonts w:ascii="Arial" w:hAnsi="Arial"/>
          <w:b/>
          <w:sz w:val="22"/>
        </w:rPr>
        <w:lastRenderedPageBreak/>
        <w:t>TABLE OF CONTENTS</w:t>
      </w:r>
    </w:p>
    <w:p w14:paraId="7755F135" w14:textId="0EF84FBB" w:rsidR="004B2EB4"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4B2EB4">
        <w:rPr>
          <w:noProof/>
        </w:rPr>
        <w:t>JANUARY 22, 2024 - STAFF REPORT</w:t>
      </w:r>
      <w:r w:rsidR="004B2EB4">
        <w:rPr>
          <w:noProof/>
        </w:rPr>
        <w:tab/>
      </w:r>
      <w:r w:rsidR="004B2EB4">
        <w:rPr>
          <w:noProof/>
        </w:rPr>
        <w:fldChar w:fldCharType="begin"/>
      </w:r>
      <w:r w:rsidR="004B2EB4">
        <w:rPr>
          <w:noProof/>
        </w:rPr>
        <w:instrText xml:space="preserve"> PAGEREF _Toc164071244 \h </w:instrText>
      </w:r>
      <w:r w:rsidR="004B2EB4">
        <w:rPr>
          <w:noProof/>
        </w:rPr>
      </w:r>
      <w:r w:rsidR="004B2EB4">
        <w:rPr>
          <w:noProof/>
        </w:rPr>
        <w:fldChar w:fldCharType="separate"/>
      </w:r>
      <w:r w:rsidR="004B2EB4">
        <w:rPr>
          <w:noProof/>
        </w:rPr>
        <w:t>3</w:t>
      </w:r>
      <w:r w:rsidR="004B2EB4">
        <w:rPr>
          <w:noProof/>
        </w:rPr>
        <w:fldChar w:fldCharType="end"/>
      </w:r>
    </w:p>
    <w:p w14:paraId="37137AC9" w14:textId="45FD1327" w:rsidR="004B2EB4" w:rsidRDefault="004B2EB4">
      <w:pPr>
        <w:pStyle w:val="TOC1"/>
        <w:tabs>
          <w:tab w:val="right" w:pos="10214"/>
        </w:tabs>
        <w:rPr>
          <w:rFonts w:asciiTheme="minorHAnsi" w:eastAsiaTheme="minorEastAsia" w:hAnsiTheme="minorHAnsi" w:cstheme="minorBidi"/>
          <w:b w:val="0"/>
          <w:noProof/>
          <w:kern w:val="2"/>
          <w:szCs w:val="22"/>
          <w14:ligatures w14:val="standardContextual"/>
        </w:rPr>
      </w:pPr>
      <w:r>
        <w:rPr>
          <w:noProof/>
        </w:rPr>
        <w:t>FEBRUARY 27, 2024 - STAFF REPORT ADDENDUM</w:t>
      </w:r>
      <w:r>
        <w:rPr>
          <w:noProof/>
        </w:rPr>
        <w:tab/>
      </w:r>
      <w:r>
        <w:rPr>
          <w:noProof/>
        </w:rPr>
        <w:fldChar w:fldCharType="begin"/>
      </w:r>
      <w:r>
        <w:rPr>
          <w:noProof/>
        </w:rPr>
        <w:instrText xml:space="preserve"> PAGEREF _Toc164071245 \h </w:instrText>
      </w:r>
      <w:r>
        <w:rPr>
          <w:noProof/>
        </w:rPr>
      </w:r>
      <w:r>
        <w:rPr>
          <w:noProof/>
        </w:rPr>
        <w:fldChar w:fldCharType="separate"/>
      </w:r>
      <w:r>
        <w:rPr>
          <w:noProof/>
        </w:rPr>
        <w:t>9</w:t>
      </w:r>
      <w:r>
        <w:rPr>
          <w:noProof/>
        </w:rPr>
        <w:fldChar w:fldCharType="end"/>
      </w:r>
    </w:p>
    <w:p w14:paraId="3036AB52" w14:textId="015A520E" w:rsidR="00611548" w:rsidRDefault="00AF4326" w:rsidP="00EE5339">
      <w:pPr>
        <w:pStyle w:val="Header"/>
        <w:tabs>
          <w:tab w:val="clear" w:pos="4320"/>
          <w:tab w:val="clear" w:pos="8640"/>
        </w:tabs>
        <w:rPr>
          <w:rFonts w:ascii="Arial" w:hAnsi="Arial"/>
          <w:b/>
          <w:sz w:val="22"/>
        </w:rPr>
      </w:pPr>
      <w:r>
        <w:rPr>
          <w:rFonts w:ascii="Arial" w:hAnsi="Arial"/>
          <w:b/>
          <w:sz w:val="22"/>
        </w:rPr>
        <w:fldChar w:fldCharType="end"/>
      </w:r>
    </w:p>
    <w:p w14:paraId="7F777C03" w14:textId="77777777" w:rsidR="00611548" w:rsidRDefault="00611548">
      <w:pPr>
        <w:rPr>
          <w:rFonts w:ascii="Arial" w:hAnsi="Arial"/>
          <w:b/>
          <w:sz w:val="22"/>
        </w:rPr>
      </w:pPr>
      <w:r>
        <w:rPr>
          <w:rFonts w:ascii="Arial" w:hAnsi="Arial"/>
          <w:b/>
          <w:sz w:val="22"/>
        </w:rPr>
        <w:br w:type="page"/>
      </w:r>
    </w:p>
    <w:p w14:paraId="44D4B6EB" w14:textId="77777777" w:rsidR="004577DE" w:rsidRDefault="004577DE" w:rsidP="00EE5339">
      <w:pPr>
        <w:pStyle w:val="Header"/>
        <w:tabs>
          <w:tab w:val="clear" w:pos="4320"/>
          <w:tab w:val="clear" w:pos="8640"/>
        </w:tabs>
        <w:rPr>
          <w:rFonts w:ascii="Arial" w:hAnsi="Arial"/>
          <w:sz w:val="22"/>
        </w:rPr>
      </w:pPr>
    </w:p>
    <w:tbl>
      <w:tblPr>
        <w:tblW w:w="10564" w:type="dxa"/>
        <w:tblInd w:w="108" w:type="dxa"/>
        <w:tblLayout w:type="fixed"/>
        <w:tblLook w:val="0000" w:firstRow="0" w:lastRow="0" w:firstColumn="0" w:lastColumn="0" w:noHBand="0" w:noVBand="0"/>
      </w:tblPr>
      <w:tblGrid>
        <w:gridCol w:w="2250"/>
        <w:gridCol w:w="5940"/>
        <w:gridCol w:w="2374"/>
      </w:tblGrid>
      <w:tr w:rsidR="004577DE" w14:paraId="4CD3312D" w14:textId="77777777" w:rsidTr="004577DE">
        <w:tc>
          <w:tcPr>
            <w:tcW w:w="2250" w:type="dxa"/>
          </w:tcPr>
          <w:p w14:paraId="3C57246F" w14:textId="77777777" w:rsidR="004577DE" w:rsidRDefault="004577DE" w:rsidP="004577DE">
            <w:pPr>
              <w:ind w:right="252"/>
              <w:jc w:val="center"/>
              <w:rPr>
                <w:rFonts w:ascii="Arial" w:hAnsi="Arial"/>
                <w:sz w:val="16"/>
              </w:rPr>
            </w:pPr>
          </w:p>
        </w:tc>
        <w:tc>
          <w:tcPr>
            <w:tcW w:w="5940" w:type="dxa"/>
          </w:tcPr>
          <w:p w14:paraId="761D8047"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64CF0858" w14:textId="77777777" w:rsidR="004577DE" w:rsidRDefault="004577DE" w:rsidP="00C65371">
            <w:pPr>
              <w:jc w:val="center"/>
              <w:rPr>
                <w:rFonts w:ascii="Arial" w:hAnsi="Arial"/>
                <w:sz w:val="16"/>
              </w:rPr>
            </w:pPr>
            <w:r>
              <w:rPr>
                <w:rFonts w:ascii="Arial" w:hAnsi="Arial"/>
              </w:rPr>
              <w:t>Air Quality Division</w:t>
            </w:r>
          </w:p>
        </w:tc>
        <w:tc>
          <w:tcPr>
            <w:tcW w:w="2374" w:type="dxa"/>
          </w:tcPr>
          <w:p w14:paraId="75800F2D" w14:textId="77777777" w:rsidR="004577DE" w:rsidRDefault="004577DE" w:rsidP="00C65371">
            <w:pPr>
              <w:ind w:left="-73"/>
              <w:jc w:val="center"/>
              <w:rPr>
                <w:rFonts w:ascii="Arial" w:hAnsi="Arial"/>
                <w:sz w:val="16"/>
              </w:rPr>
            </w:pPr>
          </w:p>
        </w:tc>
      </w:tr>
      <w:tr w:rsidR="004577DE" w:rsidRPr="00DB5924" w14:paraId="6743E95F" w14:textId="77777777" w:rsidTr="004577DE">
        <w:trPr>
          <w:cantSplit/>
          <w:trHeight w:val="333"/>
        </w:trPr>
        <w:tc>
          <w:tcPr>
            <w:tcW w:w="2250" w:type="dxa"/>
          </w:tcPr>
          <w:p w14:paraId="5D1260B1"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25143BDF"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14499E20"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43E70BBE" w14:textId="77777777" w:rsidTr="004577DE">
        <w:trPr>
          <w:cantSplit/>
          <w:trHeight w:val="428"/>
        </w:trPr>
        <w:tc>
          <w:tcPr>
            <w:tcW w:w="2250" w:type="dxa"/>
            <w:tcBorders>
              <w:bottom w:val="nil"/>
            </w:tcBorders>
          </w:tcPr>
          <w:p w14:paraId="335CC0BF" w14:textId="5794BA9E" w:rsidR="004577DE" w:rsidRPr="00910FEA" w:rsidRDefault="004577DE" w:rsidP="00C6537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82220E">
              <w:rPr>
                <w:rFonts w:ascii="Arial" w:hAnsi="Arial"/>
                <w:sz w:val="22"/>
                <w:szCs w:val="22"/>
              </w:rPr>
              <w:t>N7256</w:t>
            </w:r>
            <w:r w:rsidRPr="00910FEA">
              <w:rPr>
                <w:rFonts w:ascii="Arial" w:hAnsi="Arial"/>
                <w:sz w:val="22"/>
                <w:szCs w:val="22"/>
              </w:rPr>
              <w:fldChar w:fldCharType="end"/>
            </w:r>
          </w:p>
        </w:tc>
        <w:tc>
          <w:tcPr>
            <w:tcW w:w="5940" w:type="dxa"/>
            <w:tcBorders>
              <w:bottom w:val="nil"/>
            </w:tcBorders>
          </w:tcPr>
          <w:p w14:paraId="2DE8E0AB" w14:textId="27594A37" w:rsidR="004577DE" w:rsidRPr="0057400E" w:rsidRDefault="00BE59C7" w:rsidP="00C65371">
            <w:pPr>
              <w:pStyle w:val="Heading1"/>
              <w:spacing w:before="120"/>
              <w:rPr>
                <w:sz w:val="22"/>
                <w:szCs w:val="22"/>
              </w:rPr>
            </w:pPr>
            <w:bookmarkStart w:id="3" w:name="_Toc183429900"/>
            <w:bookmarkStart w:id="4" w:name="_Toc183430200"/>
            <w:bookmarkStart w:id="5" w:name="_Toc323287074"/>
            <w:bookmarkStart w:id="6" w:name="_Toc69376577"/>
            <w:bookmarkStart w:id="7" w:name="_Toc164071244"/>
            <w:r>
              <w:rPr>
                <w:sz w:val="22"/>
                <w:szCs w:val="22"/>
              </w:rPr>
              <w:t>JANUARY 22, 2024</w:t>
            </w:r>
            <w:r w:rsidR="004577DE" w:rsidRPr="00983014">
              <w:rPr>
                <w:sz w:val="22"/>
                <w:szCs w:val="22"/>
              </w:rPr>
              <w:t xml:space="preserve"> </w:t>
            </w:r>
            <w:r w:rsidR="004577DE">
              <w:rPr>
                <w:sz w:val="22"/>
                <w:szCs w:val="22"/>
              </w:rPr>
              <w:t>- S</w:t>
            </w:r>
            <w:r w:rsidR="004577DE" w:rsidRPr="0057400E">
              <w:rPr>
                <w:sz w:val="22"/>
                <w:szCs w:val="22"/>
              </w:rPr>
              <w:t>TAFF REPORT</w:t>
            </w:r>
            <w:bookmarkEnd w:id="3"/>
            <w:bookmarkEnd w:id="4"/>
            <w:bookmarkEnd w:id="5"/>
            <w:bookmarkEnd w:id="6"/>
            <w:bookmarkEnd w:id="7"/>
          </w:p>
        </w:tc>
        <w:tc>
          <w:tcPr>
            <w:tcW w:w="2374" w:type="dxa"/>
            <w:tcBorders>
              <w:bottom w:val="nil"/>
            </w:tcBorders>
          </w:tcPr>
          <w:p w14:paraId="59FFC2F5" w14:textId="7B5E79FD" w:rsidR="004577DE" w:rsidRPr="00910FEA" w:rsidRDefault="0082220E" w:rsidP="00C65371">
            <w:pPr>
              <w:pStyle w:val="Header"/>
              <w:jc w:val="center"/>
              <w:rPr>
                <w:rFonts w:ascii="Arial" w:hAnsi="Arial"/>
                <w:b/>
                <w:sz w:val="22"/>
                <w:szCs w:val="22"/>
              </w:rPr>
            </w:pPr>
            <w:r>
              <w:rPr>
                <w:rFonts w:ascii="Arial" w:hAnsi="Arial"/>
                <w:sz w:val="22"/>
                <w:szCs w:val="22"/>
              </w:rPr>
              <w:t>MI-ROP-N7256-20</w:t>
            </w:r>
            <w:r w:rsidR="004B2EB4">
              <w:rPr>
                <w:rFonts w:ascii="Arial" w:hAnsi="Arial"/>
                <w:sz w:val="22"/>
                <w:szCs w:val="22"/>
              </w:rPr>
              <w:t>24</w:t>
            </w:r>
          </w:p>
        </w:tc>
      </w:tr>
    </w:tbl>
    <w:p w14:paraId="11BA5098" w14:textId="77777777" w:rsidR="0024506D" w:rsidRDefault="0024506D" w:rsidP="00EE5339">
      <w:pPr>
        <w:pStyle w:val="Header"/>
        <w:tabs>
          <w:tab w:val="clear" w:pos="4320"/>
          <w:tab w:val="clear" w:pos="8640"/>
        </w:tabs>
        <w:rPr>
          <w:rFonts w:ascii="Arial" w:hAnsi="Arial"/>
          <w:sz w:val="22"/>
        </w:rPr>
      </w:pPr>
    </w:p>
    <w:p w14:paraId="01D2C1DB" w14:textId="77777777" w:rsidR="00C35BAE" w:rsidRPr="00C35BAE" w:rsidRDefault="00C35BAE" w:rsidP="00C35BAE">
      <w:pPr>
        <w:jc w:val="both"/>
        <w:rPr>
          <w:rFonts w:ascii="Arial" w:hAnsi="Arial"/>
        </w:rPr>
      </w:pPr>
    </w:p>
    <w:p w14:paraId="0D639932" w14:textId="77777777" w:rsidR="00AF4326" w:rsidRPr="00290754" w:rsidRDefault="00AF4326">
      <w:pPr>
        <w:rPr>
          <w:rFonts w:ascii="Arial" w:hAnsi="Arial" w:cs="Arial"/>
          <w:b/>
          <w:sz w:val="22"/>
          <w:szCs w:val="22"/>
          <w:u w:val="single"/>
        </w:rPr>
      </w:pPr>
      <w:bookmarkStart w:id="8" w:name="_Toc480946816"/>
      <w:bookmarkStart w:id="9" w:name="_Toc482691111"/>
      <w:r w:rsidRPr="00290754">
        <w:rPr>
          <w:rFonts w:ascii="Arial" w:hAnsi="Arial" w:cs="Arial"/>
          <w:b/>
          <w:sz w:val="22"/>
          <w:szCs w:val="22"/>
          <w:u w:val="single"/>
        </w:rPr>
        <w:t>Purpose</w:t>
      </w:r>
      <w:bookmarkEnd w:id="8"/>
      <w:bookmarkEnd w:id="9"/>
    </w:p>
    <w:p w14:paraId="40F8D434" w14:textId="77777777" w:rsidR="00AF4326" w:rsidRPr="00290754" w:rsidRDefault="00AF4326">
      <w:pPr>
        <w:jc w:val="both"/>
        <w:rPr>
          <w:rFonts w:ascii="Arial" w:hAnsi="Arial" w:cs="Arial"/>
          <w:sz w:val="22"/>
          <w:szCs w:val="22"/>
        </w:rPr>
      </w:pPr>
    </w:p>
    <w:p w14:paraId="24F1B2D9"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6766EE25" w14:textId="77777777" w:rsidR="00DB5924" w:rsidRPr="00290754" w:rsidRDefault="00DB5924" w:rsidP="00167B85">
      <w:pPr>
        <w:jc w:val="both"/>
        <w:rPr>
          <w:rFonts w:ascii="Arial" w:hAnsi="Arial" w:cs="Arial"/>
          <w:sz w:val="22"/>
          <w:szCs w:val="22"/>
        </w:rPr>
      </w:pPr>
    </w:p>
    <w:p w14:paraId="72CAEDEF"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E16EAA0" w14:textId="77777777" w:rsidR="00DB5924" w:rsidRPr="00290754" w:rsidRDefault="00DB5924" w:rsidP="00DB5924">
      <w:pPr>
        <w:rPr>
          <w:rFonts w:ascii="Arial" w:hAnsi="Arial" w:cs="Arial"/>
          <w:sz w:val="22"/>
          <w:szCs w:val="22"/>
        </w:rPr>
      </w:pPr>
    </w:p>
    <w:p w14:paraId="0033DF42" w14:textId="77777777" w:rsidR="00AF4326" w:rsidRPr="00290754" w:rsidRDefault="00AF4326">
      <w:pPr>
        <w:rPr>
          <w:rFonts w:ascii="Arial" w:hAnsi="Arial" w:cs="Arial"/>
          <w:b/>
          <w:sz w:val="22"/>
          <w:szCs w:val="22"/>
          <w:u w:val="single"/>
        </w:rPr>
      </w:pPr>
      <w:bookmarkStart w:id="10" w:name="_Toc480946817"/>
      <w:bookmarkStart w:id="11" w:name="_Toc482691112"/>
      <w:r w:rsidRPr="00290754">
        <w:rPr>
          <w:rFonts w:ascii="Arial" w:hAnsi="Arial" w:cs="Arial"/>
          <w:b/>
          <w:sz w:val="22"/>
          <w:szCs w:val="22"/>
          <w:u w:val="single"/>
        </w:rPr>
        <w:t>General Information</w:t>
      </w:r>
      <w:bookmarkEnd w:id="10"/>
      <w:bookmarkEnd w:id="11"/>
    </w:p>
    <w:p w14:paraId="6108A670" w14:textId="77777777" w:rsidR="00AF4326" w:rsidRPr="00290754" w:rsidRDefault="00AF4326">
      <w:pP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2BBE1A5C" w14:textId="77777777" w:rsidTr="00BE59C7">
        <w:tc>
          <w:tcPr>
            <w:tcW w:w="5040" w:type="dxa"/>
          </w:tcPr>
          <w:p w14:paraId="23E61120"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DE12A01" w14:textId="77777777" w:rsidR="002C4670" w:rsidRPr="002C4670" w:rsidRDefault="002C4670" w:rsidP="002C4670">
            <w:pPr>
              <w:rPr>
                <w:rFonts w:ascii="Arial" w:hAnsi="Arial" w:cs="Arial"/>
                <w:sz w:val="22"/>
                <w:szCs w:val="22"/>
              </w:rPr>
            </w:pPr>
            <w:r w:rsidRPr="002C4670">
              <w:rPr>
                <w:rFonts w:ascii="Arial" w:hAnsi="Arial" w:cs="Arial"/>
                <w:sz w:val="22"/>
                <w:szCs w:val="22"/>
              </w:rPr>
              <w:t>Universal Coating, Inc.</w:t>
            </w:r>
          </w:p>
          <w:p w14:paraId="72155874" w14:textId="77777777" w:rsidR="002C4670" w:rsidRPr="002C4670" w:rsidRDefault="002C4670" w:rsidP="002C4670">
            <w:pPr>
              <w:rPr>
                <w:rFonts w:ascii="Arial" w:hAnsi="Arial" w:cs="Arial"/>
                <w:sz w:val="22"/>
                <w:szCs w:val="22"/>
              </w:rPr>
            </w:pPr>
            <w:r w:rsidRPr="002C4670">
              <w:rPr>
                <w:rFonts w:ascii="Arial" w:hAnsi="Arial" w:cs="Arial"/>
                <w:sz w:val="22"/>
                <w:szCs w:val="22"/>
              </w:rPr>
              <w:t>5204 Energy Drive</w:t>
            </w:r>
          </w:p>
          <w:p w14:paraId="10551973" w14:textId="37EF5027" w:rsidR="00AF4326" w:rsidRPr="00290754" w:rsidRDefault="002C4670" w:rsidP="002C4670">
            <w:pPr>
              <w:rPr>
                <w:rFonts w:ascii="Arial" w:hAnsi="Arial" w:cs="Arial"/>
                <w:sz w:val="22"/>
                <w:szCs w:val="22"/>
              </w:rPr>
            </w:pPr>
            <w:r w:rsidRPr="002C4670">
              <w:rPr>
                <w:rFonts w:ascii="Arial" w:hAnsi="Arial" w:cs="Arial"/>
                <w:sz w:val="22"/>
                <w:szCs w:val="22"/>
              </w:rPr>
              <w:t>Flint, Michigan 48505</w:t>
            </w:r>
          </w:p>
        </w:tc>
      </w:tr>
      <w:tr w:rsidR="00AF4326" w:rsidRPr="00290754" w14:paraId="7EB984AF" w14:textId="77777777" w:rsidTr="00BE59C7">
        <w:trPr>
          <w:trHeight w:val="273"/>
        </w:trPr>
        <w:tc>
          <w:tcPr>
            <w:tcW w:w="5040" w:type="dxa"/>
          </w:tcPr>
          <w:p w14:paraId="3705FD23"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7BCCE6A7" w14:textId="5D9D39CD" w:rsidR="00AF4326" w:rsidRPr="00290754" w:rsidRDefault="002C4670">
            <w:pPr>
              <w:rPr>
                <w:rFonts w:ascii="Arial" w:hAnsi="Arial" w:cs="Arial"/>
                <w:sz w:val="22"/>
                <w:szCs w:val="22"/>
              </w:rPr>
            </w:pPr>
            <w:r w:rsidRPr="002C4670">
              <w:rPr>
                <w:rFonts w:ascii="Arial" w:hAnsi="Arial" w:cs="Arial"/>
                <w:sz w:val="22"/>
                <w:szCs w:val="22"/>
              </w:rPr>
              <w:t>N7256</w:t>
            </w:r>
          </w:p>
        </w:tc>
      </w:tr>
      <w:tr w:rsidR="00AF4326" w:rsidRPr="00290754" w14:paraId="19CDF9EC" w14:textId="77777777" w:rsidTr="00BE59C7">
        <w:tc>
          <w:tcPr>
            <w:tcW w:w="5040" w:type="dxa"/>
          </w:tcPr>
          <w:p w14:paraId="2E241CB2"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3A6D9A87" w14:textId="6F886A6F" w:rsidR="00AF4326" w:rsidRPr="00290754" w:rsidRDefault="002C4670">
            <w:pPr>
              <w:rPr>
                <w:rFonts w:ascii="Arial" w:hAnsi="Arial" w:cs="Arial"/>
                <w:sz w:val="22"/>
                <w:szCs w:val="22"/>
              </w:rPr>
            </w:pPr>
            <w:r w:rsidRPr="002C4670">
              <w:rPr>
                <w:rFonts w:ascii="Arial" w:hAnsi="Arial" w:cs="Arial"/>
                <w:sz w:val="22"/>
                <w:szCs w:val="22"/>
              </w:rPr>
              <w:t>332812 - Metal Coating, Engraving (except Jewelry and Silverware), and Allied Services to Manufacturers</w:t>
            </w:r>
          </w:p>
        </w:tc>
      </w:tr>
      <w:tr w:rsidR="00AF4326" w:rsidRPr="00290754" w14:paraId="5647BAEF" w14:textId="77777777" w:rsidTr="00BE59C7">
        <w:tc>
          <w:tcPr>
            <w:tcW w:w="5040" w:type="dxa"/>
          </w:tcPr>
          <w:p w14:paraId="0DF99426"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3AB53F3C" w14:textId="3DA6BD5B" w:rsidR="00AF4326" w:rsidRPr="00290754" w:rsidRDefault="002C4670">
            <w:pPr>
              <w:rPr>
                <w:rFonts w:ascii="Arial" w:hAnsi="Arial" w:cs="Arial"/>
                <w:sz w:val="22"/>
                <w:szCs w:val="22"/>
              </w:rPr>
            </w:pPr>
            <w:r w:rsidRPr="002C4670">
              <w:rPr>
                <w:rFonts w:ascii="Arial" w:hAnsi="Arial" w:cs="Arial"/>
                <w:sz w:val="22"/>
                <w:szCs w:val="22"/>
              </w:rPr>
              <w:t>1</w:t>
            </w:r>
          </w:p>
        </w:tc>
      </w:tr>
      <w:tr w:rsidR="00647809" w:rsidRPr="00290754" w14:paraId="14ED7999" w14:textId="77777777" w:rsidTr="00BE59C7">
        <w:tc>
          <w:tcPr>
            <w:tcW w:w="5040" w:type="dxa"/>
          </w:tcPr>
          <w:p w14:paraId="18DB505F"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30A7156B" w14:textId="0BE87BBC" w:rsidR="00647809" w:rsidRDefault="002C4670">
            <w:pPr>
              <w:rPr>
                <w:rFonts w:ascii="Arial" w:hAnsi="Arial" w:cs="Arial"/>
                <w:sz w:val="22"/>
                <w:szCs w:val="22"/>
              </w:rPr>
            </w:pPr>
            <w:r w:rsidRPr="002C4670">
              <w:rPr>
                <w:rFonts w:ascii="Arial" w:hAnsi="Arial" w:cs="Arial"/>
                <w:sz w:val="22"/>
                <w:szCs w:val="22"/>
              </w:rPr>
              <w:t>Renewal</w:t>
            </w:r>
          </w:p>
        </w:tc>
      </w:tr>
      <w:tr w:rsidR="00AF4326" w:rsidRPr="00290754" w14:paraId="277AB2EF" w14:textId="77777777" w:rsidTr="00BE59C7">
        <w:tc>
          <w:tcPr>
            <w:tcW w:w="5040" w:type="dxa"/>
          </w:tcPr>
          <w:p w14:paraId="755EA03F"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4A367D88" w14:textId="1B8B6BBA" w:rsidR="00AF4326" w:rsidRPr="00290754" w:rsidRDefault="002C4670">
            <w:pPr>
              <w:rPr>
                <w:rFonts w:ascii="Arial" w:hAnsi="Arial" w:cs="Arial"/>
                <w:sz w:val="22"/>
                <w:szCs w:val="22"/>
              </w:rPr>
            </w:pPr>
            <w:r w:rsidRPr="002C4670">
              <w:rPr>
                <w:rFonts w:ascii="Arial" w:hAnsi="Arial" w:cs="Arial"/>
                <w:sz w:val="22"/>
                <w:szCs w:val="22"/>
              </w:rPr>
              <w:t>202200037</w:t>
            </w:r>
          </w:p>
        </w:tc>
      </w:tr>
      <w:tr w:rsidR="00AF4326" w:rsidRPr="00290754" w14:paraId="560EA374" w14:textId="77777777" w:rsidTr="00BE59C7">
        <w:tc>
          <w:tcPr>
            <w:tcW w:w="5040" w:type="dxa"/>
          </w:tcPr>
          <w:p w14:paraId="292F3D36"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3D02A1AA" w14:textId="77777777" w:rsidR="002C4670" w:rsidRPr="002C4670" w:rsidRDefault="002C4670" w:rsidP="002C4670">
            <w:pPr>
              <w:rPr>
                <w:rFonts w:ascii="Arial" w:hAnsi="Arial" w:cs="Arial"/>
                <w:sz w:val="22"/>
                <w:szCs w:val="22"/>
              </w:rPr>
            </w:pPr>
            <w:r w:rsidRPr="002C4670">
              <w:rPr>
                <w:rFonts w:ascii="Arial" w:hAnsi="Arial" w:cs="Arial"/>
                <w:sz w:val="22"/>
                <w:szCs w:val="22"/>
              </w:rPr>
              <w:t>Tim Johnson, General Manager/Vice President</w:t>
            </w:r>
          </w:p>
          <w:p w14:paraId="463E1093" w14:textId="2900CE6D" w:rsidR="00AF4326" w:rsidRPr="00290754" w:rsidRDefault="002C4670" w:rsidP="002C4670">
            <w:pPr>
              <w:rPr>
                <w:rFonts w:ascii="Arial" w:hAnsi="Arial" w:cs="Arial"/>
                <w:sz w:val="22"/>
                <w:szCs w:val="22"/>
              </w:rPr>
            </w:pPr>
            <w:r w:rsidRPr="002C4670">
              <w:rPr>
                <w:rFonts w:ascii="Arial" w:hAnsi="Arial" w:cs="Arial"/>
                <w:sz w:val="22"/>
                <w:szCs w:val="22"/>
              </w:rPr>
              <w:t>810-785-7555</w:t>
            </w:r>
          </w:p>
        </w:tc>
      </w:tr>
      <w:tr w:rsidR="00AF4326" w:rsidRPr="00290754" w14:paraId="1EC8286C" w14:textId="77777777" w:rsidTr="00BE59C7">
        <w:tc>
          <w:tcPr>
            <w:tcW w:w="5040" w:type="dxa"/>
          </w:tcPr>
          <w:p w14:paraId="0AA180FF"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5A821A65" w14:textId="1F5E16D3" w:rsidR="00BE59C7" w:rsidRDefault="00BE59C7" w:rsidP="00BE59C7">
            <w:pPr>
              <w:rPr>
                <w:rFonts w:ascii="Arial" w:hAnsi="Arial" w:cs="Arial"/>
                <w:sz w:val="22"/>
                <w:szCs w:val="22"/>
              </w:rPr>
            </w:pPr>
            <w:r>
              <w:rPr>
                <w:rFonts w:ascii="Arial" w:hAnsi="Arial" w:cs="Arial"/>
                <w:sz w:val="22"/>
                <w:szCs w:val="22"/>
              </w:rPr>
              <w:t>Matt</w:t>
            </w:r>
            <w:r w:rsidR="000D52C8">
              <w:rPr>
                <w:rFonts w:ascii="Arial" w:hAnsi="Arial" w:cs="Arial"/>
                <w:sz w:val="22"/>
                <w:szCs w:val="22"/>
              </w:rPr>
              <w:t>hew</w:t>
            </w:r>
            <w:r>
              <w:rPr>
                <w:rFonts w:ascii="Arial" w:hAnsi="Arial" w:cs="Arial"/>
                <w:sz w:val="22"/>
                <w:szCs w:val="22"/>
              </w:rPr>
              <w:t xml:space="preserve"> Karl, Senior Environmental Quality Analyst</w:t>
            </w:r>
          </w:p>
          <w:p w14:paraId="1E2F7C81" w14:textId="4C3B6A1C" w:rsidR="00AF4326" w:rsidRPr="00290754" w:rsidRDefault="00BE59C7" w:rsidP="00BE59C7">
            <w:pPr>
              <w:rPr>
                <w:rFonts w:ascii="Arial" w:hAnsi="Arial" w:cs="Arial"/>
                <w:sz w:val="22"/>
                <w:szCs w:val="22"/>
              </w:rPr>
            </w:pPr>
            <w:r>
              <w:rPr>
                <w:rFonts w:ascii="Arial" w:hAnsi="Arial" w:cs="Arial"/>
                <w:sz w:val="22"/>
                <w:szCs w:val="22"/>
              </w:rPr>
              <w:t>517-282-2126</w:t>
            </w:r>
          </w:p>
        </w:tc>
      </w:tr>
      <w:tr w:rsidR="00AF4326" w:rsidRPr="00290754" w14:paraId="0B928FB8" w14:textId="77777777" w:rsidTr="00BE59C7">
        <w:tc>
          <w:tcPr>
            <w:tcW w:w="5040" w:type="dxa"/>
          </w:tcPr>
          <w:p w14:paraId="7FC37C9D"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09909AE2" w14:textId="047E9D4C" w:rsidR="00AF4326" w:rsidRPr="00290754" w:rsidRDefault="002C4670">
            <w:pPr>
              <w:rPr>
                <w:rFonts w:ascii="Arial" w:hAnsi="Arial" w:cs="Arial"/>
                <w:sz w:val="22"/>
                <w:szCs w:val="22"/>
              </w:rPr>
            </w:pPr>
            <w:r>
              <w:rPr>
                <w:rFonts w:ascii="Arial" w:hAnsi="Arial" w:cs="Arial"/>
                <w:sz w:val="22"/>
                <w:szCs w:val="22"/>
              </w:rPr>
              <w:t>January 14, 2022</w:t>
            </w:r>
          </w:p>
        </w:tc>
      </w:tr>
      <w:tr w:rsidR="00AF4326" w:rsidRPr="00290754" w14:paraId="001C2E58" w14:textId="77777777" w:rsidTr="00BE59C7">
        <w:trPr>
          <w:trHeight w:val="165"/>
        </w:trPr>
        <w:tc>
          <w:tcPr>
            <w:tcW w:w="5040" w:type="dxa"/>
          </w:tcPr>
          <w:p w14:paraId="10A0417D"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6EFD225D" w14:textId="0B054A1C" w:rsidR="00AF4326" w:rsidRPr="00290754" w:rsidRDefault="002C4670">
            <w:pPr>
              <w:rPr>
                <w:rFonts w:ascii="Arial" w:hAnsi="Arial" w:cs="Arial"/>
                <w:sz w:val="22"/>
                <w:szCs w:val="22"/>
              </w:rPr>
            </w:pPr>
            <w:r>
              <w:rPr>
                <w:rFonts w:ascii="Arial" w:hAnsi="Arial" w:cs="Arial"/>
                <w:sz w:val="22"/>
                <w:szCs w:val="22"/>
              </w:rPr>
              <w:t xml:space="preserve">January </w:t>
            </w:r>
            <w:r w:rsidR="009B1EF9" w:rsidRPr="00C7589B">
              <w:rPr>
                <w:rFonts w:ascii="Arial" w:hAnsi="Arial" w:cs="Arial"/>
                <w:color w:val="323E4F" w:themeColor="text2" w:themeShade="BF"/>
                <w:sz w:val="22"/>
                <w:szCs w:val="22"/>
              </w:rPr>
              <w:t>14</w:t>
            </w:r>
            <w:r>
              <w:rPr>
                <w:rFonts w:ascii="Arial" w:hAnsi="Arial" w:cs="Arial"/>
                <w:sz w:val="22"/>
                <w:szCs w:val="22"/>
              </w:rPr>
              <w:t>, 2022</w:t>
            </w:r>
          </w:p>
        </w:tc>
      </w:tr>
      <w:tr w:rsidR="00AF4326" w:rsidRPr="00290754" w14:paraId="639C9CE3" w14:textId="77777777" w:rsidTr="00BE59C7">
        <w:trPr>
          <w:trHeight w:val="165"/>
        </w:trPr>
        <w:tc>
          <w:tcPr>
            <w:tcW w:w="5040" w:type="dxa"/>
          </w:tcPr>
          <w:p w14:paraId="542A9074"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7FF48B9A" w14:textId="62B8CB29" w:rsidR="00AF4326" w:rsidRPr="00290754" w:rsidRDefault="002C4670">
            <w:pPr>
              <w:rPr>
                <w:rFonts w:ascii="Arial" w:hAnsi="Arial" w:cs="Arial"/>
                <w:sz w:val="22"/>
                <w:szCs w:val="22"/>
              </w:rPr>
            </w:pPr>
            <w:r>
              <w:rPr>
                <w:rFonts w:ascii="Arial" w:hAnsi="Arial" w:cs="Arial"/>
                <w:sz w:val="22"/>
                <w:szCs w:val="22"/>
              </w:rPr>
              <w:t>Yes</w:t>
            </w:r>
          </w:p>
        </w:tc>
      </w:tr>
      <w:tr w:rsidR="00AF4326" w:rsidRPr="00290754" w14:paraId="468AEF98" w14:textId="77777777" w:rsidTr="00BE59C7">
        <w:trPr>
          <w:trHeight w:val="165"/>
        </w:trPr>
        <w:tc>
          <w:tcPr>
            <w:tcW w:w="5040" w:type="dxa"/>
          </w:tcPr>
          <w:p w14:paraId="0A3B99BE"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2B85C95E" w14:textId="551FDDF0" w:rsidR="00AF4326" w:rsidRPr="00290754" w:rsidRDefault="00BE59C7">
            <w:pPr>
              <w:rPr>
                <w:rFonts w:ascii="Arial" w:hAnsi="Arial" w:cs="Arial"/>
                <w:sz w:val="22"/>
                <w:szCs w:val="22"/>
              </w:rPr>
            </w:pPr>
            <w:r>
              <w:rPr>
                <w:rFonts w:ascii="Arial" w:hAnsi="Arial" w:cs="Arial"/>
                <w:sz w:val="22"/>
                <w:szCs w:val="22"/>
              </w:rPr>
              <w:t>January 22, 2024</w:t>
            </w:r>
          </w:p>
        </w:tc>
      </w:tr>
      <w:tr w:rsidR="00AF4326" w:rsidRPr="00290754" w14:paraId="215A1DF2" w14:textId="77777777" w:rsidTr="00BE59C7">
        <w:tc>
          <w:tcPr>
            <w:tcW w:w="5040" w:type="dxa"/>
          </w:tcPr>
          <w:p w14:paraId="5B1668E4"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05C2E865" w14:textId="6955E2A6" w:rsidR="00AF4326" w:rsidRPr="00290754" w:rsidRDefault="00BE59C7">
            <w:pPr>
              <w:rPr>
                <w:rFonts w:ascii="Arial" w:hAnsi="Arial" w:cs="Arial"/>
                <w:sz w:val="22"/>
                <w:szCs w:val="22"/>
              </w:rPr>
            </w:pPr>
            <w:r>
              <w:rPr>
                <w:rFonts w:ascii="Arial" w:hAnsi="Arial" w:cs="Arial"/>
                <w:sz w:val="22"/>
                <w:szCs w:val="22"/>
              </w:rPr>
              <w:t>February 21, 2024</w:t>
            </w:r>
          </w:p>
        </w:tc>
      </w:tr>
    </w:tbl>
    <w:p w14:paraId="193B89AF" w14:textId="77777777" w:rsidR="00AF4326" w:rsidRPr="00CB60BD" w:rsidRDefault="00AF4326">
      <w:pPr>
        <w:rPr>
          <w:rFonts w:ascii="Arial" w:hAnsi="Arial" w:cs="Arial"/>
          <w:sz w:val="22"/>
          <w:szCs w:val="22"/>
        </w:rPr>
      </w:pPr>
    </w:p>
    <w:p w14:paraId="1C1DBDF7" w14:textId="77777777" w:rsidR="00AF4326" w:rsidRPr="00290754" w:rsidRDefault="00AF4326">
      <w:pPr>
        <w:rPr>
          <w:rFonts w:ascii="Arial" w:hAnsi="Arial" w:cs="Arial"/>
          <w:b/>
          <w:sz w:val="22"/>
          <w:szCs w:val="22"/>
          <w:u w:val="single"/>
        </w:rPr>
      </w:pPr>
      <w:bookmarkStart w:id="12" w:name="_Toc480946818"/>
      <w:bookmarkStart w:id="13"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2"/>
      <w:bookmarkEnd w:id="13"/>
    </w:p>
    <w:p w14:paraId="3C0D79D5" w14:textId="77777777" w:rsidR="00AF4326" w:rsidRPr="00290754" w:rsidRDefault="00AF4326">
      <w:pPr>
        <w:rPr>
          <w:rFonts w:ascii="Arial" w:hAnsi="Arial" w:cs="Arial"/>
          <w:sz w:val="22"/>
          <w:szCs w:val="22"/>
        </w:rPr>
      </w:pPr>
    </w:p>
    <w:p w14:paraId="669173B6" w14:textId="48B9D29C" w:rsidR="006A696F" w:rsidRDefault="006A696F" w:rsidP="00C42B14">
      <w:pPr>
        <w:jc w:val="both"/>
        <w:rPr>
          <w:rFonts w:ascii="Arial" w:hAnsi="Arial" w:cs="Arial"/>
          <w:sz w:val="22"/>
          <w:szCs w:val="22"/>
        </w:rPr>
      </w:pPr>
      <w:r>
        <w:rPr>
          <w:rFonts w:ascii="Arial" w:hAnsi="Arial" w:cs="Arial"/>
          <w:sz w:val="22"/>
          <w:szCs w:val="22"/>
        </w:rPr>
        <w:t>Universal Coating, Inc. is located at 5204 Energy Drive, Flint, Michigan in Geness</w:t>
      </w:r>
      <w:r w:rsidR="002612D6">
        <w:rPr>
          <w:rFonts w:ascii="Arial" w:hAnsi="Arial" w:cs="Arial"/>
          <w:sz w:val="22"/>
          <w:szCs w:val="22"/>
        </w:rPr>
        <w:t>e</w:t>
      </w:r>
      <w:r>
        <w:rPr>
          <w:rFonts w:ascii="Arial" w:hAnsi="Arial" w:cs="Arial"/>
          <w:sz w:val="22"/>
          <w:szCs w:val="22"/>
        </w:rPr>
        <w:t xml:space="preserve"> County. </w:t>
      </w:r>
      <w:r w:rsidR="00BE59C7">
        <w:rPr>
          <w:rFonts w:ascii="Arial" w:hAnsi="Arial" w:cs="Arial"/>
          <w:sz w:val="22"/>
          <w:szCs w:val="22"/>
        </w:rPr>
        <w:t xml:space="preserve"> </w:t>
      </w:r>
      <w:r>
        <w:rPr>
          <w:rFonts w:ascii="Arial" w:hAnsi="Arial" w:cs="Arial"/>
          <w:sz w:val="22"/>
          <w:szCs w:val="22"/>
        </w:rPr>
        <w:t>The facility is located to the south of the Genesse Power Plant and to the north of the Ajax Asphalt Plant on Energy Drive.</w:t>
      </w:r>
      <w:r w:rsidR="00BE59C7">
        <w:rPr>
          <w:rFonts w:ascii="Arial" w:hAnsi="Arial" w:cs="Arial"/>
          <w:sz w:val="22"/>
          <w:szCs w:val="22"/>
        </w:rPr>
        <w:t xml:space="preserve"> </w:t>
      </w:r>
      <w:r>
        <w:rPr>
          <w:rFonts w:ascii="Arial" w:hAnsi="Arial" w:cs="Arial"/>
          <w:sz w:val="22"/>
          <w:szCs w:val="22"/>
        </w:rPr>
        <w:t xml:space="preserve"> </w:t>
      </w:r>
      <w:r w:rsidR="00C42B14">
        <w:rPr>
          <w:rFonts w:ascii="Arial" w:hAnsi="Arial" w:cs="Arial"/>
          <w:sz w:val="22"/>
          <w:szCs w:val="22"/>
        </w:rPr>
        <w:t xml:space="preserve">Universal Coating, Inc. operations include the manufacture of miscellaneous metal and plastic parts for various industries, mainly for the automotive industry. </w:t>
      </w:r>
      <w:r w:rsidR="00BE59C7">
        <w:rPr>
          <w:rFonts w:ascii="Arial" w:hAnsi="Arial" w:cs="Arial"/>
          <w:sz w:val="22"/>
          <w:szCs w:val="22"/>
        </w:rPr>
        <w:t xml:space="preserve"> </w:t>
      </w:r>
      <w:r w:rsidR="00D32ACD">
        <w:rPr>
          <w:rFonts w:ascii="Arial" w:hAnsi="Arial" w:cs="Arial"/>
          <w:sz w:val="22"/>
          <w:szCs w:val="22"/>
        </w:rPr>
        <w:t>Process equipment</w:t>
      </w:r>
      <w:r w:rsidR="00C42B14">
        <w:rPr>
          <w:rFonts w:ascii="Arial" w:hAnsi="Arial" w:cs="Arial"/>
          <w:sz w:val="22"/>
          <w:szCs w:val="22"/>
        </w:rPr>
        <w:t xml:space="preserve"> consist</w:t>
      </w:r>
      <w:r w:rsidR="00D32ACD">
        <w:rPr>
          <w:rFonts w:ascii="Arial" w:hAnsi="Arial" w:cs="Arial"/>
          <w:sz w:val="22"/>
          <w:szCs w:val="22"/>
        </w:rPr>
        <w:t>s</w:t>
      </w:r>
      <w:r w:rsidR="00C42B14">
        <w:rPr>
          <w:rFonts w:ascii="Arial" w:hAnsi="Arial" w:cs="Arial"/>
          <w:sz w:val="22"/>
          <w:szCs w:val="22"/>
        </w:rPr>
        <w:t xml:space="preserve"> of various coating and adhesive lines including spindle line </w:t>
      </w:r>
      <w:r w:rsidR="00D32ACD">
        <w:rPr>
          <w:rFonts w:ascii="Arial" w:hAnsi="Arial" w:cs="Arial"/>
          <w:sz w:val="22"/>
          <w:szCs w:val="22"/>
        </w:rPr>
        <w:t xml:space="preserve">spray </w:t>
      </w:r>
      <w:r w:rsidR="00C42B14">
        <w:rPr>
          <w:rFonts w:ascii="Arial" w:hAnsi="Arial" w:cs="Arial"/>
          <w:sz w:val="22"/>
          <w:szCs w:val="22"/>
        </w:rPr>
        <w:t xml:space="preserve">booths, phosphate pre-treatment lines, dip spin units, a roll coater line, </w:t>
      </w:r>
      <w:r w:rsidR="00D32ACD">
        <w:rPr>
          <w:rFonts w:ascii="Arial" w:hAnsi="Arial" w:cs="Arial"/>
          <w:sz w:val="22"/>
          <w:szCs w:val="22"/>
        </w:rPr>
        <w:t xml:space="preserve">a </w:t>
      </w:r>
      <w:r w:rsidR="00C42B14">
        <w:rPr>
          <w:rFonts w:ascii="Arial" w:hAnsi="Arial" w:cs="Arial"/>
          <w:sz w:val="22"/>
          <w:szCs w:val="22"/>
        </w:rPr>
        <w:t>powder coating</w:t>
      </w:r>
      <w:r w:rsidR="00D32ACD">
        <w:rPr>
          <w:rFonts w:ascii="Arial" w:hAnsi="Arial" w:cs="Arial"/>
          <w:sz w:val="22"/>
          <w:szCs w:val="22"/>
        </w:rPr>
        <w:t xml:space="preserve"> booth</w:t>
      </w:r>
      <w:r w:rsidR="00C42B14">
        <w:rPr>
          <w:rFonts w:ascii="Arial" w:hAnsi="Arial" w:cs="Arial"/>
          <w:sz w:val="22"/>
          <w:szCs w:val="22"/>
        </w:rPr>
        <w:t>, hand spray</w:t>
      </w:r>
      <w:r w:rsidR="00D32ACD">
        <w:rPr>
          <w:rFonts w:ascii="Arial" w:hAnsi="Arial" w:cs="Arial"/>
          <w:sz w:val="22"/>
          <w:szCs w:val="22"/>
        </w:rPr>
        <w:t xml:space="preserve"> booths</w:t>
      </w:r>
      <w:r w:rsidR="00C42B14">
        <w:rPr>
          <w:rFonts w:ascii="Arial" w:hAnsi="Arial" w:cs="Arial"/>
          <w:sz w:val="22"/>
          <w:szCs w:val="22"/>
        </w:rPr>
        <w:t xml:space="preserve"> and tumble spray</w:t>
      </w:r>
      <w:r w:rsidR="00D32ACD">
        <w:rPr>
          <w:rFonts w:ascii="Arial" w:hAnsi="Arial" w:cs="Arial"/>
          <w:sz w:val="22"/>
          <w:szCs w:val="22"/>
        </w:rPr>
        <w:t xml:space="preserve"> lines</w:t>
      </w:r>
      <w:r w:rsidR="00C42B14">
        <w:rPr>
          <w:rFonts w:ascii="Arial" w:hAnsi="Arial" w:cs="Arial"/>
          <w:sz w:val="22"/>
          <w:szCs w:val="22"/>
        </w:rPr>
        <w:t xml:space="preserve">. </w:t>
      </w:r>
      <w:r w:rsidR="00BE59C7">
        <w:rPr>
          <w:rFonts w:ascii="Arial" w:hAnsi="Arial" w:cs="Arial"/>
          <w:sz w:val="22"/>
          <w:szCs w:val="22"/>
        </w:rPr>
        <w:t xml:space="preserve"> </w:t>
      </w:r>
      <w:r w:rsidR="00D32ACD">
        <w:rPr>
          <w:rFonts w:ascii="Arial" w:hAnsi="Arial" w:cs="Arial"/>
          <w:sz w:val="22"/>
          <w:szCs w:val="22"/>
        </w:rPr>
        <w:t xml:space="preserve">Emissions from the spindle lines, roll coater line, and tumble spray lines are controlled by a regenerative thermal oxidizer (RTO). </w:t>
      </w:r>
      <w:r w:rsidR="00BE59C7">
        <w:rPr>
          <w:rFonts w:ascii="Arial" w:hAnsi="Arial" w:cs="Arial"/>
          <w:sz w:val="22"/>
          <w:szCs w:val="22"/>
        </w:rPr>
        <w:t xml:space="preserve"> </w:t>
      </w:r>
      <w:r w:rsidR="00C42B14">
        <w:rPr>
          <w:rFonts w:ascii="Arial" w:hAnsi="Arial" w:cs="Arial"/>
          <w:sz w:val="22"/>
          <w:szCs w:val="22"/>
        </w:rPr>
        <w:t>The facility has a burn</w:t>
      </w:r>
      <w:r w:rsidR="00A65090">
        <w:rPr>
          <w:rFonts w:ascii="Arial" w:hAnsi="Arial" w:cs="Arial"/>
          <w:sz w:val="22"/>
          <w:szCs w:val="22"/>
        </w:rPr>
        <w:t>-</w:t>
      </w:r>
      <w:r w:rsidR="00C42B14">
        <w:rPr>
          <w:rFonts w:ascii="Arial" w:hAnsi="Arial" w:cs="Arial"/>
          <w:sz w:val="22"/>
          <w:szCs w:val="22"/>
        </w:rPr>
        <w:t>off oven, vapor degreaser,</w:t>
      </w:r>
      <w:r w:rsidR="00D32ACD">
        <w:rPr>
          <w:rFonts w:ascii="Arial" w:hAnsi="Arial" w:cs="Arial"/>
          <w:sz w:val="22"/>
          <w:szCs w:val="22"/>
        </w:rPr>
        <w:t xml:space="preserve"> </w:t>
      </w:r>
      <w:r w:rsidR="00C42B14">
        <w:rPr>
          <w:rFonts w:ascii="Arial" w:hAnsi="Arial" w:cs="Arial"/>
          <w:sz w:val="22"/>
          <w:szCs w:val="22"/>
        </w:rPr>
        <w:t>natural gas fired furnaces for comfort heating</w:t>
      </w:r>
      <w:r w:rsidR="00A65090">
        <w:rPr>
          <w:rFonts w:ascii="Arial" w:hAnsi="Arial" w:cs="Arial"/>
          <w:sz w:val="22"/>
          <w:szCs w:val="22"/>
        </w:rPr>
        <w:t xml:space="preserve"> and three natural gas fired boilers used to heat the phosphate pre-treatment tanks</w:t>
      </w:r>
      <w:r w:rsidR="00C42B14">
        <w:rPr>
          <w:rFonts w:ascii="Arial" w:hAnsi="Arial" w:cs="Arial"/>
          <w:sz w:val="22"/>
          <w:szCs w:val="22"/>
        </w:rPr>
        <w:t xml:space="preserve">. </w:t>
      </w:r>
      <w:r w:rsidR="00BE59C7">
        <w:rPr>
          <w:rFonts w:ascii="Arial" w:hAnsi="Arial" w:cs="Arial"/>
          <w:sz w:val="22"/>
          <w:szCs w:val="22"/>
        </w:rPr>
        <w:t xml:space="preserve"> </w:t>
      </w:r>
      <w:r w:rsidR="00C42B14">
        <w:rPr>
          <w:rFonts w:ascii="Arial" w:hAnsi="Arial" w:cs="Arial"/>
          <w:sz w:val="22"/>
          <w:szCs w:val="22"/>
        </w:rPr>
        <w:t xml:space="preserve">Metal repair operations include welding units, a metal punch, grinder, drill press and other maintenance equipment. </w:t>
      </w:r>
    </w:p>
    <w:p w14:paraId="2741F69B" w14:textId="77777777" w:rsidR="006A696F" w:rsidRPr="00290754" w:rsidRDefault="006A696F">
      <w:pPr>
        <w:rPr>
          <w:rFonts w:ascii="Arial" w:hAnsi="Arial" w:cs="Arial"/>
          <w:sz w:val="22"/>
          <w:szCs w:val="22"/>
        </w:rPr>
      </w:pPr>
    </w:p>
    <w:p w14:paraId="253BAA0F" w14:textId="25B9B1C4"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12962">
        <w:rPr>
          <w:rFonts w:ascii="Arial" w:hAnsi="Arial" w:cs="Arial"/>
          <w:b/>
          <w:sz w:val="22"/>
          <w:szCs w:val="22"/>
        </w:rPr>
        <w:t>2022</w:t>
      </w:r>
      <w:r w:rsidR="00AF4326" w:rsidRPr="00290754">
        <w:rPr>
          <w:rFonts w:ascii="Arial" w:hAnsi="Arial" w:cs="Arial"/>
          <w:sz w:val="22"/>
          <w:szCs w:val="22"/>
        </w:rPr>
        <w:t>.</w:t>
      </w:r>
    </w:p>
    <w:p w14:paraId="7CF7C51B" w14:textId="77777777" w:rsidR="00AF4326" w:rsidRPr="00290754" w:rsidRDefault="00AF4326">
      <w:pPr>
        <w:rPr>
          <w:rFonts w:ascii="Arial" w:hAnsi="Arial" w:cs="Arial"/>
          <w:sz w:val="22"/>
          <w:szCs w:val="22"/>
        </w:rPr>
      </w:pPr>
    </w:p>
    <w:p w14:paraId="48519DD6"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7E20EC7C"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3A89545B" w14:textId="77777777" w:rsidTr="00FC6148">
        <w:trPr>
          <w:tblHeader/>
        </w:trPr>
        <w:tc>
          <w:tcPr>
            <w:tcW w:w="5130" w:type="dxa"/>
            <w:shd w:val="pct10" w:color="auto" w:fill="auto"/>
          </w:tcPr>
          <w:p w14:paraId="501D57C4"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10BCEAD3"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1AD98DB" w14:textId="77777777" w:rsidTr="00FC6148">
        <w:tc>
          <w:tcPr>
            <w:tcW w:w="5130" w:type="dxa"/>
          </w:tcPr>
          <w:p w14:paraId="4175E746"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63363574" w14:textId="7C20ED8A" w:rsidR="00F734C6" w:rsidRPr="00C7589B" w:rsidRDefault="00FC6148" w:rsidP="00E63937">
            <w:pPr>
              <w:jc w:val="center"/>
              <w:rPr>
                <w:rFonts w:ascii="Arial" w:hAnsi="Arial" w:cs="Arial"/>
                <w:sz w:val="22"/>
                <w:szCs w:val="22"/>
              </w:rPr>
            </w:pPr>
            <w:r w:rsidRPr="00C7589B">
              <w:rPr>
                <w:rFonts w:ascii="Arial" w:hAnsi="Arial" w:cs="Arial"/>
                <w:sz w:val="22"/>
                <w:szCs w:val="22"/>
              </w:rPr>
              <w:t>0.99</w:t>
            </w:r>
          </w:p>
        </w:tc>
      </w:tr>
      <w:tr w:rsidR="00F734C6" w:rsidRPr="00290754" w14:paraId="69FA5001" w14:textId="77777777" w:rsidTr="00FC6148">
        <w:tc>
          <w:tcPr>
            <w:tcW w:w="5130" w:type="dxa"/>
          </w:tcPr>
          <w:p w14:paraId="6BCDCABE"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50E7DC46" w14:textId="1D7C3B9B" w:rsidR="00F734C6" w:rsidRPr="00C7589B" w:rsidRDefault="00FC6148" w:rsidP="00E63937">
            <w:pPr>
              <w:jc w:val="center"/>
              <w:rPr>
                <w:rFonts w:ascii="Arial" w:hAnsi="Arial" w:cs="Arial"/>
                <w:sz w:val="22"/>
                <w:szCs w:val="22"/>
              </w:rPr>
            </w:pPr>
            <w:r w:rsidRPr="00C7589B">
              <w:rPr>
                <w:rFonts w:ascii="Arial" w:hAnsi="Arial" w:cs="Arial"/>
                <w:sz w:val="22"/>
                <w:szCs w:val="22"/>
              </w:rPr>
              <w:t>5 x 10</w:t>
            </w:r>
            <w:r w:rsidRPr="00C7589B">
              <w:rPr>
                <w:rFonts w:ascii="Arial" w:hAnsi="Arial" w:cs="Arial"/>
                <w:sz w:val="22"/>
                <w:szCs w:val="22"/>
                <w:vertAlign w:val="superscript"/>
              </w:rPr>
              <w:t>-6</w:t>
            </w:r>
          </w:p>
        </w:tc>
      </w:tr>
      <w:tr w:rsidR="00F734C6" w:rsidRPr="00290754" w14:paraId="4B2AB66B" w14:textId="77777777" w:rsidTr="00FC6148">
        <w:tc>
          <w:tcPr>
            <w:tcW w:w="5130" w:type="dxa"/>
          </w:tcPr>
          <w:p w14:paraId="42DC29C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133AA077" w14:textId="09E7692C" w:rsidR="00F734C6" w:rsidRPr="00C7589B" w:rsidRDefault="00FC6148" w:rsidP="00E63937">
            <w:pPr>
              <w:jc w:val="center"/>
              <w:rPr>
                <w:rFonts w:ascii="Arial" w:hAnsi="Arial" w:cs="Arial"/>
                <w:sz w:val="22"/>
                <w:szCs w:val="22"/>
              </w:rPr>
            </w:pPr>
            <w:r w:rsidRPr="00C7589B">
              <w:rPr>
                <w:rFonts w:ascii="Arial" w:hAnsi="Arial" w:cs="Arial"/>
                <w:sz w:val="22"/>
                <w:szCs w:val="22"/>
              </w:rPr>
              <w:t>1.18</w:t>
            </w:r>
          </w:p>
        </w:tc>
      </w:tr>
      <w:tr w:rsidR="00F734C6" w:rsidRPr="00290754" w14:paraId="068C443F" w14:textId="77777777" w:rsidTr="00FC6148">
        <w:tc>
          <w:tcPr>
            <w:tcW w:w="5130" w:type="dxa"/>
          </w:tcPr>
          <w:p w14:paraId="40A501C2" w14:textId="77777777" w:rsidR="00F734C6" w:rsidRPr="00290754" w:rsidRDefault="00F734C6" w:rsidP="00E63937">
            <w:pPr>
              <w:rPr>
                <w:rFonts w:ascii="Arial" w:hAnsi="Arial" w:cs="Arial"/>
                <w:sz w:val="22"/>
                <w:szCs w:val="22"/>
              </w:rPr>
            </w:pPr>
            <w:r w:rsidRPr="00290754">
              <w:rPr>
                <w:rFonts w:ascii="Arial" w:hAnsi="Arial" w:cs="Arial"/>
                <w:sz w:val="22"/>
                <w:szCs w:val="22"/>
              </w:rPr>
              <w:t>PM</w:t>
            </w:r>
            <w:r w:rsidR="00DC73F8">
              <w:rPr>
                <w:rFonts w:ascii="Arial" w:hAnsi="Arial" w:cs="Arial"/>
                <w:sz w:val="22"/>
                <w:szCs w:val="22"/>
              </w:rPr>
              <w:t>10*</w:t>
            </w:r>
          </w:p>
        </w:tc>
        <w:tc>
          <w:tcPr>
            <w:tcW w:w="5130" w:type="dxa"/>
          </w:tcPr>
          <w:p w14:paraId="154155FB" w14:textId="2629811A" w:rsidR="00F734C6" w:rsidRPr="00290754" w:rsidRDefault="00FC6148" w:rsidP="00E63937">
            <w:pPr>
              <w:jc w:val="center"/>
              <w:rPr>
                <w:rFonts w:ascii="Arial" w:hAnsi="Arial" w:cs="Arial"/>
                <w:sz w:val="22"/>
                <w:szCs w:val="22"/>
              </w:rPr>
            </w:pPr>
            <w:r>
              <w:rPr>
                <w:rFonts w:ascii="Arial" w:hAnsi="Arial" w:cs="Arial"/>
                <w:sz w:val="22"/>
                <w:szCs w:val="22"/>
              </w:rPr>
              <w:t>0.09</w:t>
            </w:r>
          </w:p>
        </w:tc>
      </w:tr>
      <w:tr w:rsidR="00F734C6" w:rsidRPr="00290754" w14:paraId="09EEEE31" w14:textId="77777777" w:rsidTr="00FC6148">
        <w:tc>
          <w:tcPr>
            <w:tcW w:w="5130" w:type="dxa"/>
          </w:tcPr>
          <w:p w14:paraId="4E22D1F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28DEE474" w14:textId="07013403" w:rsidR="00F734C6" w:rsidRPr="00290754" w:rsidRDefault="00FC6148" w:rsidP="00E63937">
            <w:pPr>
              <w:jc w:val="center"/>
              <w:rPr>
                <w:rFonts w:ascii="Arial" w:hAnsi="Arial" w:cs="Arial"/>
                <w:sz w:val="22"/>
                <w:szCs w:val="22"/>
              </w:rPr>
            </w:pPr>
            <w:r>
              <w:rPr>
                <w:rFonts w:ascii="Arial" w:hAnsi="Arial" w:cs="Arial"/>
                <w:sz w:val="22"/>
                <w:szCs w:val="22"/>
              </w:rPr>
              <w:t>0.01</w:t>
            </w:r>
          </w:p>
        </w:tc>
      </w:tr>
      <w:tr w:rsidR="00F734C6" w:rsidRPr="00290754" w14:paraId="6CC4580D" w14:textId="77777777" w:rsidTr="00FC6148">
        <w:tc>
          <w:tcPr>
            <w:tcW w:w="5130" w:type="dxa"/>
          </w:tcPr>
          <w:p w14:paraId="2E347C2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2E8CDB43" w14:textId="2EBC4AA3" w:rsidR="00F734C6" w:rsidRPr="00290754" w:rsidRDefault="00FC6148" w:rsidP="00E63937">
            <w:pPr>
              <w:jc w:val="center"/>
              <w:rPr>
                <w:rFonts w:ascii="Arial" w:hAnsi="Arial" w:cs="Arial"/>
                <w:sz w:val="22"/>
                <w:szCs w:val="22"/>
              </w:rPr>
            </w:pPr>
            <w:r>
              <w:rPr>
                <w:rFonts w:ascii="Arial" w:hAnsi="Arial" w:cs="Arial"/>
                <w:sz w:val="22"/>
                <w:szCs w:val="22"/>
              </w:rPr>
              <w:t>5.50</w:t>
            </w:r>
          </w:p>
        </w:tc>
      </w:tr>
    </w:tbl>
    <w:p w14:paraId="645D4DAD" w14:textId="77777777" w:rsidR="00F734C6" w:rsidRDefault="00DC73F8" w:rsidP="0071648A">
      <w:pPr>
        <w:ind w:left="270" w:hanging="180"/>
        <w:jc w:val="both"/>
        <w:rPr>
          <w:rFonts w:ascii="Arial" w:hAnsi="Arial" w:cs="Arial"/>
          <w:sz w:val="22"/>
          <w:szCs w:val="22"/>
        </w:rPr>
      </w:pPr>
      <w:r>
        <w:rPr>
          <w:rFonts w:ascii="Arial" w:hAnsi="Arial" w:cs="Arial"/>
          <w:sz w:val="22"/>
          <w:szCs w:val="22"/>
        </w:rPr>
        <w:t xml:space="preserve">* Particulate </w:t>
      </w:r>
      <w:r w:rsidR="0080151E">
        <w:rPr>
          <w:rFonts w:ascii="Arial" w:hAnsi="Arial" w:cs="Arial"/>
          <w:sz w:val="22"/>
          <w:szCs w:val="22"/>
        </w:rPr>
        <w:t>m</w:t>
      </w:r>
      <w:r>
        <w:rPr>
          <w:rFonts w:ascii="Arial" w:hAnsi="Arial" w:cs="Arial"/>
          <w:sz w:val="22"/>
          <w:szCs w:val="22"/>
        </w:rPr>
        <w:t>atter (PM) that has an aerodynamic diameter less than or equal to a nominal 10 micrometers.</w:t>
      </w:r>
    </w:p>
    <w:p w14:paraId="6A79C275" w14:textId="77777777" w:rsidR="00DC73F8" w:rsidRDefault="00DC73F8" w:rsidP="005D692F">
      <w:pPr>
        <w:ind w:left="180"/>
        <w:rPr>
          <w:rFonts w:ascii="Arial" w:hAnsi="Arial" w:cs="Arial"/>
          <w:sz w:val="22"/>
          <w:szCs w:val="22"/>
        </w:rPr>
      </w:pPr>
    </w:p>
    <w:p w14:paraId="4D18BE0A" w14:textId="16EF364B"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w:t>
      </w:r>
      <w:r w:rsidR="000F04C2">
        <w:rPr>
          <w:rFonts w:ascii="Arial" w:hAnsi="Arial" w:cs="Arial"/>
          <w:sz w:val="22"/>
          <w:szCs w:val="22"/>
        </w:rPr>
        <w:t xml:space="preserve">Potential to Emit (PTE) for </w:t>
      </w:r>
      <w:r w:rsidRPr="00F734C6">
        <w:rPr>
          <w:rFonts w:ascii="Arial" w:hAnsi="Arial" w:cs="Arial"/>
          <w:sz w:val="22"/>
          <w:szCs w:val="22"/>
        </w:rPr>
        <w:t xml:space="preserve">Hazardous Air Pollutant emissions as calculated for the year </w:t>
      </w:r>
      <w:r w:rsidR="00FC6148">
        <w:rPr>
          <w:rFonts w:ascii="Arial" w:hAnsi="Arial" w:cs="Arial"/>
          <w:sz w:val="22"/>
          <w:szCs w:val="22"/>
        </w:rPr>
        <w:t>2023</w:t>
      </w:r>
      <w:r w:rsidRPr="00F734C6">
        <w:rPr>
          <w:rFonts w:ascii="Arial" w:hAnsi="Arial" w:cs="Arial"/>
          <w:sz w:val="22"/>
          <w:szCs w:val="22"/>
        </w:rPr>
        <w:t xml:space="preserve"> by </w:t>
      </w:r>
      <w:r w:rsidR="0054095E">
        <w:rPr>
          <w:rFonts w:ascii="Arial" w:hAnsi="Arial" w:cs="Arial"/>
          <w:sz w:val="22"/>
          <w:szCs w:val="22"/>
        </w:rPr>
        <w:t>Nth Consultants, Ltd</w:t>
      </w:r>
      <w:r w:rsidRPr="00F734C6">
        <w:rPr>
          <w:rFonts w:ascii="Arial" w:hAnsi="Arial" w:cs="Arial"/>
          <w:sz w:val="22"/>
          <w:szCs w:val="22"/>
        </w:rPr>
        <w:t>:</w:t>
      </w:r>
    </w:p>
    <w:p w14:paraId="493F567B"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629"/>
        <w:gridCol w:w="4631"/>
      </w:tblGrid>
      <w:tr w:rsidR="00F734C6" w:rsidRPr="00F734C6" w14:paraId="17F608A2" w14:textId="77777777" w:rsidTr="000F04C2">
        <w:tc>
          <w:tcPr>
            <w:tcW w:w="5629" w:type="dxa"/>
            <w:shd w:val="clear" w:color="auto" w:fill="D9D9D9"/>
          </w:tcPr>
          <w:p w14:paraId="1DE58626"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4631" w:type="dxa"/>
            <w:shd w:val="clear" w:color="auto" w:fill="D9D9D9"/>
          </w:tcPr>
          <w:p w14:paraId="09583500"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24B89887" w14:textId="77777777" w:rsidTr="000F04C2">
        <w:tc>
          <w:tcPr>
            <w:tcW w:w="5629" w:type="dxa"/>
            <w:shd w:val="clear" w:color="auto" w:fill="FFFFFF"/>
          </w:tcPr>
          <w:p w14:paraId="54B5FB34" w14:textId="683E527D" w:rsidR="00F734C6" w:rsidRPr="00F734C6" w:rsidRDefault="0054095E" w:rsidP="00E63937">
            <w:pPr>
              <w:rPr>
                <w:rFonts w:ascii="Arial" w:hAnsi="Arial" w:cs="Arial"/>
                <w:sz w:val="22"/>
                <w:szCs w:val="22"/>
              </w:rPr>
            </w:pPr>
            <w:r>
              <w:rPr>
                <w:rFonts w:ascii="Arial" w:hAnsi="Arial" w:cs="Arial"/>
                <w:sz w:val="22"/>
                <w:szCs w:val="22"/>
              </w:rPr>
              <w:t>Hexane (CAS No. 110-54-3)</w:t>
            </w:r>
          </w:p>
        </w:tc>
        <w:tc>
          <w:tcPr>
            <w:tcW w:w="4631" w:type="dxa"/>
            <w:shd w:val="clear" w:color="auto" w:fill="FFFFFF"/>
          </w:tcPr>
          <w:p w14:paraId="6472D740" w14:textId="0955BF3D" w:rsidR="00F734C6" w:rsidRPr="0071648A" w:rsidRDefault="0054095E" w:rsidP="00E63937">
            <w:pPr>
              <w:jc w:val="center"/>
              <w:rPr>
                <w:rFonts w:ascii="Arial" w:hAnsi="Arial" w:cs="Arial"/>
                <w:bCs/>
                <w:sz w:val="22"/>
                <w:szCs w:val="22"/>
              </w:rPr>
            </w:pPr>
            <w:r>
              <w:rPr>
                <w:rFonts w:ascii="Arial" w:hAnsi="Arial" w:cs="Arial"/>
                <w:bCs/>
                <w:sz w:val="22"/>
                <w:szCs w:val="22"/>
              </w:rPr>
              <w:t>0.2</w:t>
            </w:r>
          </w:p>
        </w:tc>
      </w:tr>
      <w:tr w:rsidR="00F734C6" w:rsidRPr="00F734C6" w14:paraId="69AAF1B5" w14:textId="77777777" w:rsidTr="000F04C2">
        <w:tc>
          <w:tcPr>
            <w:tcW w:w="5629" w:type="dxa"/>
            <w:shd w:val="clear" w:color="auto" w:fill="FFFFFF"/>
          </w:tcPr>
          <w:p w14:paraId="58C04A8F" w14:textId="7908318C" w:rsidR="00F734C6" w:rsidRPr="00F734C6" w:rsidRDefault="0054095E" w:rsidP="00E63937">
            <w:pPr>
              <w:rPr>
                <w:rFonts w:ascii="Arial" w:hAnsi="Arial" w:cs="Arial"/>
                <w:sz w:val="22"/>
                <w:szCs w:val="22"/>
              </w:rPr>
            </w:pPr>
            <w:r>
              <w:rPr>
                <w:rFonts w:ascii="Arial" w:hAnsi="Arial" w:cs="Arial"/>
                <w:sz w:val="22"/>
                <w:szCs w:val="22"/>
              </w:rPr>
              <w:t>Xylene (CAS No. 1330-20-7)</w:t>
            </w:r>
          </w:p>
        </w:tc>
        <w:tc>
          <w:tcPr>
            <w:tcW w:w="4631" w:type="dxa"/>
            <w:shd w:val="clear" w:color="auto" w:fill="FFFFFF"/>
          </w:tcPr>
          <w:p w14:paraId="63F92FC8" w14:textId="1E250F0D" w:rsidR="00F734C6" w:rsidRPr="0071648A" w:rsidRDefault="0054095E" w:rsidP="00E63937">
            <w:pPr>
              <w:jc w:val="center"/>
              <w:rPr>
                <w:rFonts w:ascii="Arial" w:hAnsi="Arial" w:cs="Arial"/>
                <w:bCs/>
                <w:sz w:val="22"/>
                <w:szCs w:val="22"/>
              </w:rPr>
            </w:pPr>
            <w:r>
              <w:rPr>
                <w:rFonts w:ascii="Arial" w:hAnsi="Arial" w:cs="Arial"/>
                <w:bCs/>
                <w:sz w:val="22"/>
                <w:szCs w:val="22"/>
              </w:rPr>
              <w:t>28.8</w:t>
            </w:r>
          </w:p>
        </w:tc>
      </w:tr>
      <w:tr w:rsidR="00F734C6" w:rsidRPr="00F734C6" w14:paraId="1F130022" w14:textId="77777777" w:rsidTr="000F04C2">
        <w:tc>
          <w:tcPr>
            <w:tcW w:w="5629" w:type="dxa"/>
            <w:shd w:val="clear" w:color="auto" w:fill="FFFFFF"/>
          </w:tcPr>
          <w:p w14:paraId="5E0795BA" w14:textId="45828D4E" w:rsidR="00F734C6" w:rsidRPr="00F734C6" w:rsidRDefault="0054095E" w:rsidP="00E63937">
            <w:pPr>
              <w:rPr>
                <w:rFonts w:ascii="Arial" w:hAnsi="Arial" w:cs="Arial"/>
                <w:sz w:val="22"/>
                <w:szCs w:val="22"/>
              </w:rPr>
            </w:pPr>
            <w:r>
              <w:rPr>
                <w:rFonts w:ascii="Arial" w:hAnsi="Arial" w:cs="Arial"/>
                <w:sz w:val="22"/>
                <w:szCs w:val="22"/>
              </w:rPr>
              <w:t>Ethyl Benzene (CAS No. 100-41-4)</w:t>
            </w:r>
          </w:p>
        </w:tc>
        <w:tc>
          <w:tcPr>
            <w:tcW w:w="4631" w:type="dxa"/>
            <w:shd w:val="clear" w:color="auto" w:fill="FFFFFF"/>
          </w:tcPr>
          <w:p w14:paraId="6407ECC4" w14:textId="6C51B1E3" w:rsidR="00F734C6" w:rsidRPr="0071648A" w:rsidRDefault="0054095E" w:rsidP="00E63937">
            <w:pPr>
              <w:jc w:val="center"/>
              <w:rPr>
                <w:rFonts w:ascii="Arial" w:hAnsi="Arial" w:cs="Arial"/>
                <w:bCs/>
                <w:sz w:val="22"/>
                <w:szCs w:val="22"/>
              </w:rPr>
            </w:pPr>
            <w:r>
              <w:rPr>
                <w:rFonts w:ascii="Arial" w:hAnsi="Arial" w:cs="Arial"/>
                <w:bCs/>
                <w:sz w:val="22"/>
                <w:szCs w:val="22"/>
              </w:rPr>
              <w:t>6.8</w:t>
            </w:r>
          </w:p>
        </w:tc>
      </w:tr>
      <w:tr w:rsidR="00F734C6" w:rsidRPr="00F734C6" w14:paraId="252BFAD4" w14:textId="77777777" w:rsidTr="000F04C2">
        <w:tc>
          <w:tcPr>
            <w:tcW w:w="5629" w:type="dxa"/>
            <w:shd w:val="clear" w:color="auto" w:fill="FFFFFF"/>
          </w:tcPr>
          <w:p w14:paraId="36F8E587" w14:textId="02730612" w:rsidR="00F734C6" w:rsidRPr="00F734C6" w:rsidRDefault="0054095E" w:rsidP="00E63937">
            <w:pPr>
              <w:rPr>
                <w:rFonts w:ascii="Arial" w:hAnsi="Arial" w:cs="Arial"/>
                <w:sz w:val="22"/>
                <w:szCs w:val="22"/>
              </w:rPr>
            </w:pPr>
            <w:r>
              <w:rPr>
                <w:rFonts w:ascii="Arial" w:hAnsi="Arial" w:cs="Arial"/>
                <w:sz w:val="22"/>
                <w:szCs w:val="22"/>
              </w:rPr>
              <w:t>Toluene (CAS No. 108-88-3)</w:t>
            </w:r>
          </w:p>
        </w:tc>
        <w:tc>
          <w:tcPr>
            <w:tcW w:w="4631" w:type="dxa"/>
            <w:shd w:val="clear" w:color="auto" w:fill="FFFFFF"/>
          </w:tcPr>
          <w:p w14:paraId="058A4955" w14:textId="147FAA2E" w:rsidR="00F734C6" w:rsidRPr="0071648A" w:rsidRDefault="0054095E" w:rsidP="00E63937">
            <w:pPr>
              <w:jc w:val="center"/>
              <w:rPr>
                <w:rFonts w:ascii="Arial" w:hAnsi="Arial" w:cs="Arial"/>
                <w:bCs/>
                <w:sz w:val="22"/>
                <w:szCs w:val="22"/>
              </w:rPr>
            </w:pPr>
            <w:r>
              <w:rPr>
                <w:rFonts w:ascii="Arial" w:hAnsi="Arial" w:cs="Arial"/>
                <w:bCs/>
                <w:sz w:val="22"/>
                <w:szCs w:val="22"/>
              </w:rPr>
              <w:t>10.8</w:t>
            </w:r>
          </w:p>
        </w:tc>
      </w:tr>
      <w:tr w:rsidR="0054095E" w:rsidRPr="00F734C6" w14:paraId="4EBCD9D3" w14:textId="77777777" w:rsidTr="000F04C2">
        <w:tc>
          <w:tcPr>
            <w:tcW w:w="5629" w:type="dxa"/>
            <w:shd w:val="clear" w:color="auto" w:fill="FFFFFF"/>
          </w:tcPr>
          <w:p w14:paraId="2FCCEC46" w14:textId="5085968A" w:rsidR="0054095E" w:rsidRDefault="0054095E" w:rsidP="00E63937">
            <w:pPr>
              <w:rPr>
                <w:rFonts w:ascii="Arial" w:hAnsi="Arial" w:cs="Arial"/>
                <w:sz w:val="22"/>
                <w:szCs w:val="22"/>
              </w:rPr>
            </w:pPr>
            <w:r>
              <w:rPr>
                <w:rFonts w:ascii="Arial" w:hAnsi="Arial" w:cs="Arial"/>
                <w:sz w:val="22"/>
                <w:szCs w:val="22"/>
              </w:rPr>
              <w:t>1,1,2-Trichloroethane (CAS No. 79-00-5)</w:t>
            </w:r>
          </w:p>
        </w:tc>
        <w:tc>
          <w:tcPr>
            <w:tcW w:w="4631" w:type="dxa"/>
            <w:shd w:val="clear" w:color="auto" w:fill="FFFFFF"/>
          </w:tcPr>
          <w:p w14:paraId="63910D6C" w14:textId="3C2E5D14" w:rsidR="0054095E" w:rsidRPr="0071648A" w:rsidRDefault="0054095E" w:rsidP="00E63937">
            <w:pPr>
              <w:jc w:val="center"/>
              <w:rPr>
                <w:rFonts w:ascii="Arial" w:hAnsi="Arial" w:cs="Arial"/>
                <w:bCs/>
                <w:sz w:val="22"/>
                <w:szCs w:val="22"/>
              </w:rPr>
            </w:pPr>
            <w:r>
              <w:rPr>
                <w:rFonts w:ascii="Arial" w:hAnsi="Arial" w:cs="Arial"/>
                <w:bCs/>
                <w:sz w:val="22"/>
                <w:szCs w:val="22"/>
              </w:rPr>
              <w:t>0.012</w:t>
            </w:r>
          </w:p>
        </w:tc>
      </w:tr>
      <w:tr w:rsidR="00F734C6" w:rsidRPr="00F734C6" w14:paraId="19A9B97C" w14:textId="77777777" w:rsidTr="000F04C2">
        <w:tc>
          <w:tcPr>
            <w:tcW w:w="5629" w:type="dxa"/>
            <w:tcBorders>
              <w:top w:val="single" w:sz="6" w:space="0" w:color="auto"/>
              <w:bottom w:val="double" w:sz="4" w:space="0" w:color="auto"/>
            </w:tcBorders>
            <w:shd w:val="clear" w:color="auto" w:fill="FFFFFF"/>
          </w:tcPr>
          <w:p w14:paraId="6DACA4ED"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4631" w:type="dxa"/>
            <w:tcBorders>
              <w:top w:val="single" w:sz="6" w:space="0" w:color="auto"/>
              <w:bottom w:val="double" w:sz="4" w:space="0" w:color="auto"/>
            </w:tcBorders>
            <w:shd w:val="clear" w:color="auto" w:fill="FFFFFF"/>
          </w:tcPr>
          <w:p w14:paraId="1340026D" w14:textId="54E50D05" w:rsidR="00F734C6" w:rsidRPr="00F734C6" w:rsidRDefault="0054095E" w:rsidP="00E63937">
            <w:pPr>
              <w:jc w:val="center"/>
              <w:rPr>
                <w:rFonts w:ascii="Arial" w:hAnsi="Arial" w:cs="Arial"/>
                <w:b/>
                <w:sz w:val="22"/>
                <w:szCs w:val="22"/>
              </w:rPr>
            </w:pPr>
            <w:r>
              <w:rPr>
                <w:rFonts w:ascii="Arial" w:hAnsi="Arial" w:cs="Arial"/>
                <w:b/>
                <w:sz w:val="22"/>
                <w:szCs w:val="22"/>
              </w:rPr>
              <w:t>108.9</w:t>
            </w:r>
          </w:p>
        </w:tc>
      </w:tr>
    </w:tbl>
    <w:p w14:paraId="1F3D9221"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44DD86FA" w14:textId="77777777" w:rsidR="000F73C3" w:rsidRDefault="000F73C3" w:rsidP="00167B85">
      <w:pPr>
        <w:jc w:val="both"/>
        <w:rPr>
          <w:rFonts w:ascii="Arial" w:hAnsi="Arial" w:cs="Arial"/>
          <w:sz w:val="22"/>
          <w:szCs w:val="22"/>
        </w:rPr>
      </w:pPr>
    </w:p>
    <w:p w14:paraId="01900DA6"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0E685134" w14:textId="77777777" w:rsidR="00940B7D" w:rsidRPr="00290754" w:rsidRDefault="00940B7D">
      <w:pPr>
        <w:rPr>
          <w:rFonts w:ascii="Arial" w:hAnsi="Arial" w:cs="Arial"/>
          <w:sz w:val="22"/>
          <w:szCs w:val="22"/>
        </w:rPr>
      </w:pPr>
    </w:p>
    <w:p w14:paraId="52FFFEB3" w14:textId="77777777" w:rsidR="00AF4326" w:rsidRPr="00290754" w:rsidRDefault="00AF4326">
      <w:pPr>
        <w:rPr>
          <w:rFonts w:ascii="Arial" w:hAnsi="Arial" w:cs="Arial"/>
          <w:b/>
          <w:sz w:val="22"/>
          <w:szCs w:val="22"/>
          <w:u w:val="single"/>
        </w:rPr>
      </w:pPr>
      <w:bookmarkStart w:id="14" w:name="_Toc480946819"/>
      <w:bookmarkStart w:id="15" w:name="_Toc482691114"/>
      <w:r w:rsidRPr="00290754">
        <w:rPr>
          <w:rFonts w:ascii="Arial" w:hAnsi="Arial" w:cs="Arial"/>
          <w:b/>
          <w:sz w:val="22"/>
          <w:szCs w:val="22"/>
          <w:u w:val="single"/>
        </w:rPr>
        <w:t>Regulatory Analysis</w:t>
      </w:r>
      <w:bookmarkEnd w:id="14"/>
      <w:bookmarkEnd w:id="15"/>
    </w:p>
    <w:p w14:paraId="41DAF0F5" w14:textId="77777777" w:rsidR="00AF4326" w:rsidRPr="005A6987" w:rsidRDefault="00AF4326" w:rsidP="00167B85">
      <w:pPr>
        <w:jc w:val="both"/>
        <w:rPr>
          <w:rFonts w:ascii="Arial" w:hAnsi="Arial" w:cs="Arial"/>
          <w:sz w:val="22"/>
          <w:szCs w:val="22"/>
        </w:rPr>
      </w:pPr>
    </w:p>
    <w:p w14:paraId="075AB396"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DA82708" w14:textId="77777777" w:rsidR="000F73C3" w:rsidRDefault="000F73C3" w:rsidP="000F73C3">
      <w:pPr>
        <w:jc w:val="both"/>
        <w:outlineLvl w:val="0"/>
        <w:rPr>
          <w:rFonts w:ascii="Arial" w:hAnsi="Arial" w:cs="Arial"/>
          <w:sz w:val="22"/>
          <w:szCs w:val="22"/>
        </w:rPr>
      </w:pPr>
    </w:p>
    <w:p w14:paraId="2BE04BEE" w14:textId="269CB8D2"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2612D6">
        <w:rPr>
          <w:rFonts w:ascii="Arial" w:hAnsi="Arial" w:cs="Arial"/>
          <w:sz w:val="22"/>
          <w:szCs w:val="22"/>
        </w:rPr>
        <w:t>Genesee</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65491DEC" w14:textId="77777777" w:rsidR="00720743" w:rsidRPr="00290754" w:rsidRDefault="00720743" w:rsidP="000F73C3">
      <w:pPr>
        <w:jc w:val="both"/>
        <w:rPr>
          <w:rFonts w:ascii="Arial" w:hAnsi="Arial" w:cs="Arial"/>
          <w:sz w:val="22"/>
          <w:szCs w:val="22"/>
        </w:rPr>
      </w:pPr>
    </w:p>
    <w:p w14:paraId="471A83C4" w14:textId="31787621" w:rsidR="000F73C3" w:rsidRDefault="000F73C3" w:rsidP="002612D6">
      <w:pPr>
        <w:jc w:val="both"/>
        <w:outlineLvl w:val="0"/>
        <w:rPr>
          <w:rFonts w:ascii="Arial" w:hAnsi="Arial" w:cs="Arial"/>
          <w:sz w:val="22"/>
          <w:szCs w:val="22"/>
        </w:rPr>
      </w:pPr>
      <w:r w:rsidRPr="00290754">
        <w:rPr>
          <w:rFonts w:ascii="Arial" w:hAnsi="Arial" w:cs="Arial"/>
          <w:sz w:val="22"/>
          <w:szCs w:val="22"/>
        </w:rPr>
        <w:lastRenderedPageBreak/>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2612D6">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 xml:space="preserve">potential to emit </w:t>
      </w:r>
      <w:r w:rsidR="00596038">
        <w:rPr>
          <w:rFonts w:ascii="Arial" w:hAnsi="Arial" w:cs="Arial"/>
          <w:sz w:val="22"/>
          <w:szCs w:val="22"/>
        </w:rPr>
        <w:t xml:space="preserve">of VOC exceeds 100 tons per year and the potential to emit </w:t>
      </w:r>
      <w:r w:rsidRPr="00290754">
        <w:rPr>
          <w:rFonts w:ascii="Arial" w:hAnsi="Arial" w:cs="Arial"/>
          <w:sz w:val="22"/>
          <w:szCs w:val="22"/>
        </w:rPr>
        <w:t>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160F541B" w14:textId="77777777" w:rsidR="00DA1E6B" w:rsidRPr="00AE2622" w:rsidRDefault="00DA1E6B" w:rsidP="000F73C3">
      <w:pPr>
        <w:jc w:val="both"/>
        <w:rPr>
          <w:rFonts w:ascii="Arial" w:hAnsi="Arial" w:cs="Arial"/>
          <w:sz w:val="22"/>
          <w:szCs w:val="22"/>
        </w:rPr>
      </w:pPr>
    </w:p>
    <w:p w14:paraId="3BDED5D4" w14:textId="4D0598AF" w:rsidR="000F73C3" w:rsidRPr="004A7CB1" w:rsidRDefault="000F73C3" w:rsidP="000F73C3">
      <w:pPr>
        <w:jc w:val="both"/>
        <w:rPr>
          <w:rFonts w:ascii="Arial" w:hAnsi="Arial" w:cs="Arial"/>
          <w:sz w:val="22"/>
          <w:szCs w:val="22"/>
        </w:rPr>
      </w:pPr>
      <w:r w:rsidRPr="00290754">
        <w:rPr>
          <w:rFonts w:ascii="Arial" w:hAnsi="Arial" w:cs="Arial"/>
          <w:sz w:val="22"/>
          <w:szCs w:val="22"/>
        </w:rPr>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in regards to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 xml:space="preserve">regulations of </w:t>
      </w:r>
      <w:r w:rsidR="002028CA" w:rsidRPr="00632891">
        <w:rPr>
          <w:rFonts w:ascii="Arial" w:hAnsi="Arial" w:cs="Arial"/>
          <w:sz w:val="22"/>
          <w:szCs w:val="22"/>
        </w:rPr>
        <w:t>t</w:t>
      </w:r>
      <w:r w:rsidR="00A94AEF">
        <w:rPr>
          <w:rFonts w:ascii="Arial" w:hAnsi="Arial" w:cs="Arial"/>
          <w:sz w:val="22"/>
          <w:szCs w:val="22"/>
        </w:rPr>
        <w:t xml:space="preserve">he Michigan </w:t>
      </w:r>
      <w:r w:rsidR="00A94AEF" w:rsidRPr="00604E76">
        <w:rPr>
          <w:rFonts w:ascii="Arial" w:hAnsi="Arial" w:cs="Arial"/>
          <w:sz w:val="22"/>
          <w:szCs w:val="22"/>
        </w:rPr>
        <w:t xml:space="preserve">Air </w:t>
      </w:r>
      <w:r w:rsidR="00A94AEF">
        <w:rPr>
          <w:rFonts w:ascii="Arial" w:hAnsi="Arial" w:cs="Arial"/>
          <w:sz w:val="22"/>
          <w:szCs w:val="22"/>
        </w:rPr>
        <w:t>Pollution Control Rules</w:t>
      </w:r>
      <w:r w:rsidR="00A94AEF" w:rsidRPr="00604E76">
        <w:rPr>
          <w:rFonts w:ascii="Arial" w:hAnsi="Arial" w:cs="Arial"/>
          <w:sz w:val="22"/>
          <w:szCs w:val="22"/>
        </w:rPr>
        <w:t xml:space="preserve"> </w:t>
      </w:r>
      <w:r w:rsidRPr="00604E76">
        <w:rPr>
          <w:rFonts w:ascii="Arial" w:hAnsi="Arial" w:cs="Arial"/>
          <w:sz w:val="22"/>
          <w:szCs w:val="22"/>
        </w:rPr>
        <w:t>P</w:t>
      </w:r>
      <w:r w:rsidR="00B20A6D" w:rsidRPr="00604E76">
        <w:rPr>
          <w:rFonts w:ascii="Arial" w:hAnsi="Arial" w:cs="Arial"/>
          <w:sz w:val="22"/>
          <w:szCs w:val="22"/>
        </w:rPr>
        <w:t>art</w:t>
      </w:r>
      <w:r w:rsidRPr="00604E76">
        <w:rPr>
          <w:rFonts w:ascii="Arial" w:hAnsi="Arial" w:cs="Arial"/>
          <w:sz w:val="22"/>
          <w:szCs w:val="22"/>
        </w:rPr>
        <w:t xml:space="preserve"> 18</w:t>
      </w:r>
      <w:r w:rsidR="00A94AEF">
        <w:rPr>
          <w:rFonts w:ascii="Arial" w:hAnsi="Arial" w:cs="Arial"/>
          <w:sz w:val="22"/>
          <w:szCs w:val="22"/>
        </w:rPr>
        <w:t xml:space="preserve">, </w:t>
      </w:r>
      <w:r w:rsidR="00B20A6D" w:rsidRPr="00604E76">
        <w:rPr>
          <w:rFonts w:ascii="Arial" w:hAnsi="Arial" w:cs="Arial"/>
          <w:sz w:val="22"/>
          <w:szCs w:val="22"/>
        </w:rPr>
        <w:t>Prevention of</w:t>
      </w:r>
      <w:r w:rsidRPr="00604E76">
        <w:rPr>
          <w:rFonts w:ascii="Arial" w:hAnsi="Arial" w:cs="Arial"/>
          <w:sz w:val="22"/>
          <w:szCs w:val="22"/>
        </w:rPr>
        <w:t xml:space="preserve"> S</w:t>
      </w:r>
      <w:r w:rsidR="00B20A6D" w:rsidRPr="00604E76">
        <w:rPr>
          <w:rFonts w:ascii="Arial" w:hAnsi="Arial" w:cs="Arial"/>
          <w:sz w:val="22"/>
          <w:szCs w:val="22"/>
        </w:rPr>
        <w:t>ignificant</w:t>
      </w:r>
      <w:r w:rsidRPr="00604E76">
        <w:rPr>
          <w:rFonts w:ascii="Arial" w:hAnsi="Arial" w:cs="Arial"/>
          <w:sz w:val="22"/>
          <w:szCs w:val="22"/>
        </w:rPr>
        <w:t xml:space="preserve"> D</w:t>
      </w:r>
      <w:r w:rsidR="00B20A6D" w:rsidRPr="00604E76">
        <w:rPr>
          <w:rFonts w:ascii="Arial" w:hAnsi="Arial" w:cs="Arial"/>
          <w:sz w:val="22"/>
          <w:szCs w:val="22"/>
        </w:rPr>
        <w:t>eterioration</w:t>
      </w:r>
      <w:r w:rsidR="00A94AEF">
        <w:rPr>
          <w:rFonts w:ascii="Arial" w:hAnsi="Arial" w:cs="Arial"/>
          <w:sz w:val="22"/>
          <w:szCs w:val="22"/>
        </w:rPr>
        <w:t xml:space="preserve"> of Air Quality</w:t>
      </w:r>
      <w:r w:rsidR="00A94AEF" w:rsidRPr="00604E76">
        <w:rPr>
          <w:rFonts w:ascii="Arial" w:hAnsi="Arial" w:cs="Arial"/>
          <w:sz w:val="22"/>
          <w:szCs w:val="22"/>
        </w:rPr>
        <w:t xml:space="preserve"> </w:t>
      </w:r>
      <w:r>
        <w:rPr>
          <w:rFonts w:ascii="Arial" w:hAnsi="Arial" w:cs="Arial"/>
          <w:sz w:val="22"/>
          <w:szCs w:val="22"/>
        </w:rPr>
        <w:t>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w:t>
      </w:r>
      <w:r w:rsidRPr="00290754">
        <w:rPr>
          <w:rFonts w:ascii="Arial" w:hAnsi="Arial" w:cs="Arial"/>
          <w:sz w:val="22"/>
          <w:szCs w:val="22"/>
        </w:rPr>
        <w:t xml:space="preserve"> </w:t>
      </w:r>
      <w:r w:rsidR="00760EB6">
        <w:rPr>
          <w:rFonts w:ascii="Arial" w:hAnsi="Arial" w:cs="Arial"/>
          <w:sz w:val="22"/>
          <w:szCs w:val="22"/>
        </w:rPr>
        <w:t xml:space="preserve">VOC </w:t>
      </w:r>
      <w:r w:rsidRPr="00290754">
        <w:rPr>
          <w:rFonts w:ascii="Arial" w:hAnsi="Arial" w:cs="Arial"/>
          <w:sz w:val="22"/>
          <w:szCs w:val="22"/>
        </w:rPr>
        <w:t xml:space="preserve">to </w:t>
      </w:r>
      <w:r>
        <w:rPr>
          <w:rFonts w:ascii="Arial" w:hAnsi="Arial" w:cs="Arial"/>
          <w:sz w:val="22"/>
          <w:szCs w:val="22"/>
        </w:rPr>
        <w:t>less than</w:t>
      </w:r>
      <w:r w:rsidRPr="00290754">
        <w:rPr>
          <w:rFonts w:ascii="Arial" w:hAnsi="Arial" w:cs="Arial"/>
          <w:sz w:val="22"/>
          <w:szCs w:val="22"/>
        </w:rPr>
        <w:t xml:space="preserve"> </w:t>
      </w:r>
      <w:r w:rsidR="00760EB6">
        <w:rPr>
          <w:rFonts w:ascii="Arial" w:hAnsi="Arial" w:cs="Arial"/>
          <w:sz w:val="22"/>
          <w:szCs w:val="22"/>
        </w:rPr>
        <w:t xml:space="preserve">250 </w:t>
      </w:r>
      <w:r w:rsidRPr="00290754">
        <w:rPr>
          <w:rFonts w:ascii="Arial" w:hAnsi="Arial" w:cs="Arial"/>
          <w:sz w:val="22"/>
          <w:szCs w:val="22"/>
        </w:rPr>
        <w:t>tons per year</w:t>
      </w:r>
      <w:r w:rsidRPr="00295FBF">
        <w:rPr>
          <w:rFonts w:ascii="Arial" w:hAnsi="Arial" w:cs="Arial"/>
          <w:color w:val="0000FF"/>
          <w:sz w:val="22"/>
          <w:szCs w:val="22"/>
        </w:rPr>
        <w:t xml:space="preserve">. </w:t>
      </w:r>
      <w:r w:rsidRPr="004A7CB1">
        <w:rPr>
          <w:rFonts w:ascii="Arial" w:hAnsi="Arial" w:cs="Arial"/>
          <w:sz w:val="22"/>
          <w:szCs w:val="22"/>
        </w:rPr>
        <w:t xml:space="preserve"> </w:t>
      </w:r>
    </w:p>
    <w:p w14:paraId="6EBE0758" w14:textId="77777777" w:rsidR="005768C3" w:rsidRPr="00337750" w:rsidRDefault="005768C3" w:rsidP="000F73C3">
      <w:pPr>
        <w:jc w:val="both"/>
        <w:rPr>
          <w:rFonts w:ascii="Arial" w:hAnsi="Arial" w:cs="Arial"/>
          <w:sz w:val="22"/>
          <w:szCs w:val="22"/>
        </w:rPr>
      </w:pPr>
    </w:p>
    <w:p w14:paraId="35F83B2C" w14:textId="1B1CECC9" w:rsidR="000F73C3" w:rsidRPr="00880972" w:rsidRDefault="00271EE6" w:rsidP="000F73C3">
      <w:pPr>
        <w:jc w:val="both"/>
        <w:rPr>
          <w:rFonts w:ascii="Arial" w:hAnsi="Arial" w:cs="Arial"/>
          <w:sz w:val="22"/>
          <w:szCs w:val="22"/>
        </w:rPr>
      </w:pPr>
      <w:r>
        <w:rPr>
          <w:rFonts w:ascii="Arial" w:hAnsi="Arial" w:cs="Arial"/>
          <w:sz w:val="22"/>
          <w:szCs w:val="22"/>
        </w:rPr>
        <w:t>EU-DEGREASER</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3E6B97">
        <w:rPr>
          <w:rFonts w:ascii="Arial" w:hAnsi="Arial" w:cs="Arial"/>
          <w:sz w:val="22"/>
          <w:szCs w:val="22"/>
        </w:rPr>
        <w:t xml:space="preserve">is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3E6B97">
        <w:rPr>
          <w:rFonts w:ascii="Arial" w:hAnsi="Arial" w:cs="Arial"/>
          <w:sz w:val="22"/>
          <w:szCs w:val="22"/>
        </w:rPr>
        <w:t>Halogenated Solvent Cleaning</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3E6B97">
        <w:rPr>
          <w:rFonts w:ascii="Arial" w:hAnsi="Arial" w:cs="Arial"/>
          <w:sz w:val="22"/>
          <w:szCs w:val="22"/>
        </w:rPr>
        <w:t>T</w:t>
      </w:r>
      <w:r w:rsidR="000F73C3" w:rsidRPr="00290754">
        <w:rPr>
          <w:rFonts w:ascii="Arial" w:hAnsi="Arial" w:cs="Arial"/>
          <w:sz w:val="22"/>
          <w:szCs w:val="22"/>
        </w:rPr>
        <w:t>.</w:t>
      </w:r>
    </w:p>
    <w:p w14:paraId="0F02E818" w14:textId="2699FBBC" w:rsidR="00DB68D5" w:rsidRDefault="00DB68D5" w:rsidP="00DB68D5">
      <w:pPr>
        <w:jc w:val="both"/>
        <w:rPr>
          <w:rFonts w:ascii="Arial" w:hAnsi="Arial" w:cs="Arial"/>
          <w:sz w:val="22"/>
          <w:szCs w:val="22"/>
          <w:highlight w:val="yellow"/>
        </w:rPr>
      </w:pPr>
    </w:p>
    <w:p w14:paraId="4762334D" w14:textId="7DC0E000" w:rsidR="00760EB6" w:rsidRPr="00880972" w:rsidRDefault="00A32D09" w:rsidP="00760EB6">
      <w:pPr>
        <w:jc w:val="both"/>
        <w:rPr>
          <w:rFonts w:ascii="Arial" w:hAnsi="Arial" w:cs="Arial"/>
          <w:sz w:val="22"/>
          <w:szCs w:val="22"/>
        </w:rPr>
      </w:pPr>
      <w:r>
        <w:rPr>
          <w:rFonts w:ascii="Arial" w:hAnsi="Arial" w:cs="Arial"/>
          <w:sz w:val="22"/>
          <w:szCs w:val="22"/>
        </w:rPr>
        <w:t>FG-MACT MMMM (</w:t>
      </w:r>
      <w:r w:rsidR="003E6B97">
        <w:rPr>
          <w:rFonts w:ascii="Arial" w:hAnsi="Arial" w:cs="Arial"/>
          <w:sz w:val="22"/>
          <w:szCs w:val="22"/>
        </w:rPr>
        <w:t>EU-POWDERCOAT, EU-PHOSPHATE1, EU-PHOSPHATE2, EU-PHOSPHATE3, EU-PHOS-PROTO, EU-DS1, EU-DS2, EU-DS3, EU-DS4 (E), EU-DS5 (E), EU-DS6 (E), EU-DS7 (E), EU-CE1, EU-CE2, EU-CE3, EU-CE4, EU-CE5, EU-CE6, EU-CE7, EU-RC, EU-TS1 (E), EU-TS2 (E), EU-TS3, EU-TS4, EU-H1, EU-H2, EU-H3</w:t>
      </w:r>
      <w:r>
        <w:rPr>
          <w:rFonts w:ascii="Arial" w:hAnsi="Arial" w:cs="Arial"/>
          <w:sz w:val="22"/>
          <w:szCs w:val="22"/>
        </w:rPr>
        <w:t>)</w:t>
      </w:r>
      <w:r w:rsidR="00760EB6">
        <w:rPr>
          <w:rFonts w:ascii="Arial" w:hAnsi="Arial" w:cs="Arial"/>
          <w:sz w:val="22"/>
          <w:szCs w:val="22"/>
        </w:rPr>
        <w:t xml:space="preserve"> at t</w:t>
      </w:r>
      <w:r w:rsidR="00760EB6" w:rsidRPr="00290754">
        <w:rPr>
          <w:rFonts w:ascii="Arial" w:hAnsi="Arial" w:cs="Arial"/>
          <w:sz w:val="22"/>
          <w:szCs w:val="22"/>
        </w:rPr>
        <w:t>he stationary source</w:t>
      </w:r>
      <w:r w:rsidR="00760EB6">
        <w:rPr>
          <w:rFonts w:ascii="Arial" w:hAnsi="Arial" w:cs="Arial"/>
          <w:sz w:val="22"/>
          <w:szCs w:val="22"/>
        </w:rPr>
        <w:t xml:space="preserve"> </w:t>
      </w:r>
      <w:r w:rsidR="003E6B97">
        <w:rPr>
          <w:rFonts w:ascii="Arial" w:hAnsi="Arial" w:cs="Arial"/>
          <w:sz w:val="22"/>
          <w:szCs w:val="22"/>
        </w:rPr>
        <w:t xml:space="preserve">are </w:t>
      </w:r>
      <w:r w:rsidR="00760EB6" w:rsidRPr="00290754">
        <w:rPr>
          <w:rFonts w:ascii="Arial" w:hAnsi="Arial" w:cs="Arial"/>
          <w:sz w:val="22"/>
          <w:szCs w:val="22"/>
        </w:rPr>
        <w:t xml:space="preserve">subject to the </w:t>
      </w:r>
      <w:r w:rsidR="00760EB6" w:rsidRPr="00CB0D4C">
        <w:rPr>
          <w:rFonts w:ascii="Arial" w:hAnsi="Arial" w:cs="Arial"/>
          <w:sz w:val="22"/>
          <w:szCs w:val="22"/>
        </w:rPr>
        <w:t xml:space="preserve">National Emission Standard for Hazardous Air Pollutants </w:t>
      </w:r>
      <w:r w:rsidR="00760EB6" w:rsidRPr="00290754">
        <w:rPr>
          <w:rFonts w:ascii="Arial" w:hAnsi="Arial" w:cs="Arial"/>
          <w:sz w:val="22"/>
          <w:szCs w:val="22"/>
        </w:rPr>
        <w:t xml:space="preserve">for </w:t>
      </w:r>
      <w:r w:rsidR="008E34FC">
        <w:rPr>
          <w:rFonts w:ascii="Arial" w:hAnsi="Arial" w:cs="Arial"/>
          <w:sz w:val="22"/>
          <w:szCs w:val="22"/>
        </w:rPr>
        <w:t>Surface Coating of Miscellaneous Metal Parts and Products</w:t>
      </w:r>
      <w:r w:rsidR="00760EB6" w:rsidRPr="00290754">
        <w:rPr>
          <w:rFonts w:ascii="Arial" w:hAnsi="Arial" w:cs="Arial"/>
          <w:sz w:val="22"/>
          <w:szCs w:val="22"/>
        </w:rPr>
        <w:t xml:space="preserve"> promulgated in 40 </w:t>
      </w:r>
      <w:r w:rsidR="00760EB6">
        <w:rPr>
          <w:rFonts w:ascii="Arial" w:hAnsi="Arial" w:cs="Arial"/>
          <w:sz w:val="22"/>
          <w:szCs w:val="22"/>
        </w:rPr>
        <w:t xml:space="preserve">CFR </w:t>
      </w:r>
      <w:r w:rsidR="00760EB6" w:rsidRPr="00290754">
        <w:rPr>
          <w:rFonts w:ascii="Arial" w:hAnsi="Arial" w:cs="Arial"/>
          <w:sz w:val="22"/>
          <w:szCs w:val="22"/>
        </w:rPr>
        <w:t>Part 63</w:t>
      </w:r>
      <w:r w:rsidR="00760EB6">
        <w:rPr>
          <w:rFonts w:ascii="Arial" w:hAnsi="Arial" w:cs="Arial"/>
          <w:sz w:val="22"/>
          <w:szCs w:val="22"/>
        </w:rPr>
        <w:t>,</w:t>
      </w:r>
      <w:r w:rsidR="00760EB6" w:rsidRPr="00290754">
        <w:rPr>
          <w:rFonts w:ascii="Arial" w:hAnsi="Arial" w:cs="Arial"/>
          <w:sz w:val="22"/>
          <w:szCs w:val="22"/>
        </w:rPr>
        <w:t xml:space="preserve"> Subparts A and </w:t>
      </w:r>
      <w:r w:rsidR="008E34FC">
        <w:rPr>
          <w:rFonts w:ascii="Arial" w:hAnsi="Arial" w:cs="Arial"/>
          <w:sz w:val="22"/>
          <w:szCs w:val="22"/>
        </w:rPr>
        <w:t>MMMM</w:t>
      </w:r>
      <w:r w:rsidR="00760EB6" w:rsidRPr="00290754">
        <w:rPr>
          <w:rFonts w:ascii="Arial" w:hAnsi="Arial" w:cs="Arial"/>
          <w:sz w:val="22"/>
          <w:szCs w:val="22"/>
        </w:rPr>
        <w:t>.</w:t>
      </w:r>
    </w:p>
    <w:p w14:paraId="7C5B33B5" w14:textId="1D56F322" w:rsidR="00760EB6" w:rsidRDefault="00760EB6" w:rsidP="00DB68D5">
      <w:pPr>
        <w:jc w:val="both"/>
        <w:rPr>
          <w:rFonts w:ascii="Arial" w:hAnsi="Arial" w:cs="Arial"/>
          <w:sz w:val="22"/>
          <w:szCs w:val="22"/>
          <w:highlight w:val="yellow"/>
        </w:rPr>
      </w:pPr>
    </w:p>
    <w:p w14:paraId="07D9182C" w14:textId="32B75664" w:rsidR="00760EB6" w:rsidRPr="00880972" w:rsidRDefault="00A32D09" w:rsidP="00760EB6">
      <w:pPr>
        <w:jc w:val="both"/>
        <w:rPr>
          <w:rFonts w:ascii="Arial" w:hAnsi="Arial" w:cs="Arial"/>
          <w:sz w:val="22"/>
          <w:szCs w:val="22"/>
        </w:rPr>
      </w:pPr>
      <w:r>
        <w:rPr>
          <w:rFonts w:ascii="Arial" w:hAnsi="Arial" w:cs="Arial"/>
          <w:sz w:val="22"/>
          <w:szCs w:val="22"/>
        </w:rPr>
        <w:t>FG-MACT PPPP (</w:t>
      </w:r>
      <w:r w:rsidR="008E34FC">
        <w:rPr>
          <w:rFonts w:ascii="Arial" w:hAnsi="Arial" w:cs="Arial"/>
          <w:sz w:val="22"/>
          <w:szCs w:val="22"/>
        </w:rPr>
        <w:t xml:space="preserve">EU-POWDERCOAT, EU-PHOSPHATE1, EU-PHOSPHATE2, EU-PHOSPHATE3, EU-PHOS-PROTO, </w:t>
      </w:r>
      <w:r w:rsidR="006916A9">
        <w:rPr>
          <w:rFonts w:ascii="Arial" w:hAnsi="Arial" w:cs="Arial"/>
          <w:sz w:val="22"/>
          <w:szCs w:val="22"/>
        </w:rPr>
        <w:t>EU-DS1, EU-DS2, EU-DS3, EU-DS4 (E), EU-DS5 (E), EU-DS6 (E), EU-CE1, EU-CE2, EU-CE3, EU-CE4, EU-CE5, EU-CE6, EU-CE7, EU-RC, EU-TS1 (E), EU-TS2 (E), EU-TS3, EU-TS4, EU-H1, EU-H2, EU-H3</w:t>
      </w:r>
      <w:r>
        <w:rPr>
          <w:rFonts w:ascii="Arial" w:hAnsi="Arial" w:cs="Arial"/>
          <w:sz w:val="22"/>
          <w:szCs w:val="22"/>
        </w:rPr>
        <w:t>)</w:t>
      </w:r>
      <w:r w:rsidR="00760EB6">
        <w:rPr>
          <w:rFonts w:ascii="Arial" w:hAnsi="Arial" w:cs="Arial"/>
          <w:sz w:val="22"/>
          <w:szCs w:val="22"/>
        </w:rPr>
        <w:t xml:space="preserve"> at t</w:t>
      </w:r>
      <w:r w:rsidR="00760EB6" w:rsidRPr="00290754">
        <w:rPr>
          <w:rFonts w:ascii="Arial" w:hAnsi="Arial" w:cs="Arial"/>
          <w:sz w:val="22"/>
          <w:szCs w:val="22"/>
        </w:rPr>
        <w:t>he stationary source</w:t>
      </w:r>
      <w:r w:rsidR="00760EB6">
        <w:rPr>
          <w:rFonts w:ascii="Arial" w:hAnsi="Arial" w:cs="Arial"/>
          <w:sz w:val="22"/>
          <w:szCs w:val="22"/>
        </w:rPr>
        <w:t xml:space="preserve"> </w:t>
      </w:r>
      <w:r w:rsidR="006916A9">
        <w:rPr>
          <w:rFonts w:ascii="Arial" w:hAnsi="Arial" w:cs="Arial"/>
          <w:sz w:val="22"/>
          <w:szCs w:val="22"/>
        </w:rPr>
        <w:t>are</w:t>
      </w:r>
      <w:r w:rsidR="00760EB6">
        <w:rPr>
          <w:rFonts w:ascii="Arial" w:hAnsi="Arial" w:cs="Arial"/>
          <w:sz w:val="22"/>
          <w:szCs w:val="22"/>
        </w:rPr>
        <w:t xml:space="preserve"> </w:t>
      </w:r>
      <w:r w:rsidR="00760EB6" w:rsidRPr="00290754">
        <w:rPr>
          <w:rFonts w:ascii="Arial" w:hAnsi="Arial" w:cs="Arial"/>
          <w:sz w:val="22"/>
          <w:szCs w:val="22"/>
        </w:rPr>
        <w:t xml:space="preserve">subject to the </w:t>
      </w:r>
      <w:r w:rsidR="00760EB6" w:rsidRPr="00CB0D4C">
        <w:rPr>
          <w:rFonts w:ascii="Arial" w:hAnsi="Arial" w:cs="Arial"/>
          <w:sz w:val="22"/>
          <w:szCs w:val="22"/>
        </w:rPr>
        <w:t xml:space="preserve">National Emission Standard for Hazardous Air Pollutants </w:t>
      </w:r>
      <w:r w:rsidR="00760EB6" w:rsidRPr="00290754">
        <w:rPr>
          <w:rFonts w:ascii="Arial" w:hAnsi="Arial" w:cs="Arial"/>
          <w:sz w:val="22"/>
          <w:szCs w:val="22"/>
        </w:rPr>
        <w:t xml:space="preserve">for </w:t>
      </w:r>
      <w:r w:rsidR="00450962">
        <w:rPr>
          <w:rFonts w:ascii="Arial" w:hAnsi="Arial" w:cs="Arial"/>
          <w:sz w:val="22"/>
          <w:szCs w:val="22"/>
        </w:rPr>
        <w:t>Surface Coating of Plastic Parts and Products</w:t>
      </w:r>
      <w:r w:rsidR="00760EB6" w:rsidRPr="00290754">
        <w:rPr>
          <w:rFonts w:ascii="Arial" w:hAnsi="Arial" w:cs="Arial"/>
          <w:sz w:val="22"/>
          <w:szCs w:val="22"/>
        </w:rPr>
        <w:t xml:space="preserve"> promulgated in 40 </w:t>
      </w:r>
      <w:r w:rsidR="00760EB6">
        <w:rPr>
          <w:rFonts w:ascii="Arial" w:hAnsi="Arial" w:cs="Arial"/>
          <w:sz w:val="22"/>
          <w:szCs w:val="22"/>
        </w:rPr>
        <w:t xml:space="preserve">CFR </w:t>
      </w:r>
      <w:r w:rsidR="00760EB6" w:rsidRPr="00290754">
        <w:rPr>
          <w:rFonts w:ascii="Arial" w:hAnsi="Arial" w:cs="Arial"/>
          <w:sz w:val="22"/>
          <w:szCs w:val="22"/>
        </w:rPr>
        <w:t>Part 63</w:t>
      </w:r>
      <w:r w:rsidR="00760EB6">
        <w:rPr>
          <w:rFonts w:ascii="Arial" w:hAnsi="Arial" w:cs="Arial"/>
          <w:sz w:val="22"/>
          <w:szCs w:val="22"/>
        </w:rPr>
        <w:t>,</w:t>
      </w:r>
      <w:r w:rsidR="00760EB6" w:rsidRPr="00290754">
        <w:rPr>
          <w:rFonts w:ascii="Arial" w:hAnsi="Arial" w:cs="Arial"/>
          <w:sz w:val="22"/>
          <w:szCs w:val="22"/>
        </w:rPr>
        <w:t xml:space="preserve"> Subparts A and </w:t>
      </w:r>
      <w:r w:rsidR="00450962">
        <w:rPr>
          <w:rFonts w:ascii="Arial" w:hAnsi="Arial" w:cs="Arial"/>
          <w:sz w:val="22"/>
          <w:szCs w:val="22"/>
        </w:rPr>
        <w:t>PPPP</w:t>
      </w:r>
      <w:r w:rsidR="00760EB6" w:rsidRPr="00290754">
        <w:rPr>
          <w:rFonts w:ascii="Arial" w:hAnsi="Arial" w:cs="Arial"/>
          <w:sz w:val="22"/>
          <w:szCs w:val="22"/>
        </w:rPr>
        <w:t>.</w:t>
      </w:r>
    </w:p>
    <w:p w14:paraId="2BBA10E1" w14:textId="77777777" w:rsidR="00760EB6" w:rsidRDefault="00760EB6" w:rsidP="00DB68D5">
      <w:pPr>
        <w:jc w:val="both"/>
        <w:rPr>
          <w:rFonts w:ascii="Arial" w:hAnsi="Arial" w:cs="Arial"/>
          <w:sz w:val="22"/>
          <w:szCs w:val="22"/>
          <w:highlight w:val="yellow"/>
        </w:rPr>
      </w:pPr>
    </w:p>
    <w:p w14:paraId="55B47C8F" w14:textId="454BB4B3" w:rsidR="00450962" w:rsidRPr="00880972" w:rsidRDefault="00450962" w:rsidP="00450962">
      <w:pPr>
        <w:jc w:val="both"/>
        <w:rPr>
          <w:rFonts w:ascii="Arial" w:hAnsi="Arial" w:cs="Arial"/>
          <w:sz w:val="22"/>
          <w:szCs w:val="22"/>
        </w:rPr>
      </w:pPr>
      <w:r>
        <w:rPr>
          <w:rFonts w:ascii="Arial" w:hAnsi="Arial" w:cs="Arial"/>
          <w:sz w:val="22"/>
          <w:szCs w:val="22"/>
        </w:rPr>
        <w:t>The three (3) steam boilers associated with FG-PHOSPHATELINES (EU-PHOSPHATE1, EU-PHOSPHATE2, EU-PHOSPHATE3, EU-PHOS-PROTO)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Industrial, Commercial and Institutional Boilers and Process Heaters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DDDDD</w:t>
      </w:r>
      <w:r w:rsidRPr="00290754">
        <w:rPr>
          <w:rFonts w:ascii="Arial" w:hAnsi="Arial" w:cs="Arial"/>
          <w:sz w:val="22"/>
          <w:szCs w:val="22"/>
        </w:rPr>
        <w:t>.</w:t>
      </w:r>
    </w:p>
    <w:p w14:paraId="1F93072A" w14:textId="77777777" w:rsidR="00450962" w:rsidRPr="00651F0D" w:rsidRDefault="00450962" w:rsidP="00DB68D5">
      <w:pPr>
        <w:jc w:val="both"/>
        <w:rPr>
          <w:rFonts w:ascii="Arial" w:hAnsi="Arial" w:cs="Arial"/>
          <w:sz w:val="22"/>
          <w:szCs w:val="22"/>
          <w:highlight w:val="yellow"/>
        </w:rPr>
      </w:pPr>
    </w:p>
    <w:p w14:paraId="747284FE" w14:textId="77777777" w:rsidR="00F3515D" w:rsidRPr="00880972" w:rsidRDefault="00621F23" w:rsidP="00621F23">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16"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16"/>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6864E89A" w14:textId="77777777" w:rsidR="00F3515D" w:rsidRDefault="00F3515D" w:rsidP="0001165D">
      <w:pPr>
        <w:jc w:val="both"/>
        <w:rPr>
          <w:rFonts w:ascii="Arial" w:hAnsi="Arial" w:cs="Arial"/>
          <w:sz w:val="22"/>
          <w:szCs w:val="22"/>
        </w:rPr>
      </w:pPr>
    </w:p>
    <w:p w14:paraId="5C2A2335"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57958072" w14:textId="77777777" w:rsidR="000F73C3" w:rsidRDefault="000F73C3" w:rsidP="000F73C3">
      <w:pPr>
        <w:jc w:val="both"/>
        <w:rPr>
          <w:rFonts w:ascii="Arial" w:hAnsi="Arial" w:cs="Arial"/>
          <w:sz w:val="22"/>
          <w:szCs w:val="22"/>
        </w:rPr>
      </w:pPr>
    </w:p>
    <w:p w14:paraId="1C8EDE1F" w14:textId="1CF9ADCC" w:rsidR="00F578B1" w:rsidRDefault="00D9587D" w:rsidP="0038737C">
      <w:pPr>
        <w:jc w:val="both"/>
        <w:rPr>
          <w:rFonts w:ascii="Arial" w:hAnsi="Arial" w:cs="Arial"/>
          <w:sz w:val="22"/>
          <w:szCs w:val="22"/>
        </w:rPr>
      </w:pPr>
      <w:bookmarkStart w:id="17" w:name="_Hlk135043786"/>
      <w:r>
        <w:rPr>
          <w:rFonts w:ascii="Arial" w:hAnsi="Arial" w:cs="Arial"/>
          <w:sz w:val="22"/>
          <w:szCs w:val="22"/>
        </w:rPr>
        <w:t xml:space="preserve">The emission limitation(s) or standard(s) for </w:t>
      </w:r>
      <w:r w:rsidR="00A32D09">
        <w:rPr>
          <w:rFonts w:ascii="Arial" w:hAnsi="Arial" w:cs="Arial"/>
          <w:sz w:val="22"/>
          <w:szCs w:val="22"/>
        </w:rPr>
        <w:t>Organic HAPs</w:t>
      </w:r>
      <w:r>
        <w:rPr>
          <w:rFonts w:ascii="Arial" w:hAnsi="Arial" w:cs="Arial"/>
          <w:sz w:val="22"/>
          <w:szCs w:val="22"/>
        </w:rPr>
        <w:t xml:space="preserve"> at the stationary source with the underlying applicable requirement(s) of</w:t>
      </w:r>
      <w:r w:rsidRPr="004541F4">
        <w:rPr>
          <w:rFonts w:ascii="Arial" w:hAnsi="Arial" w:cs="Arial"/>
          <w:color w:val="FF0000"/>
          <w:sz w:val="22"/>
          <w:szCs w:val="22"/>
        </w:rPr>
        <w:t xml:space="preserve"> </w:t>
      </w:r>
      <w:r w:rsidRPr="00A23898">
        <w:rPr>
          <w:rFonts w:ascii="Arial" w:hAnsi="Arial" w:cs="Arial"/>
          <w:sz w:val="22"/>
          <w:szCs w:val="22"/>
        </w:rPr>
        <w:t xml:space="preserve">40 CFR </w:t>
      </w:r>
      <w:r w:rsidR="00A23898" w:rsidRPr="00A23898">
        <w:rPr>
          <w:rFonts w:ascii="Arial" w:hAnsi="Arial" w:cs="Arial"/>
          <w:sz w:val="22"/>
          <w:szCs w:val="22"/>
        </w:rPr>
        <w:t xml:space="preserve">Part </w:t>
      </w:r>
      <w:r w:rsidR="00A23898" w:rsidRPr="00A32D09">
        <w:rPr>
          <w:rFonts w:ascii="Arial" w:hAnsi="Arial" w:cs="Arial"/>
          <w:sz w:val="22"/>
          <w:szCs w:val="22"/>
        </w:rPr>
        <w:t>63</w:t>
      </w:r>
      <w:r w:rsidRPr="00BE59C7">
        <w:rPr>
          <w:rFonts w:ascii="Arial" w:hAnsi="Arial" w:cs="Arial"/>
          <w:sz w:val="22"/>
          <w:szCs w:val="22"/>
        </w:rPr>
        <w:t>,</w:t>
      </w:r>
      <w:r w:rsidR="00A23898" w:rsidRPr="00BE59C7">
        <w:rPr>
          <w:rFonts w:ascii="Arial" w:hAnsi="Arial" w:cs="Arial"/>
          <w:sz w:val="22"/>
          <w:szCs w:val="22"/>
        </w:rPr>
        <w:t xml:space="preserve"> </w:t>
      </w:r>
      <w:r w:rsidR="00A23898" w:rsidRPr="00A23898">
        <w:rPr>
          <w:rFonts w:ascii="Arial" w:hAnsi="Arial" w:cs="Arial"/>
          <w:sz w:val="22"/>
          <w:szCs w:val="22"/>
        </w:rPr>
        <w:t>Subpart</w:t>
      </w:r>
      <w:r w:rsidR="00A32D09">
        <w:rPr>
          <w:rFonts w:ascii="Arial" w:hAnsi="Arial" w:cs="Arial"/>
          <w:sz w:val="22"/>
          <w:szCs w:val="22"/>
        </w:rPr>
        <w:t>s</w:t>
      </w:r>
      <w:r w:rsidR="00A23898" w:rsidRPr="00A23898">
        <w:rPr>
          <w:rFonts w:ascii="Arial" w:hAnsi="Arial" w:cs="Arial"/>
          <w:sz w:val="22"/>
          <w:szCs w:val="22"/>
        </w:rPr>
        <w:t xml:space="preserve"> </w:t>
      </w:r>
      <w:r w:rsidR="00A32D09">
        <w:rPr>
          <w:rFonts w:ascii="Arial" w:hAnsi="Arial" w:cs="Arial"/>
          <w:sz w:val="22"/>
          <w:szCs w:val="22"/>
        </w:rPr>
        <w:t>MMMM and PPPP</w:t>
      </w:r>
      <w:r w:rsidRPr="00A23898">
        <w:rPr>
          <w:rFonts w:ascii="Arial" w:hAnsi="Arial" w:cs="Arial"/>
          <w:sz w:val="22"/>
          <w:szCs w:val="22"/>
        </w:rPr>
        <w:t xml:space="preserve">, </w:t>
      </w:r>
      <w:r>
        <w:rPr>
          <w:rFonts w:ascii="Arial" w:hAnsi="Arial" w:cs="Arial"/>
          <w:sz w:val="22"/>
          <w:szCs w:val="22"/>
        </w:rPr>
        <w:t xml:space="preserve">from </w:t>
      </w:r>
      <w:r w:rsidR="00A32D09">
        <w:rPr>
          <w:rFonts w:ascii="Arial" w:hAnsi="Arial" w:cs="Arial"/>
          <w:sz w:val="22"/>
          <w:szCs w:val="22"/>
        </w:rPr>
        <w:t>FG-MACT MMMM and FG-MACT PPPP, respectively, are</w:t>
      </w:r>
      <w:r>
        <w:rPr>
          <w:rFonts w:ascii="Arial" w:hAnsi="Arial" w:cs="Arial"/>
          <w:sz w:val="22"/>
          <w:szCs w:val="22"/>
        </w:rPr>
        <w:t xml:space="preserve"> exempt from the federal Compliance Assurance Monitoring (CAM) regulation pursuant to 40 CFR 64.2(b)(1)(</w:t>
      </w:r>
      <w:proofErr w:type="spellStart"/>
      <w:r>
        <w:rPr>
          <w:rFonts w:ascii="Arial" w:hAnsi="Arial" w:cs="Arial"/>
          <w:sz w:val="22"/>
          <w:szCs w:val="22"/>
        </w:rPr>
        <w:t>i</w:t>
      </w:r>
      <w:proofErr w:type="spellEnd"/>
      <w:r>
        <w:rPr>
          <w:rFonts w:ascii="Arial" w:hAnsi="Arial" w:cs="Arial"/>
          <w:sz w:val="22"/>
          <w:szCs w:val="22"/>
        </w:rPr>
        <w:t xml:space="preserve">) because </w:t>
      </w:r>
      <w:r w:rsidR="00A32D09" w:rsidRPr="00A32D09">
        <w:rPr>
          <w:rFonts w:ascii="Arial" w:hAnsi="Arial" w:cs="Arial"/>
          <w:sz w:val="22"/>
          <w:szCs w:val="22"/>
        </w:rPr>
        <w:t xml:space="preserve">Organic HAPs Emission Limitations </w:t>
      </w:r>
      <w:r w:rsidR="00360A81" w:rsidRPr="00C7589B">
        <w:rPr>
          <w:rFonts w:ascii="Arial" w:hAnsi="Arial" w:cs="Arial"/>
          <w:sz w:val="22"/>
          <w:szCs w:val="22"/>
        </w:rPr>
        <w:t>(See FG-MACT MMMM and FG-MACT PPPP for specific limitations)</w:t>
      </w:r>
      <w:bookmarkEnd w:id="17"/>
      <w:r w:rsidR="0038737C" w:rsidRPr="00C7589B">
        <w:rPr>
          <w:rFonts w:ascii="Arial" w:hAnsi="Arial" w:cs="Arial"/>
          <w:sz w:val="22"/>
          <w:szCs w:val="22"/>
        </w:rPr>
        <w:t xml:space="preserve"> </w:t>
      </w:r>
      <w:r w:rsidR="0038737C">
        <w:rPr>
          <w:rFonts w:ascii="Arial" w:hAnsi="Arial" w:cs="Arial"/>
          <w:sz w:val="22"/>
          <w:szCs w:val="22"/>
        </w:rPr>
        <w:t xml:space="preserve">meet </w:t>
      </w:r>
      <w:r w:rsidR="00F578B1">
        <w:rPr>
          <w:rFonts w:ascii="Arial" w:hAnsi="Arial" w:cs="Arial"/>
          <w:sz w:val="22"/>
          <w:szCs w:val="22"/>
        </w:rPr>
        <w:t>the CAM exemption for NSPS or MACT proposed after November 15, 1990.</w:t>
      </w:r>
    </w:p>
    <w:p w14:paraId="7D4E3EEE" w14:textId="77777777" w:rsidR="00E41B63" w:rsidRDefault="00E41B63" w:rsidP="00D9587D">
      <w:pPr>
        <w:rPr>
          <w:rFonts w:ascii="Arial" w:hAnsi="Arial" w:cs="Arial"/>
          <w:sz w:val="22"/>
          <w:szCs w:val="22"/>
        </w:rPr>
      </w:pPr>
    </w:p>
    <w:p w14:paraId="3AF89EA4" w14:textId="467478E2"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0E06503A" w14:textId="77777777" w:rsidR="0038737C" w:rsidRDefault="0038737C" w:rsidP="00D9587D">
      <w:pPr>
        <w:rPr>
          <w:rFonts w:ascii="Arial" w:hAnsi="Arial" w:cs="Arial"/>
          <w:sz w:val="22"/>
          <w:szCs w:val="22"/>
        </w:rPr>
      </w:pPr>
    </w:p>
    <w:p w14:paraId="6EEAD729" w14:textId="35EB3CAB" w:rsidR="00A73320" w:rsidRDefault="00113486" w:rsidP="004A7CB1">
      <w:pPr>
        <w:jc w:val="both"/>
        <w:rPr>
          <w:rFonts w:ascii="Arial" w:hAnsi="Arial" w:cs="Arial"/>
          <w:sz w:val="22"/>
          <w:szCs w:val="22"/>
        </w:rPr>
      </w:pPr>
      <w:r w:rsidRPr="00C7589B">
        <w:rPr>
          <w:rFonts w:ascii="Arial" w:hAnsi="Arial" w:cs="Arial"/>
          <w:sz w:val="22"/>
          <w:szCs w:val="22"/>
        </w:rPr>
        <w:t>FG-</w:t>
      </w:r>
      <w:r w:rsidR="008E7D6B" w:rsidRPr="00C7589B">
        <w:rPr>
          <w:rFonts w:ascii="Arial" w:hAnsi="Arial" w:cs="Arial"/>
          <w:sz w:val="22"/>
          <w:szCs w:val="22"/>
        </w:rPr>
        <w:t>RTO consists</w:t>
      </w:r>
      <w:r w:rsidR="008545C2">
        <w:rPr>
          <w:rFonts w:ascii="Arial" w:hAnsi="Arial" w:cs="Arial"/>
          <w:sz w:val="22"/>
          <w:szCs w:val="22"/>
        </w:rPr>
        <w:t xml:space="preserve"> of a permanent total enclosure (PTE) that captures and routes emissions from ten (10) metal and plastic parts coating lines and associated purge and cleanup solvents to a regenerative thermal oxidizer (RTO) control device. </w:t>
      </w:r>
      <w:r w:rsidR="00BE59C7">
        <w:rPr>
          <w:rFonts w:ascii="Arial" w:hAnsi="Arial" w:cs="Arial"/>
          <w:sz w:val="22"/>
          <w:szCs w:val="22"/>
        </w:rPr>
        <w:t xml:space="preserve"> </w:t>
      </w:r>
      <w:r w:rsidR="008545C2">
        <w:rPr>
          <w:rFonts w:ascii="Arial" w:hAnsi="Arial" w:cs="Arial"/>
          <w:sz w:val="22"/>
          <w:szCs w:val="22"/>
        </w:rPr>
        <w:t>During the evaluation for permit to install (PTI</w:t>
      </w:r>
      <w:r w:rsidR="00BE59C7">
        <w:rPr>
          <w:rFonts w:ascii="Arial" w:hAnsi="Arial" w:cs="Arial"/>
          <w:sz w:val="22"/>
          <w:szCs w:val="22"/>
        </w:rPr>
        <w:t>)</w:t>
      </w:r>
      <w:r w:rsidR="008545C2">
        <w:rPr>
          <w:rFonts w:ascii="Arial" w:hAnsi="Arial" w:cs="Arial"/>
          <w:sz w:val="22"/>
          <w:szCs w:val="22"/>
        </w:rPr>
        <w:t xml:space="preserve"> No. 96-03D the source </w:t>
      </w:r>
      <w:r w:rsidR="008545C2">
        <w:rPr>
          <w:rFonts w:ascii="Arial" w:hAnsi="Arial" w:cs="Arial"/>
          <w:sz w:val="22"/>
          <w:szCs w:val="22"/>
        </w:rPr>
        <w:lastRenderedPageBreak/>
        <w:t xml:space="preserve">requested and was granted a </w:t>
      </w:r>
      <w:r w:rsidR="001C767C">
        <w:rPr>
          <w:rFonts w:ascii="Arial" w:hAnsi="Arial" w:cs="Arial"/>
          <w:sz w:val="22"/>
          <w:szCs w:val="22"/>
        </w:rPr>
        <w:t xml:space="preserve">PSD </w:t>
      </w:r>
      <w:r w:rsidR="008545C2">
        <w:rPr>
          <w:rFonts w:ascii="Arial" w:hAnsi="Arial" w:cs="Arial"/>
          <w:sz w:val="22"/>
          <w:szCs w:val="22"/>
        </w:rPr>
        <w:t xml:space="preserve">synthetic minor limit for VOC (49.7 TPY), which it would use the RTO control to comply with. </w:t>
      </w:r>
    </w:p>
    <w:p w14:paraId="704B60A0" w14:textId="77777777" w:rsidR="004A7CB1" w:rsidRDefault="004A7CB1" w:rsidP="004A7CB1">
      <w:pPr>
        <w:jc w:val="both"/>
        <w:rPr>
          <w:rFonts w:ascii="Arial" w:hAnsi="Arial" w:cs="Arial"/>
          <w:sz w:val="22"/>
          <w:szCs w:val="22"/>
        </w:rPr>
      </w:pPr>
    </w:p>
    <w:tbl>
      <w:tblPr>
        <w:tblW w:w="1040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407"/>
        <w:gridCol w:w="1620"/>
        <w:gridCol w:w="1530"/>
        <w:gridCol w:w="1530"/>
        <w:gridCol w:w="1890"/>
        <w:gridCol w:w="1530"/>
        <w:gridCol w:w="900"/>
      </w:tblGrid>
      <w:tr w:rsidR="00D9587D" w14:paraId="0973FBB1" w14:textId="77777777" w:rsidTr="004A7CB1">
        <w:trPr>
          <w:tblHeader/>
        </w:trPr>
        <w:tc>
          <w:tcPr>
            <w:tcW w:w="1407" w:type="dxa"/>
            <w:shd w:val="clear" w:color="auto" w:fill="D9D9D9"/>
          </w:tcPr>
          <w:p w14:paraId="424D3B14" w14:textId="0234DA82"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w:t>
            </w:r>
            <w:r w:rsidR="0070709E">
              <w:rPr>
                <w:rFonts w:ascii="Arial" w:eastAsia="Calibri" w:hAnsi="Arial" w:cs="Arial"/>
                <w:b/>
                <w:sz w:val="22"/>
                <w:szCs w:val="22"/>
              </w:rPr>
              <w:t xml:space="preserve"> </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620" w:type="dxa"/>
            <w:shd w:val="clear" w:color="auto" w:fill="D9D9D9"/>
          </w:tcPr>
          <w:p w14:paraId="27E0396C"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1530" w:type="dxa"/>
            <w:shd w:val="clear" w:color="auto" w:fill="D9D9D9"/>
          </w:tcPr>
          <w:p w14:paraId="60079ED4"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530" w:type="dxa"/>
            <w:shd w:val="clear" w:color="auto" w:fill="D9D9D9"/>
          </w:tcPr>
          <w:p w14:paraId="1F650681"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890" w:type="dxa"/>
            <w:shd w:val="clear" w:color="auto" w:fill="D9D9D9"/>
          </w:tcPr>
          <w:p w14:paraId="01B75464"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530" w:type="dxa"/>
            <w:shd w:val="clear" w:color="auto" w:fill="D9D9D9"/>
          </w:tcPr>
          <w:p w14:paraId="712D256A"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900" w:type="dxa"/>
            <w:shd w:val="clear" w:color="auto" w:fill="D9D9D9"/>
          </w:tcPr>
          <w:p w14:paraId="6C015057" w14:textId="77777777" w:rsidR="00D9587D" w:rsidRPr="00C72A47" w:rsidRDefault="00C82F1E" w:rsidP="007F3C6F">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F56A43" w14:paraId="6F941A35" w14:textId="77777777" w:rsidTr="004A7CB1">
        <w:trPr>
          <w:trHeight w:val="739"/>
        </w:trPr>
        <w:tc>
          <w:tcPr>
            <w:tcW w:w="1407" w:type="dxa"/>
            <w:vMerge w:val="restart"/>
            <w:shd w:val="clear" w:color="auto" w:fill="auto"/>
          </w:tcPr>
          <w:p w14:paraId="123D2029" w14:textId="77777777" w:rsidR="00F56A43" w:rsidRDefault="00F56A43" w:rsidP="007F3C6F">
            <w:pPr>
              <w:rPr>
                <w:rFonts w:ascii="Arial" w:eastAsia="Calibri" w:hAnsi="Arial" w:cs="Arial"/>
                <w:sz w:val="22"/>
                <w:szCs w:val="22"/>
              </w:rPr>
            </w:pPr>
            <w:r>
              <w:rPr>
                <w:rFonts w:ascii="Arial" w:eastAsia="Calibri" w:hAnsi="Arial" w:cs="Arial"/>
                <w:sz w:val="22"/>
                <w:szCs w:val="22"/>
              </w:rPr>
              <w:t>FG-RTO</w:t>
            </w:r>
          </w:p>
          <w:p w14:paraId="4F92B25A" w14:textId="77777777" w:rsidR="00113486" w:rsidRPr="00BE59C7" w:rsidRDefault="00113486" w:rsidP="00113486">
            <w:pPr>
              <w:jc w:val="both"/>
              <w:rPr>
                <w:rFonts w:ascii="Arial" w:hAnsi="Arial"/>
                <w:sz w:val="22"/>
                <w:szCs w:val="22"/>
              </w:rPr>
            </w:pPr>
            <w:r w:rsidRPr="00BE59C7">
              <w:rPr>
                <w:rFonts w:ascii="Arial" w:eastAsia="Calibri" w:hAnsi="Arial" w:cs="Arial"/>
                <w:sz w:val="22"/>
                <w:szCs w:val="22"/>
              </w:rPr>
              <w:t>(</w:t>
            </w:r>
            <w:r w:rsidRPr="00BE59C7">
              <w:rPr>
                <w:rFonts w:ascii="Arial" w:hAnsi="Arial"/>
                <w:sz w:val="22"/>
                <w:szCs w:val="22"/>
              </w:rPr>
              <w:t xml:space="preserve">EU-CE1, EU-CE2, </w:t>
            </w:r>
          </w:p>
          <w:p w14:paraId="74B79ACA" w14:textId="77777777" w:rsidR="00113486" w:rsidRPr="00BE59C7" w:rsidRDefault="00113486" w:rsidP="00113486">
            <w:pPr>
              <w:jc w:val="both"/>
              <w:rPr>
                <w:rFonts w:ascii="Arial" w:hAnsi="Arial"/>
                <w:sz w:val="22"/>
                <w:szCs w:val="22"/>
              </w:rPr>
            </w:pPr>
            <w:r w:rsidRPr="00BE59C7">
              <w:rPr>
                <w:rFonts w:ascii="Arial" w:hAnsi="Arial"/>
                <w:sz w:val="22"/>
                <w:szCs w:val="22"/>
              </w:rPr>
              <w:t>EU-CE3,</w:t>
            </w:r>
          </w:p>
          <w:p w14:paraId="6688397D" w14:textId="77777777" w:rsidR="00113486" w:rsidRPr="00BE59C7" w:rsidRDefault="00113486" w:rsidP="00113486">
            <w:pPr>
              <w:jc w:val="both"/>
              <w:rPr>
                <w:rFonts w:ascii="Arial" w:hAnsi="Arial"/>
                <w:sz w:val="22"/>
                <w:szCs w:val="22"/>
              </w:rPr>
            </w:pPr>
            <w:r w:rsidRPr="00BE59C7">
              <w:rPr>
                <w:rFonts w:ascii="Arial" w:hAnsi="Arial"/>
                <w:sz w:val="22"/>
                <w:szCs w:val="22"/>
              </w:rPr>
              <w:t xml:space="preserve">EU-CE4, </w:t>
            </w:r>
          </w:p>
          <w:p w14:paraId="7A3E867A" w14:textId="3E7696E9" w:rsidR="00113486" w:rsidRPr="00BE59C7" w:rsidRDefault="00113486" w:rsidP="00113486">
            <w:pPr>
              <w:jc w:val="both"/>
              <w:rPr>
                <w:rFonts w:ascii="Arial" w:hAnsi="Arial"/>
                <w:sz w:val="22"/>
                <w:szCs w:val="22"/>
              </w:rPr>
            </w:pPr>
            <w:r w:rsidRPr="00BE59C7">
              <w:rPr>
                <w:rFonts w:ascii="Arial" w:hAnsi="Arial"/>
                <w:sz w:val="22"/>
                <w:szCs w:val="22"/>
              </w:rPr>
              <w:t xml:space="preserve">EU-CE5, </w:t>
            </w:r>
          </w:p>
          <w:p w14:paraId="3994D498" w14:textId="77777777" w:rsidR="00113486" w:rsidRPr="00BE59C7" w:rsidRDefault="00113486" w:rsidP="00113486">
            <w:pPr>
              <w:jc w:val="both"/>
              <w:rPr>
                <w:rFonts w:ascii="Arial" w:hAnsi="Arial"/>
                <w:sz w:val="22"/>
                <w:szCs w:val="22"/>
              </w:rPr>
            </w:pPr>
            <w:r w:rsidRPr="00BE59C7">
              <w:rPr>
                <w:rFonts w:ascii="Arial" w:hAnsi="Arial"/>
                <w:sz w:val="22"/>
                <w:szCs w:val="22"/>
              </w:rPr>
              <w:t xml:space="preserve">EU-CE6, </w:t>
            </w:r>
          </w:p>
          <w:p w14:paraId="041118F1" w14:textId="77777777" w:rsidR="00113486" w:rsidRPr="00BE59C7" w:rsidRDefault="00113486" w:rsidP="00113486">
            <w:pPr>
              <w:jc w:val="both"/>
              <w:rPr>
                <w:rFonts w:ascii="Arial" w:hAnsi="Arial"/>
                <w:sz w:val="22"/>
                <w:szCs w:val="22"/>
              </w:rPr>
            </w:pPr>
            <w:r w:rsidRPr="00BE59C7">
              <w:rPr>
                <w:rFonts w:ascii="Arial" w:hAnsi="Arial"/>
                <w:sz w:val="22"/>
                <w:szCs w:val="22"/>
              </w:rPr>
              <w:t xml:space="preserve">EU-CE7, </w:t>
            </w:r>
          </w:p>
          <w:p w14:paraId="75076B49" w14:textId="77777777" w:rsidR="00113486" w:rsidRPr="00BE59C7" w:rsidRDefault="00113486" w:rsidP="00113486">
            <w:pPr>
              <w:jc w:val="both"/>
              <w:rPr>
                <w:rFonts w:ascii="Arial" w:hAnsi="Arial"/>
                <w:sz w:val="22"/>
                <w:szCs w:val="22"/>
              </w:rPr>
            </w:pPr>
            <w:r w:rsidRPr="00BE59C7">
              <w:rPr>
                <w:rFonts w:ascii="Arial" w:hAnsi="Arial"/>
                <w:sz w:val="22"/>
                <w:szCs w:val="22"/>
              </w:rPr>
              <w:t xml:space="preserve">EU-RC, </w:t>
            </w:r>
          </w:p>
          <w:p w14:paraId="32F65666" w14:textId="77777777" w:rsidR="00113486" w:rsidRPr="00BE59C7" w:rsidRDefault="00113486" w:rsidP="00113486">
            <w:pPr>
              <w:jc w:val="both"/>
              <w:rPr>
                <w:rFonts w:ascii="Arial" w:hAnsi="Arial"/>
                <w:sz w:val="22"/>
                <w:szCs w:val="22"/>
              </w:rPr>
            </w:pPr>
            <w:r w:rsidRPr="00BE59C7">
              <w:rPr>
                <w:rFonts w:ascii="Arial" w:hAnsi="Arial"/>
                <w:sz w:val="22"/>
                <w:szCs w:val="22"/>
              </w:rPr>
              <w:t xml:space="preserve">EU-TS3, </w:t>
            </w:r>
          </w:p>
          <w:p w14:paraId="0E59F4EE" w14:textId="2F5D616B" w:rsidR="00113486" w:rsidRPr="00BE59C7" w:rsidRDefault="00113486" w:rsidP="00113486">
            <w:pPr>
              <w:jc w:val="both"/>
              <w:rPr>
                <w:rFonts w:ascii="Arial" w:hAnsi="Arial"/>
                <w:sz w:val="22"/>
                <w:szCs w:val="22"/>
              </w:rPr>
            </w:pPr>
            <w:r w:rsidRPr="00BE59C7">
              <w:rPr>
                <w:rFonts w:ascii="Arial" w:hAnsi="Arial"/>
                <w:sz w:val="22"/>
                <w:szCs w:val="22"/>
              </w:rPr>
              <w:t>EU-TS4)</w:t>
            </w:r>
          </w:p>
          <w:p w14:paraId="2C160AEE" w14:textId="77777777" w:rsidR="00113486" w:rsidRPr="00113486" w:rsidRDefault="00113486" w:rsidP="00113486">
            <w:pPr>
              <w:jc w:val="both"/>
              <w:rPr>
                <w:rFonts w:ascii="Arial" w:hAnsi="Arial"/>
              </w:rPr>
            </w:pPr>
          </w:p>
          <w:p w14:paraId="418B5FEF" w14:textId="64AE1657" w:rsidR="00113486" w:rsidRPr="00C72A47" w:rsidRDefault="00113486" w:rsidP="007F3C6F">
            <w:pPr>
              <w:rPr>
                <w:rFonts w:ascii="Arial" w:eastAsia="Calibri" w:hAnsi="Arial" w:cs="Arial"/>
                <w:sz w:val="22"/>
                <w:szCs w:val="22"/>
              </w:rPr>
            </w:pPr>
          </w:p>
        </w:tc>
        <w:tc>
          <w:tcPr>
            <w:tcW w:w="1620" w:type="dxa"/>
            <w:vMerge w:val="restart"/>
            <w:shd w:val="clear" w:color="auto" w:fill="auto"/>
          </w:tcPr>
          <w:p w14:paraId="1AEC3B3A" w14:textId="4BE89645" w:rsidR="00F56A43" w:rsidRPr="00F90CC0" w:rsidRDefault="00F56A43" w:rsidP="007F3C6F">
            <w:pPr>
              <w:rPr>
                <w:rFonts w:ascii="Arial" w:eastAsia="Calibri" w:hAnsi="Arial" w:cs="Arial"/>
                <w:sz w:val="22"/>
                <w:szCs w:val="22"/>
              </w:rPr>
            </w:pPr>
            <w:r w:rsidRPr="00F90CC0">
              <w:rPr>
                <w:rFonts w:ascii="Arial" w:hAnsi="Arial" w:cs="Arial"/>
                <w:sz w:val="22"/>
                <w:szCs w:val="22"/>
              </w:rPr>
              <w:t>VOC, acetone (CAS No. 67-64-1), and methyl acetate (CAS No. 79-20-9), combined</w:t>
            </w:r>
          </w:p>
        </w:tc>
        <w:tc>
          <w:tcPr>
            <w:tcW w:w="1530" w:type="dxa"/>
            <w:vMerge w:val="restart"/>
            <w:shd w:val="clear" w:color="auto" w:fill="auto"/>
          </w:tcPr>
          <w:p w14:paraId="7AB98E08" w14:textId="77777777" w:rsidR="001C767C" w:rsidRDefault="00F56A43" w:rsidP="00F56A43">
            <w:pPr>
              <w:jc w:val="center"/>
              <w:rPr>
                <w:rFonts w:ascii="Arial" w:hAnsi="Arial"/>
                <w:b/>
              </w:rPr>
            </w:pPr>
            <w:r w:rsidRPr="00F56A43">
              <w:rPr>
                <w:rFonts w:ascii="Arial" w:hAnsi="Arial"/>
                <w:b/>
              </w:rPr>
              <w:t xml:space="preserve">R 336.1205, </w:t>
            </w:r>
          </w:p>
          <w:p w14:paraId="3D18B758" w14:textId="6561F9D0" w:rsidR="00F56A43" w:rsidRPr="00F56A43" w:rsidRDefault="00F56A43" w:rsidP="00F56A43">
            <w:pPr>
              <w:jc w:val="center"/>
              <w:rPr>
                <w:rFonts w:ascii="Arial" w:hAnsi="Arial"/>
                <w:b/>
              </w:rPr>
            </w:pPr>
            <w:r w:rsidRPr="00F56A43">
              <w:rPr>
                <w:rFonts w:ascii="Arial" w:hAnsi="Arial"/>
                <w:b/>
              </w:rPr>
              <w:t>R 336.1224,</w:t>
            </w:r>
          </w:p>
          <w:p w14:paraId="73A8ED05" w14:textId="01CE8BB3" w:rsidR="00F56A43" w:rsidRPr="00C72A47" w:rsidRDefault="00F56A43" w:rsidP="00F56A43">
            <w:pPr>
              <w:rPr>
                <w:rFonts w:ascii="Arial" w:eastAsia="Calibri" w:hAnsi="Arial" w:cs="Arial"/>
                <w:sz w:val="22"/>
                <w:szCs w:val="22"/>
              </w:rPr>
            </w:pPr>
            <w:r w:rsidRPr="00F56A43">
              <w:rPr>
                <w:rFonts w:ascii="Arial" w:hAnsi="Arial"/>
                <w:b/>
              </w:rPr>
              <w:t xml:space="preserve">R </w:t>
            </w:r>
            <w:r w:rsidR="001C767C">
              <w:rPr>
                <w:rFonts w:ascii="Arial" w:hAnsi="Arial"/>
                <w:b/>
              </w:rPr>
              <w:t>3</w:t>
            </w:r>
            <w:r w:rsidRPr="00F56A43">
              <w:rPr>
                <w:rFonts w:ascii="Arial" w:hAnsi="Arial"/>
                <w:b/>
              </w:rPr>
              <w:t>36.1702(a)</w:t>
            </w:r>
          </w:p>
        </w:tc>
        <w:tc>
          <w:tcPr>
            <w:tcW w:w="1530" w:type="dxa"/>
            <w:shd w:val="clear" w:color="auto" w:fill="auto"/>
          </w:tcPr>
          <w:p w14:paraId="3299C790" w14:textId="279D6AD9" w:rsidR="00F56A43" w:rsidRPr="00C72A47" w:rsidRDefault="00F56A43" w:rsidP="007F3C6F">
            <w:pPr>
              <w:rPr>
                <w:rFonts w:ascii="Arial" w:eastAsia="Calibri" w:hAnsi="Arial" w:cs="Arial"/>
                <w:sz w:val="22"/>
                <w:szCs w:val="22"/>
              </w:rPr>
            </w:pPr>
            <w:r>
              <w:rPr>
                <w:rFonts w:ascii="Arial" w:eastAsia="Calibri" w:hAnsi="Arial" w:cs="Arial"/>
                <w:sz w:val="22"/>
                <w:szCs w:val="22"/>
              </w:rPr>
              <w:t>Regenerative Thermal Oxidizer (RTO)</w:t>
            </w:r>
          </w:p>
        </w:tc>
        <w:tc>
          <w:tcPr>
            <w:tcW w:w="1890" w:type="dxa"/>
            <w:shd w:val="clear" w:color="auto" w:fill="auto"/>
          </w:tcPr>
          <w:p w14:paraId="7827B380" w14:textId="51E02C2D" w:rsidR="00F56A43" w:rsidRPr="00D871B3" w:rsidRDefault="00C54E9E" w:rsidP="007F3C6F">
            <w:pPr>
              <w:rPr>
                <w:rFonts w:ascii="Arial" w:eastAsia="Calibri" w:hAnsi="Arial" w:cs="Arial"/>
                <w:sz w:val="22"/>
                <w:szCs w:val="22"/>
              </w:rPr>
            </w:pPr>
            <w:r w:rsidRPr="00D871B3">
              <w:rPr>
                <w:rFonts w:ascii="Arial" w:eastAsia="Calibri" w:hAnsi="Arial" w:cs="Arial"/>
                <w:sz w:val="22"/>
                <w:szCs w:val="22"/>
              </w:rPr>
              <w:t xml:space="preserve">Combustion Chamber </w:t>
            </w:r>
            <w:r w:rsidR="00F56A43" w:rsidRPr="00D871B3">
              <w:rPr>
                <w:rFonts w:ascii="Arial" w:eastAsia="Calibri" w:hAnsi="Arial" w:cs="Arial"/>
                <w:sz w:val="22"/>
                <w:szCs w:val="22"/>
              </w:rPr>
              <w:t>Temperature</w:t>
            </w:r>
            <w:r w:rsidRPr="00D871B3">
              <w:rPr>
                <w:rFonts w:ascii="Arial" w:eastAsia="Calibri" w:hAnsi="Arial" w:cs="Arial"/>
                <w:sz w:val="22"/>
                <w:szCs w:val="22"/>
              </w:rPr>
              <w:t xml:space="preserve">= </w:t>
            </w:r>
            <w:r w:rsidRPr="00D871B3">
              <w:rPr>
                <w:rFonts w:ascii="Arial" w:hAnsi="Arial" w:cs="Arial"/>
                <w:sz w:val="22"/>
                <w:szCs w:val="22"/>
              </w:rPr>
              <w:t xml:space="preserve">greater than or equal to </w:t>
            </w:r>
            <w:r w:rsidR="00C7589B" w:rsidRPr="00D871B3">
              <w:rPr>
                <w:rFonts w:ascii="Arial" w:hAnsi="Arial" w:cs="Arial"/>
                <w:sz w:val="22"/>
                <w:szCs w:val="22"/>
              </w:rPr>
              <w:t>157</w:t>
            </w:r>
            <w:r w:rsidR="00C7589B">
              <w:rPr>
                <w:rFonts w:ascii="Arial" w:hAnsi="Arial" w:cs="Arial"/>
                <w:sz w:val="22"/>
                <w:szCs w:val="22"/>
              </w:rPr>
              <w:t>0.6</w:t>
            </w:r>
            <w:r w:rsidRPr="00D871B3">
              <w:rPr>
                <w:rFonts w:ascii="Arial" w:hAnsi="Arial" w:cs="Arial"/>
                <w:sz w:val="22"/>
                <w:szCs w:val="22"/>
              </w:rPr>
              <w:t>°F or the minimum temperature from the most recent acceptable stack test</w:t>
            </w:r>
            <w:r w:rsidR="00D871B3" w:rsidRPr="00D871B3">
              <w:rPr>
                <w:rFonts w:ascii="Arial" w:hAnsi="Arial" w:cs="Arial"/>
                <w:sz w:val="22"/>
                <w:szCs w:val="22"/>
              </w:rPr>
              <w:t xml:space="preserve">, based on a 3-hour </w:t>
            </w:r>
            <w:r w:rsidR="00D36078" w:rsidRPr="00D871B3">
              <w:rPr>
                <w:rFonts w:ascii="Arial" w:hAnsi="Arial" w:cs="Arial"/>
                <w:sz w:val="22"/>
                <w:szCs w:val="22"/>
              </w:rPr>
              <w:t>average</w:t>
            </w:r>
          </w:p>
          <w:p w14:paraId="5089A4C5" w14:textId="543E6744" w:rsidR="00F56A43" w:rsidRPr="00D871B3" w:rsidRDefault="00F56A43" w:rsidP="007F3C6F">
            <w:pPr>
              <w:rPr>
                <w:rFonts w:ascii="Arial" w:eastAsia="Calibri" w:hAnsi="Arial" w:cs="Arial"/>
                <w:sz w:val="22"/>
                <w:szCs w:val="22"/>
              </w:rPr>
            </w:pPr>
          </w:p>
        </w:tc>
        <w:tc>
          <w:tcPr>
            <w:tcW w:w="1530" w:type="dxa"/>
            <w:vMerge w:val="restart"/>
          </w:tcPr>
          <w:p w14:paraId="4B830204" w14:textId="678056BA" w:rsidR="00F56A43" w:rsidRPr="00C72A47" w:rsidRDefault="00F56A43" w:rsidP="007F3C6F">
            <w:pPr>
              <w:rPr>
                <w:rFonts w:ascii="Arial" w:eastAsia="Calibri" w:hAnsi="Arial" w:cs="Arial"/>
                <w:sz w:val="22"/>
                <w:szCs w:val="22"/>
              </w:rPr>
            </w:pPr>
            <w:r>
              <w:rPr>
                <w:rFonts w:ascii="Arial" w:eastAsia="Calibri" w:hAnsi="Arial" w:cs="Arial"/>
                <w:sz w:val="22"/>
                <w:szCs w:val="22"/>
              </w:rPr>
              <w:t>FG-RTO</w:t>
            </w:r>
          </w:p>
        </w:tc>
        <w:tc>
          <w:tcPr>
            <w:tcW w:w="900" w:type="dxa"/>
            <w:vMerge w:val="restart"/>
            <w:shd w:val="clear" w:color="auto" w:fill="auto"/>
          </w:tcPr>
          <w:p w14:paraId="7BF1353B" w14:textId="77777777" w:rsidR="00F56A43" w:rsidRPr="00C72A47" w:rsidRDefault="00F56A43" w:rsidP="007F3C6F">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C914C5">
              <w:rPr>
                <w:rFonts w:ascii="Arial" w:eastAsia="Calibri" w:hAnsi="Arial" w:cs="Arial"/>
                <w:sz w:val="22"/>
                <w:szCs w:val="22"/>
              </w:rPr>
            </w:r>
            <w:r w:rsidR="00C914C5">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F56A43" w14:paraId="00E91D32" w14:textId="77777777" w:rsidTr="004A7CB1">
        <w:trPr>
          <w:trHeight w:val="739"/>
        </w:trPr>
        <w:tc>
          <w:tcPr>
            <w:tcW w:w="1407" w:type="dxa"/>
            <w:vMerge/>
            <w:shd w:val="clear" w:color="auto" w:fill="auto"/>
          </w:tcPr>
          <w:p w14:paraId="73B6B459" w14:textId="77777777" w:rsidR="00F56A43" w:rsidRDefault="00F56A43" w:rsidP="007F3C6F">
            <w:pPr>
              <w:rPr>
                <w:rFonts w:ascii="Arial" w:eastAsia="Calibri" w:hAnsi="Arial" w:cs="Arial"/>
                <w:sz w:val="22"/>
                <w:szCs w:val="22"/>
              </w:rPr>
            </w:pPr>
          </w:p>
        </w:tc>
        <w:tc>
          <w:tcPr>
            <w:tcW w:w="1620" w:type="dxa"/>
            <w:vMerge/>
            <w:shd w:val="clear" w:color="auto" w:fill="auto"/>
          </w:tcPr>
          <w:p w14:paraId="4331A208" w14:textId="77777777" w:rsidR="00F56A43" w:rsidRPr="00F90CC0" w:rsidRDefault="00F56A43" w:rsidP="007F3C6F">
            <w:pPr>
              <w:rPr>
                <w:rFonts w:ascii="Arial" w:hAnsi="Arial" w:cs="Arial"/>
                <w:sz w:val="22"/>
                <w:szCs w:val="22"/>
              </w:rPr>
            </w:pPr>
          </w:p>
        </w:tc>
        <w:tc>
          <w:tcPr>
            <w:tcW w:w="1530" w:type="dxa"/>
            <w:vMerge/>
            <w:shd w:val="clear" w:color="auto" w:fill="auto"/>
          </w:tcPr>
          <w:p w14:paraId="6221F5BB" w14:textId="77777777" w:rsidR="00F56A43" w:rsidRPr="00F56A43" w:rsidRDefault="00F56A43" w:rsidP="00F56A43">
            <w:pPr>
              <w:jc w:val="center"/>
              <w:rPr>
                <w:rFonts w:ascii="Arial" w:hAnsi="Arial"/>
                <w:b/>
              </w:rPr>
            </w:pPr>
          </w:p>
        </w:tc>
        <w:tc>
          <w:tcPr>
            <w:tcW w:w="1530" w:type="dxa"/>
            <w:shd w:val="clear" w:color="auto" w:fill="auto"/>
          </w:tcPr>
          <w:p w14:paraId="4BDCE531" w14:textId="6249EAFF" w:rsidR="00F56A43" w:rsidRDefault="00F56A43" w:rsidP="007F3C6F">
            <w:pPr>
              <w:rPr>
                <w:rFonts w:ascii="Arial" w:eastAsia="Calibri" w:hAnsi="Arial" w:cs="Arial"/>
                <w:sz w:val="22"/>
                <w:szCs w:val="22"/>
              </w:rPr>
            </w:pPr>
            <w:r>
              <w:rPr>
                <w:rFonts w:ascii="Arial" w:eastAsia="Calibri" w:hAnsi="Arial" w:cs="Arial"/>
                <w:sz w:val="22"/>
                <w:szCs w:val="22"/>
              </w:rPr>
              <w:t>Permanent Total Enclosure (PTE)</w:t>
            </w:r>
          </w:p>
        </w:tc>
        <w:tc>
          <w:tcPr>
            <w:tcW w:w="1890" w:type="dxa"/>
            <w:shd w:val="clear" w:color="auto" w:fill="auto"/>
          </w:tcPr>
          <w:p w14:paraId="1CF59903" w14:textId="6234633D" w:rsidR="003F3CC2" w:rsidRPr="00D871B3" w:rsidRDefault="00973C27" w:rsidP="00F56A43">
            <w:pPr>
              <w:rPr>
                <w:rFonts w:ascii="Arial" w:eastAsia="Calibri" w:hAnsi="Arial" w:cs="Arial"/>
                <w:sz w:val="22"/>
                <w:szCs w:val="22"/>
              </w:rPr>
            </w:pPr>
            <w:r w:rsidRPr="00D871B3">
              <w:rPr>
                <w:rFonts w:ascii="Arial" w:eastAsia="Calibri" w:hAnsi="Arial" w:cs="Arial"/>
                <w:sz w:val="22"/>
                <w:szCs w:val="22"/>
              </w:rPr>
              <w:t xml:space="preserve">Differential </w:t>
            </w:r>
          </w:p>
          <w:p w14:paraId="76DD7032" w14:textId="7316736B" w:rsidR="005D5057" w:rsidRPr="00D871B3" w:rsidRDefault="00F56A43" w:rsidP="00973C27">
            <w:pPr>
              <w:rPr>
                <w:rFonts w:ascii="Arial" w:hAnsi="Arial" w:cs="Arial"/>
                <w:sz w:val="22"/>
                <w:szCs w:val="22"/>
              </w:rPr>
            </w:pPr>
            <w:r w:rsidRPr="00D871B3">
              <w:rPr>
                <w:rFonts w:ascii="Arial" w:eastAsia="Calibri" w:hAnsi="Arial" w:cs="Arial"/>
                <w:sz w:val="22"/>
                <w:szCs w:val="22"/>
              </w:rPr>
              <w:t xml:space="preserve">Pressure </w:t>
            </w:r>
            <w:r w:rsidR="00973C27" w:rsidRPr="00D871B3">
              <w:rPr>
                <w:rFonts w:ascii="Arial" w:hAnsi="Arial" w:cs="Arial"/>
                <w:sz w:val="22"/>
                <w:szCs w:val="22"/>
              </w:rPr>
              <w:t xml:space="preserve">across the enclosure </w:t>
            </w:r>
            <w:r w:rsidR="00F747D2" w:rsidRPr="00D871B3">
              <w:rPr>
                <w:rFonts w:ascii="Arial" w:hAnsi="Arial" w:cs="Arial"/>
                <w:sz w:val="22"/>
                <w:szCs w:val="22"/>
              </w:rPr>
              <w:t xml:space="preserve">= </w:t>
            </w:r>
            <w:r w:rsidR="005D5057" w:rsidRPr="00D871B3">
              <w:rPr>
                <w:rFonts w:ascii="Arial" w:hAnsi="Arial" w:cs="Arial"/>
                <w:sz w:val="22"/>
                <w:szCs w:val="22"/>
              </w:rPr>
              <w:t>greater than or equal to -0.007 inches water column</w:t>
            </w:r>
            <w:r w:rsidR="00D871B3" w:rsidRPr="00D871B3">
              <w:rPr>
                <w:rFonts w:ascii="Arial" w:hAnsi="Arial" w:cs="Arial"/>
                <w:sz w:val="22"/>
                <w:szCs w:val="22"/>
              </w:rPr>
              <w:t>, based on a 3-hour average</w:t>
            </w:r>
          </w:p>
          <w:p w14:paraId="596C3950" w14:textId="77777777" w:rsidR="005D5057" w:rsidRPr="00D871B3" w:rsidRDefault="005D5057" w:rsidP="00973C27">
            <w:pPr>
              <w:rPr>
                <w:rFonts w:ascii="Arial" w:hAnsi="Arial" w:cs="Arial"/>
                <w:sz w:val="22"/>
                <w:szCs w:val="22"/>
              </w:rPr>
            </w:pPr>
          </w:p>
          <w:p w14:paraId="745175F8" w14:textId="60162C14" w:rsidR="00F56A43" w:rsidRPr="00D871B3" w:rsidRDefault="005D5057" w:rsidP="00973C27">
            <w:pPr>
              <w:rPr>
                <w:rFonts w:ascii="Arial" w:eastAsia="Calibri" w:hAnsi="Arial" w:cs="Arial"/>
                <w:sz w:val="22"/>
                <w:szCs w:val="22"/>
              </w:rPr>
            </w:pPr>
            <w:r w:rsidRPr="00D871B3">
              <w:rPr>
                <w:rFonts w:ascii="Arial" w:hAnsi="Arial" w:cs="Arial"/>
                <w:sz w:val="22"/>
                <w:szCs w:val="22"/>
              </w:rPr>
              <w:t>Av</w:t>
            </w:r>
            <w:r w:rsidR="00F747D2" w:rsidRPr="00D871B3">
              <w:rPr>
                <w:rFonts w:ascii="Arial" w:hAnsi="Arial" w:cs="Arial"/>
                <w:sz w:val="22"/>
                <w:szCs w:val="22"/>
              </w:rPr>
              <w:t>erage face velocity through all-natural draft openings (NDO)</w:t>
            </w:r>
            <w:r w:rsidR="002C5F6A" w:rsidRPr="00D871B3">
              <w:rPr>
                <w:rFonts w:ascii="Arial" w:hAnsi="Arial" w:cs="Arial"/>
                <w:sz w:val="22"/>
                <w:szCs w:val="22"/>
              </w:rPr>
              <w:t xml:space="preserve"> = greater than or equal to 200 feet per minute based on a 3-hour average</w:t>
            </w:r>
          </w:p>
        </w:tc>
        <w:tc>
          <w:tcPr>
            <w:tcW w:w="1530" w:type="dxa"/>
            <w:vMerge/>
          </w:tcPr>
          <w:p w14:paraId="74279DE2" w14:textId="77777777" w:rsidR="00F56A43" w:rsidRDefault="00F56A43" w:rsidP="007F3C6F">
            <w:pPr>
              <w:rPr>
                <w:rFonts w:ascii="Arial" w:eastAsia="Calibri" w:hAnsi="Arial" w:cs="Arial"/>
                <w:sz w:val="22"/>
                <w:szCs w:val="22"/>
              </w:rPr>
            </w:pPr>
          </w:p>
        </w:tc>
        <w:tc>
          <w:tcPr>
            <w:tcW w:w="900" w:type="dxa"/>
            <w:vMerge/>
            <w:shd w:val="clear" w:color="auto" w:fill="auto"/>
          </w:tcPr>
          <w:p w14:paraId="2EE0CB6F" w14:textId="77777777" w:rsidR="00F56A43" w:rsidRPr="00C72A47" w:rsidRDefault="00F56A43" w:rsidP="007F3C6F">
            <w:pPr>
              <w:rPr>
                <w:rFonts w:ascii="Arial" w:eastAsia="Calibri" w:hAnsi="Arial" w:cs="Arial"/>
                <w:sz w:val="22"/>
                <w:szCs w:val="22"/>
              </w:rPr>
            </w:pPr>
          </w:p>
        </w:tc>
      </w:tr>
    </w:tbl>
    <w:p w14:paraId="779953C9" w14:textId="77777777" w:rsidR="00D9587D" w:rsidRPr="004F6C98" w:rsidRDefault="001111DD" w:rsidP="001111DD">
      <w:pPr>
        <w:rPr>
          <w:rFonts w:ascii="Arial" w:hAnsi="Arial" w:cs="Arial"/>
          <w:sz w:val="22"/>
          <w:szCs w:val="22"/>
        </w:rPr>
      </w:pPr>
      <w:r>
        <w:rPr>
          <w:rFonts w:ascii="Arial" w:hAnsi="Arial" w:cs="Arial"/>
          <w:sz w:val="22"/>
          <w:szCs w:val="22"/>
        </w:rPr>
        <w:t>*</w:t>
      </w:r>
      <w:bookmarkStart w:id="18" w:name="_Hlk507653084"/>
      <w:r w:rsidRPr="004F6C98">
        <w:rPr>
          <w:rFonts w:ascii="Arial" w:hAnsi="Arial" w:cs="Arial"/>
          <w:sz w:val="22"/>
          <w:szCs w:val="22"/>
        </w:rPr>
        <w:t>Presumptively Acceptable Monitoring (PAM)</w:t>
      </w:r>
    </w:p>
    <w:bookmarkEnd w:id="18"/>
    <w:p w14:paraId="50303DAE" w14:textId="77777777" w:rsidR="00D9587D" w:rsidRPr="00D122B6" w:rsidRDefault="00D9587D" w:rsidP="00D9587D">
      <w:pPr>
        <w:rPr>
          <w:rFonts w:ascii="Arial" w:hAnsi="Arial" w:cs="Arial"/>
          <w:sz w:val="22"/>
          <w:szCs w:val="22"/>
        </w:rPr>
      </w:pPr>
    </w:p>
    <w:p w14:paraId="09B6EF8E" w14:textId="77777777" w:rsidR="006D5A28" w:rsidRDefault="006D5A28" w:rsidP="000F73C3">
      <w:pPr>
        <w:jc w:val="both"/>
        <w:rPr>
          <w:rFonts w:ascii="Arial" w:hAnsi="Arial" w:cs="Arial"/>
          <w:sz w:val="22"/>
          <w:szCs w:val="22"/>
        </w:rPr>
      </w:pPr>
      <w:r>
        <w:rPr>
          <w:rFonts w:ascii="Arial" w:hAnsi="Arial" w:cs="Arial"/>
          <w:sz w:val="22"/>
          <w:szCs w:val="22"/>
        </w:rPr>
        <w:t xml:space="preserve">A Permanent Total Enclosure (PTE) and Regenerative Thermal Oxidizer (RTO) are used to control the VOC emissions from ten (10) metal and/or plastic parts coating lines and the associated purge and cleanup activities. </w:t>
      </w:r>
    </w:p>
    <w:p w14:paraId="037B9971" w14:textId="77777777" w:rsidR="006D5A28" w:rsidRDefault="006D5A28" w:rsidP="000F73C3">
      <w:pPr>
        <w:jc w:val="both"/>
        <w:rPr>
          <w:rFonts w:ascii="Arial" w:hAnsi="Arial" w:cs="Arial"/>
          <w:sz w:val="22"/>
          <w:szCs w:val="22"/>
        </w:rPr>
      </w:pPr>
    </w:p>
    <w:p w14:paraId="1A5DE51D" w14:textId="52FDABF7" w:rsidR="000F73C3" w:rsidRDefault="006D5A28" w:rsidP="000F73C3">
      <w:pPr>
        <w:jc w:val="both"/>
        <w:rPr>
          <w:rFonts w:ascii="Arial" w:hAnsi="Arial" w:cs="Arial"/>
          <w:sz w:val="22"/>
          <w:szCs w:val="22"/>
        </w:rPr>
      </w:pPr>
      <w:r>
        <w:rPr>
          <w:rFonts w:ascii="Arial" w:hAnsi="Arial" w:cs="Arial"/>
          <w:sz w:val="22"/>
          <w:szCs w:val="22"/>
        </w:rPr>
        <w:t>The monitoring approach used for the RTO involves continuously monitoring combustion chamber temperature using a thermocouple system with a digital temperature indicator and data acquisition system.</w:t>
      </w:r>
      <w:r w:rsidR="000D1318">
        <w:rPr>
          <w:rFonts w:ascii="Arial" w:hAnsi="Arial" w:cs="Arial"/>
          <w:sz w:val="22"/>
          <w:szCs w:val="22"/>
        </w:rPr>
        <w:t xml:space="preserve"> </w:t>
      </w:r>
      <w:r>
        <w:rPr>
          <w:rFonts w:ascii="Arial" w:hAnsi="Arial" w:cs="Arial"/>
          <w:sz w:val="22"/>
          <w:szCs w:val="22"/>
        </w:rPr>
        <w:t xml:space="preserve"> The minimum combustion chamber temperature is set based on what is needed to achieve  95% destruction efficiency (by weight) of VOC emissions during stack testing, which is conducted every 5 years. The current minimum operating temperature is </w:t>
      </w:r>
      <w:r w:rsidR="00C7589B">
        <w:rPr>
          <w:rFonts w:ascii="Arial" w:hAnsi="Arial" w:cs="Arial"/>
          <w:sz w:val="22"/>
          <w:szCs w:val="22"/>
        </w:rPr>
        <w:t>1570.6</w:t>
      </w:r>
      <w:r>
        <w:rPr>
          <w:rFonts w:ascii="Arial" w:hAnsi="Arial" w:cs="Arial"/>
          <w:sz w:val="22"/>
          <w:szCs w:val="22"/>
        </w:rPr>
        <w:t xml:space="preserve">°F. </w:t>
      </w:r>
      <w:r w:rsidR="000D1318">
        <w:rPr>
          <w:rFonts w:ascii="Arial" w:hAnsi="Arial" w:cs="Arial"/>
          <w:sz w:val="22"/>
          <w:szCs w:val="22"/>
        </w:rPr>
        <w:t xml:space="preserve"> </w:t>
      </w:r>
      <w:r>
        <w:rPr>
          <w:rFonts w:ascii="Arial" w:hAnsi="Arial" w:cs="Arial"/>
          <w:sz w:val="22"/>
          <w:szCs w:val="22"/>
        </w:rPr>
        <w:t>An averaging period of 3-hours is used for the combustion chamber temperature.</w:t>
      </w:r>
      <w:r w:rsidR="000D1318">
        <w:rPr>
          <w:rFonts w:ascii="Arial" w:hAnsi="Arial" w:cs="Arial"/>
          <w:sz w:val="22"/>
          <w:szCs w:val="22"/>
        </w:rPr>
        <w:t xml:space="preserve"> </w:t>
      </w:r>
      <w:r>
        <w:rPr>
          <w:rFonts w:ascii="Arial" w:hAnsi="Arial" w:cs="Arial"/>
          <w:sz w:val="22"/>
          <w:szCs w:val="22"/>
        </w:rPr>
        <w:t xml:space="preserve"> If the average combustion temperature in any 3-hour period falls below the minimum operating temperature (</w:t>
      </w:r>
      <w:r w:rsidR="00C7589B">
        <w:rPr>
          <w:rFonts w:ascii="Arial" w:hAnsi="Arial" w:cs="Arial"/>
          <w:sz w:val="22"/>
          <w:szCs w:val="22"/>
        </w:rPr>
        <w:t>1570.6</w:t>
      </w:r>
      <w:r>
        <w:rPr>
          <w:rFonts w:ascii="Arial" w:hAnsi="Arial" w:cs="Arial"/>
          <w:sz w:val="22"/>
          <w:szCs w:val="22"/>
        </w:rPr>
        <w:t xml:space="preserve">°F) an alarm will be activated and coating lines routed to the </w:t>
      </w:r>
      <w:r>
        <w:rPr>
          <w:rFonts w:ascii="Arial" w:hAnsi="Arial" w:cs="Arial"/>
          <w:sz w:val="22"/>
          <w:szCs w:val="22"/>
        </w:rPr>
        <w:lastRenderedPageBreak/>
        <w:t xml:space="preserve">RTO will be shut down until problem can be identified, resolved, and the minimum operating temperature can be achieved. </w:t>
      </w:r>
    </w:p>
    <w:p w14:paraId="5578A5E1" w14:textId="10809384" w:rsidR="006D5A28" w:rsidRDefault="006D5A28" w:rsidP="000F73C3">
      <w:pPr>
        <w:jc w:val="both"/>
        <w:rPr>
          <w:rFonts w:ascii="Arial" w:hAnsi="Arial" w:cs="Arial"/>
          <w:sz w:val="22"/>
          <w:szCs w:val="22"/>
        </w:rPr>
      </w:pPr>
    </w:p>
    <w:p w14:paraId="2FA7DC36" w14:textId="4FBC8E7C" w:rsidR="006D5A28" w:rsidRDefault="006D5A28" w:rsidP="000F73C3">
      <w:pPr>
        <w:jc w:val="both"/>
        <w:rPr>
          <w:rFonts w:ascii="Arial" w:hAnsi="Arial" w:cs="Arial"/>
          <w:sz w:val="22"/>
          <w:szCs w:val="22"/>
        </w:rPr>
      </w:pPr>
      <w:r>
        <w:rPr>
          <w:rFonts w:ascii="Arial" w:hAnsi="Arial" w:cs="Arial"/>
          <w:sz w:val="22"/>
          <w:szCs w:val="22"/>
        </w:rPr>
        <w:t xml:space="preserve">The monitoring approach used for the PTE involves continuously monitoring differential pressure and facial velocity across the natural draft openings. </w:t>
      </w:r>
      <w:r w:rsidR="000D1318">
        <w:rPr>
          <w:rFonts w:ascii="Arial" w:hAnsi="Arial" w:cs="Arial"/>
          <w:sz w:val="22"/>
          <w:szCs w:val="22"/>
        </w:rPr>
        <w:t xml:space="preserve"> </w:t>
      </w:r>
      <w:r w:rsidR="00966CB5">
        <w:rPr>
          <w:rFonts w:ascii="Arial" w:hAnsi="Arial" w:cs="Arial"/>
          <w:sz w:val="22"/>
          <w:szCs w:val="22"/>
        </w:rPr>
        <w:t xml:space="preserve">A pressure device with a digital indicator and a data acquisition system are utilized. </w:t>
      </w:r>
      <w:r w:rsidR="000D1318">
        <w:rPr>
          <w:rFonts w:ascii="Arial" w:hAnsi="Arial" w:cs="Arial"/>
          <w:sz w:val="22"/>
          <w:szCs w:val="22"/>
        </w:rPr>
        <w:t xml:space="preserve"> </w:t>
      </w:r>
      <w:r w:rsidR="00966CB5">
        <w:rPr>
          <w:rFonts w:ascii="Arial" w:hAnsi="Arial" w:cs="Arial"/>
          <w:sz w:val="22"/>
          <w:szCs w:val="22"/>
        </w:rPr>
        <w:t xml:space="preserve">The PTE must achieve a differential pressure of 0.007 inches water column vacuum into the natural draft openings. </w:t>
      </w:r>
      <w:r w:rsidR="000D1318">
        <w:rPr>
          <w:rFonts w:ascii="Arial" w:hAnsi="Arial" w:cs="Arial"/>
          <w:sz w:val="22"/>
          <w:szCs w:val="22"/>
        </w:rPr>
        <w:t xml:space="preserve"> </w:t>
      </w:r>
      <w:r w:rsidR="00966CB5">
        <w:rPr>
          <w:rFonts w:ascii="Arial" w:hAnsi="Arial" w:cs="Arial"/>
          <w:sz w:val="22"/>
          <w:szCs w:val="22"/>
        </w:rPr>
        <w:t xml:space="preserve">The facial velocity in feet per minute is calculated based on the area of the natural draft openings and the differential pressure readings. </w:t>
      </w:r>
      <w:r w:rsidR="000D1318">
        <w:rPr>
          <w:rFonts w:ascii="Arial" w:hAnsi="Arial" w:cs="Arial"/>
          <w:sz w:val="22"/>
          <w:szCs w:val="22"/>
        </w:rPr>
        <w:t xml:space="preserve"> </w:t>
      </w:r>
      <w:r w:rsidR="00966CB5">
        <w:rPr>
          <w:rFonts w:ascii="Arial" w:hAnsi="Arial" w:cs="Arial"/>
          <w:sz w:val="22"/>
          <w:szCs w:val="22"/>
        </w:rPr>
        <w:t>A minimum facial velocity of 200 feet per minute is required.</w:t>
      </w:r>
      <w:r w:rsidR="000D1318">
        <w:rPr>
          <w:rFonts w:ascii="Arial" w:hAnsi="Arial" w:cs="Arial"/>
          <w:sz w:val="22"/>
          <w:szCs w:val="22"/>
        </w:rPr>
        <w:t xml:space="preserve"> </w:t>
      </w:r>
      <w:r w:rsidR="00966CB5">
        <w:rPr>
          <w:rFonts w:ascii="Arial" w:hAnsi="Arial" w:cs="Arial"/>
          <w:sz w:val="22"/>
          <w:szCs w:val="22"/>
        </w:rPr>
        <w:t xml:space="preserve"> The minimum differential pressure and facial velocity were established to ensure a VOC capture efficiency of 100%  (by weight). </w:t>
      </w:r>
      <w:r w:rsidR="000D1318">
        <w:rPr>
          <w:rFonts w:ascii="Arial" w:hAnsi="Arial" w:cs="Arial"/>
          <w:sz w:val="22"/>
          <w:szCs w:val="22"/>
        </w:rPr>
        <w:t xml:space="preserve"> </w:t>
      </w:r>
      <w:r w:rsidR="00966CB5">
        <w:rPr>
          <w:rFonts w:ascii="Arial" w:hAnsi="Arial" w:cs="Arial"/>
          <w:sz w:val="22"/>
          <w:szCs w:val="22"/>
        </w:rPr>
        <w:t xml:space="preserve">The minimum facial velocity is measured during stack testing, which is conducted every 5 years. </w:t>
      </w:r>
      <w:r w:rsidR="000D1318">
        <w:rPr>
          <w:rFonts w:ascii="Arial" w:hAnsi="Arial" w:cs="Arial"/>
          <w:sz w:val="22"/>
          <w:szCs w:val="22"/>
        </w:rPr>
        <w:t xml:space="preserve"> </w:t>
      </w:r>
      <w:r w:rsidR="00966CB5">
        <w:rPr>
          <w:rFonts w:ascii="Arial" w:hAnsi="Arial" w:cs="Arial"/>
          <w:sz w:val="22"/>
          <w:szCs w:val="22"/>
        </w:rPr>
        <w:t>An averaging period of 3-hours is used for both the differential pressure and facial velocity measurements.</w:t>
      </w:r>
      <w:r w:rsidR="000D1318">
        <w:rPr>
          <w:rFonts w:ascii="Arial" w:hAnsi="Arial" w:cs="Arial"/>
          <w:sz w:val="22"/>
          <w:szCs w:val="22"/>
        </w:rPr>
        <w:t xml:space="preserve"> </w:t>
      </w:r>
      <w:r w:rsidR="00966CB5">
        <w:rPr>
          <w:rFonts w:ascii="Arial" w:hAnsi="Arial" w:cs="Arial"/>
          <w:sz w:val="22"/>
          <w:szCs w:val="22"/>
        </w:rPr>
        <w:t xml:space="preserve"> If the PTE falls below the required differential pressure or facial velocity, an alarm will be activated and coating lines routed to the RTO will be shut down until problem can be identified, resolved, and the minimum required differential pressure and facial velocity can be achieved.</w:t>
      </w:r>
    </w:p>
    <w:p w14:paraId="6D3FB662" w14:textId="77777777" w:rsidR="006D5A28" w:rsidRPr="004E13FD" w:rsidRDefault="006D5A28" w:rsidP="000F73C3">
      <w:pPr>
        <w:jc w:val="both"/>
        <w:rPr>
          <w:rFonts w:ascii="Arial" w:hAnsi="Arial" w:cs="Arial"/>
          <w:sz w:val="22"/>
          <w:szCs w:val="22"/>
        </w:rPr>
      </w:pPr>
    </w:p>
    <w:p w14:paraId="1F2B4601"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5A295E3E" w14:textId="77777777" w:rsidR="000F73C3" w:rsidRDefault="000F73C3" w:rsidP="000F73C3">
      <w:pPr>
        <w:jc w:val="both"/>
        <w:rPr>
          <w:rFonts w:ascii="Arial" w:hAnsi="Arial" w:cs="Arial"/>
          <w:sz w:val="22"/>
          <w:szCs w:val="22"/>
        </w:rPr>
      </w:pPr>
    </w:p>
    <w:p w14:paraId="00114E1D"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32EE5CFE" w14:textId="77777777" w:rsidR="000F73C3" w:rsidRPr="00290754" w:rsidRDefault="000F73C3" w:rsidP="000F73C3">
      <w:pPr>
        <w:jc w:val="both"/>
        <w:rPr>
          <w:rFonts w:ascii="Arial" w:hAnsi="Arial" w:cs="Arial"/>
          <w:sz w:val="22"/>
          <w:szCs w:val="22"/>
        </w:rPr>
      </w:pPr>
    </w:p>
    <w:p w14:paraId="7D72476D"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52387286" w14:textId="77777777" w:rsidR="002B11E3" w:rsidRPr="00BC4F1E" w:rsidRDefault="002B11E3" w:rsidP="000F73C3">
      <w:pPr>
        <w:jc w:val="both"/>
        <w:rPr>
          <w:rFonts w:ascii="Arial" w:hAnsi="Arial" w:cs="Arial"/>
          <w:sz w:val="22"/>
          <w:szCs w:val="22"/>
        </w:rPr>
      </w:pPr>
    </w:p>
    <w:p w14:paraId="2436DD59" w14:textId="3CF1D403" w:rsidR="000F73C3" w:rsidRDefault="000F73C3" w:rsidP="000F73C3">
      <w:pPr>
        <w:jc w:val="both"/>
        <w:rPr>
          <w:rFonts w:ascii="Arial" w:hAnsi="Arial" w:cs="Arial"/>
          <w:bCs/>
          <w:sz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9F54AA">
        <w:rPr>
          <w:rFonts w:ascii="Arial" w:hAnsi="Arial" w:cs="Arial"/>
          <w:bCs/>
          <w:sz w:val="22"/>
        </w:rPr>
        <w:t>MI-ROP-N7256-2017</w:t>
      </w:r>
      <w:r w:rsidR="009B3DAC">
        <w:rPr>
          <w:rFonts w:ascii="Arial" w:hAnsi="Arial" w:cs="Arial"/>
          <w:bCs/>
          <w:color w:val="0000FF"/>
          <w:sz w:val="22"/>
        </w:rPr>
        <w:t xml:space="preserve"> </w:t>
      </w:r>
      <w:r w:rsidRPr="00962036">
        <w:rPr>
          <w:rFonts w:ascii="Arial" w:hAnsi="Arial" w:cs="Arial"/>
          <w:bCs/>
          <w:sz w:val="22"/>
        </w:rPr>
        <w:t xml:space="preserve">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r w:rsidR="00A23898">
        <w:rPr>
          <w:rFonts w:ascii="Arial" w:hAnsi="Arial" w:cs="Arial"/>
          <w:bCs/>
          <w:sz w:val="22"/>
        </w:rPr>
        <w:t xml:space="preserve"> </w:t>
      </w:r>
    </w:p>
    <w:p w14:paraId="74EA8C13" w14:textId="77777777" w:rsidR="004A7CB1" w:rsidRPr="00290754" w:rsidRDefault="004A7CB1"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292467F8" w14:textId="77777777" w:rsidTr="00BE493F">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67D673C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7841724A" w14:textId="77777777" w:rsidTr="00BE493F">
        <w:tc>
          <w:tcPr>
            <w:tcW w:w="2565" w:type="dxa"/>
            <w:tcBorders>
              <w:top w:val="single" w:sz="4" w:space="0" w:color="auto"/>
              <w:left w:val="double" w:sz="4" w:space="0" w:color="auto"/>
            </w:tcBorders>
          </w:tcPr>
          <w:p w14:paraId="74B5644A" w14:textId="26EC05A2" w:rsidR="000F73C3" w:rsidRPr="00290754" w:rsidRDefault="009F54AA" w:rsidP="00F478F0">
            <w:pPr>
              <w:rPr>
                <w:rFonts w:ascii="Arial" w:hAnsi="Arial" w:cs="Arial"/>
                <w:sz w:val="22"/>
                <w:szCs w:val="22"/>
              </w:rPr>
            </w:pPr>
            <w:r>
              <w:rPr>
                <w:rFonts w:ascii="Arial" w:hAnsi="Arial" w:cs="Arial"/>
                <w:sz w:val="22"/>
                <w:szCs w:val="22"/>
              </w:rPr>
              <w:t>93-81</w:t>
            </w:r>
          </w:p>
        </w:tc>
        <w:tc>
          <w:tcPr>
            <w:tcW w:w="2565" w:type="dxa"/>
            <w:tcBorders>
              <w:top w:val="single" w:sz="4" w:space="0" w:color="auto"/>
            </w:tcBorders>
          </w:tcPr>
          <w:p w14:paraId="6DD56ADC" w14:textId="48745318" w:rsidR="000F73C3" w:rsidRPr="00290754" w:rsidRDefault="009F54AA" w:rsidP="00F478F0">
            <w:pPr>
              <w:rPr>
                <w:rFonts w:ascii="Arial" w:hAnsi="Arial" w:cs="Arial"/>
                <w:sz w:val="22"/>
                <w:szCs w:val="22"/>
              </w:rPr>
            </w:pPr>
            <w:r>
              <w:rPr>
                <w:rFonts w:ascii="Arial" w:hAnsi="Arial" w:cs="Arial"/>
                <w:sz w:val="22"/>
                <w:szCs w:val="22"/>
              </w:rPr>
              <w:t>95-89</w:t>
            </w:r>
          </w:p>
        </w:tc>
        <w:tc>
          <w:tcPr>
            <w:tcW w:w="2565" w:type="dxa"/>
            <w:tcBorders>
              <w:top w:val="single" w:sz="4" w:space="0" w:color="auto"/>
            </w:tcBorders>
          </w:tcPr>
          <w:p w14:paraId="2F715D0E" w14:textId="1749D7AF" w:rsidR="000F73C3" w:rsidRPr="00290754" w:rsidRDefault="009F54AA" w:rsidP="00F478F0">
            <w:pPr>
              <w:rPr>
                <w:rFonts w:ascii="Arial" w:hAnsi="Arial" w:cs="Arial"/>
                <w:sz w:val="22"/>
                <w:szCs w:val="22"/>
              </w:rPr>
            </w:pPr>
            <w:r>
              <w:rPr>
                <w:rFonts w:ascii="Arial" w:hAnsi="Arial" w:cs="Arial"/>
                <w:sz w:val="22"/>
                <w:szCs w:val="22"/>
              </w:rPr>
              <w:t>499-93</w:t>
            </w:r>
          </w:p>
        </w:tc>
        <w:tc>
          <w:tcPr>
            <w:tcW w:w="2565" w:type="dxa"/>
            <w:tcBorders>
              <w:top w:val="single" w:sz="4" w:space="0" w:color="auto"/>
              <w:right w:val="double" w:sz="4" w:space="0" w:color="auto"/>
            </w:tcBorders>
          </w:tcPr>
          <w:p w14:paraId="2B0BA18D" w14:textId="08198D98" w:rsidR="000F73C3" w:rsidRPr="00290754" w:rsidRDefault="009F54AA" w:rsidP="00F478F0">
            <w:pPr>
              <w:rPr>
                <w:rFonts w:ascii="Arial" w:hAnsi="Arial" w:cs="Arial"/>
                <w:sz w:val="22"/>
                <w:szCs w:val="22"/>
              </w:rPr>
            </w:pPr>
            <w:r>
              <w:rPr>
                <w:rFonts w:ascii="Arial" w:hAnsi="Arial" w:cs="Arial"/>
                <w:sz w:val="22"/>
                <w:szCs w:val="22"/>
              </w:rPr>
              <w:t>177-96B</w:t>
            </w:r>
          </w:p>
        </w:tc>
      </w:tr>
      <w:tr w:rsidR="000F73C3" w:rsidRPr="00290754" w14:paraId="31008486" w14:textId="77777777" w:rsidTr="00BE493F">
        <w:tc>
          <w:tcPr>
            <w:tcW w:w="2565" w:type="dxa"/>
            <w:tcBorders>
              <w:left w:val="double" w:sz="4" w:space="0" w:color="auto"/>
            </w:tcBorders>
          </w:tcPr>
          <w:p w14:paraId="01CA7972" w14:textId="67DF0063" w:rsidR="000F73C3" w:rsidRPr="00290754" w:rsidRDefault="009F54AA" w:rsidP="00F478F0">
            <w:pPr>
              <w:rPr>
                <w:rFonts w:ascii="Arial" w:hAnsi="Arial" w:cs="Arial"/>
                <w:sz w:val="22"/>
                <w:szCs w:val="22"/>
              </w:rPr>
            </w:pPr>
            <w:r>
              <w:rPr>
                <w:rFonts w:ascii="Arial" w:hAnsi="Arial" w:cs="Arial"/>
                <w:sz w:val="22"/>
                <w:szCs w:val="22"/>
              </w:rPr>
              <w:t>177-96B</w:t>
            </w:r>
          </w:p>
        </w:tc>
        <w:tc>
          <w:tcPr>
            <w:tcW w:w="2565" w:type="dxa"/>
          </w:tcPr>
          <w:p w14:paraId="4FA1C7EE" w14:textId="4017CC82" w:rsidR="000F73C3" w:rsidRPr="00290754" w:rsidRDefault="009F54AA" w:rsidP="00F478F0">
            <w:pPr>
              <w:rPr>
                <w:rFonts w:ascii="Arial" w:hAnsi="Arial" w:cs="Arial"/>
                <w:sz w:val="22"/>
                <w:szCs w:val="22"/>
              </w:rPr>
            </w:pPr>
            <w:r>
              <w:rPr>
                <w:rFonts w:ascii="Arial" w:hAnsi="Arial" w:cs="Arial"/>
                <w:sz w:val="22"/>
                <w:szCs w:val="22"/>
              </w:rPr>
              <w:t>199-03</w:t>
            </w:r>
          </w:p>
        </w:tc>
        <w:tc>
          <w:tcPr>
            <w:tcW w:w="2565" w:type="dxa"/>
          </w:tcPr>
          <w:p w14:paraId="0C7FD42D" w14:textId="466748B0" w:rsidR="000F73C3" w:rsidRPr="00290754" w:rsidRDefault="009F54AA" w:rsidP="00F478F0">
            <w:pPr>
              <w:rPr>
                <w:rFonts w:ascii="Arial" w:hAnsi="Arial" w:cs="Arial"/>
                <w:sz w:val="22"/>
                <w:szCs w:val="22"/>
              </w:rPr>
            </w:pPr>
            <w:r>
              <w:rPr>
                <w:rFonts w:ascii="Arial" w:hAnsi="Arial" w:cs="Arial"/>
                <w:sz w:val="22"/>
                <w:szCs w:val="22"/>
              </w:rPr>
              <w:t>96-03</w:t>
            </w:r>
          </w:p>
        </w:tc>
        <w:tc>
          <w:tcPr>
            <w:tcW w:w="2565" w:type="dxa"/>
            <w:tcBorders>
              <w:right w:val="double" w:sz="4" w:space="0" w:color="auto"/>
            </w:tcBorders>
          </w:tcPr>
          <w:p w14:paraId="1EFB7D3E" w14:textId="02EC3401" w:rsidR="000F73C3" w:rsidRPr="00290754" w:rsidRDefault="009F54AA" w:rsidP="00F478F0">
            <w:pPr>
              <w:rPr>
                <w:rFonts w:ascii="Arial" w:hAnsi="Arial" w:cs="Arial"/>
                <w:sz w:val="22"/>
                <w:szCs w:val="22"/>
              </w:rPr>
            </w:pPr>
            <w:r>
              <w:rPr>
                <w:rFonts w:ascii="Arial" w:hAnsi="Arial" w:cs="Arial"/>
                <w:sz w:val="22"/>
                <w:szCs w:val="22"/>
              </w:rPr>
              <w:t>96-03A</w:t>
            </w:r>
          </w:p>
        </w:tc>
      </w:tr>
      <w:tr w:rsidR="000F73C3" w:rsidRPr="00290754" w14:paraId="6408B308" w14:textId="77777777" w:rsidTr="00BE493F">
        <w:tc>
          <w:tcPr>
            <w:tcW w:w="2565" w:type="dxa"/>
            <w:tcBorders>
              <w:left w:val="double" w:sz="4" w:space="0" w:color="auto"/>
            </w:tcBorders>
          </w:tcPr>
          <w:p w14:paraId="7BE8C9B7" w14:textId="07608B00" w:rsidR="000F73C3" w:rsidRPr="00290754" w:rsidRDefault="009F54AA" w:rsidP="00F478F0">
            <w:pPr>
              <w:rPr>
                <w:rFonts w:ascii="Arial" w:hAnsi="Arial" w:cs="Arial"/>
                <w:sz w:val="22"/>
                <w:szCs w:val="22"/>
              </w:rPr>
            </w:pPr>
            <w:r>
              <w:rPr>
                <w:rFonts w:ascii="Arial" w:hAnsi="Arial" w:cs="Arial"/>
                <w:sz w:val="22"/>
                <w:szCs w:val="22"/>
              </w:rPr>
              <w:t>96-03B</w:t>
            </w:r>
          </w:p>
        </w:tc>
        <w:tc>
          <w:tcPr>
            <w:tcW w:w="2565" w:type="dxa"/>
          </w:tcPr>
          <w:p w14:paraId="2C8F64CC" w14:textId="2E85F881" w:rsidR="000F73C3" w:rsidRPr="00290754" w:rsidRDefault="009F54AA" w:rsidP="00F478F0">
            <w:pPr>
              <w:rPr>
                <w:rFonts w:ascii="Arial" w:hAnsi="Arial" w:cs="Arial"/>
                <w:sz w:val="22"/>
                <w:szCs w:val="22"/>
              </w:rPr>
            </w:pPr>
            <w:r>
              <w:rPr>
                <w:rFonts w:ascii="Arial" w:hAnsi="Arial" w:cs="Arial"/>
                <w:sz w:val="22"/>
                <w:szCs w:val="22"/>
              </w:rPr>
              <w:t>96-03C</w:t>
            </w:r>
          </w:p>
        </w:tc>
        <w:tc>
          <w:tcPr>
            <w:tcW w:w="2565" w:type="dxa"/>
          </w:tcPr>
          <w:p w14:paraId="141AAE91" w14:textId="7661EEBD" w:rsidR="000F73C3" w:rsidRPr="00290754" w:rsidRDefault="009F54AA" w:rsidP="00F478F0">
            <w:pPr>
              <w:rPr>
                <w:rFonts w:ascii="Arial" w:hAnsi="Arial" w:cs="Arial"/>
                <w:sz w:val="22"/>
                <w:szCs w:val="22"/>
              </w:rPr>
            </w:pPr>
            <w:r>
              <w:rPr>
                <w:rFonts w:ascii="Arial" w:hAnsi="Arial" w:cs="Arial"/>
                <w:sz w:val="22"/>
                <w:szCs w:val="22"/>
              </w:rPr>
              <w:t>96-03D</w:t>
            </w:r>
          </w:p>
        </w:tc>
        <w:tc>
          <w:tcPr>
            <w:tcW w:w="2565" w:type="dxa"/>
            <w:tcBorders>
              <w:right w:val="double" w:sz="4" w:space="0" w:color="auto"/>
            </w:tcBorders>
          </w:tcPr>
          <w:p w14:paraId="5EA7BCF4"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24EABDEA" w14:textId="77777777" w:rsidR="000F73C3" w:rsidRDefault="000F73C3" w:rsidP="000F73C3">
      <w:pPr>
        <w:rPr>
          <w:rFonts w:ascii="Arial" w:hAnsi="Arial" w:cs="Arial"/>
          <w:sz w:val="22"/>
          <w:szCs w:val="22"/>
        </w:rPr>
      </w:pPr>
    </w:p>
    <w:p w14:paraId="5C8476A0"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0C7AFF0" w14:textId="77777777" w:rsidR="000F73C3" w:rsidRPr="00DA122E" w:rsidRDefault="000F73C3" w:rsidP="000F73C3">
      <w:pPr>
        <w:rPr>
          <w:rFonts w:ascii="Arial" w:hAnsi="Arial" w:cs="Arial"/>
          <w:sz w:val="22"/>
          <w:szCs w:val="22"/>
        </w:rPr>
      </w:pPr>
    </w:p>
    <w:p w14:paraId="1F56C47B"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5EBC7660" w14:textId="77777777" w:rsidR="000F73C3" w:rsidRPr="00DA122E" w:rsidRDefault="000F73C3" w:rsidP="000F73C3">
      <w:pPr>
        <w:rPr>
          <w:rFonts w:ascii="Arial" w:hAnsi="Arial" w:cs="Arial"/>
          <w:sz w:val="22"/>
          <w:szCs w:val="22"/>
        </w:rPr>
      </w:pPr>
    </w:p>
    <w:p w14:paraId="7F163CF4"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132D550E" w14:textId="77777777" w:rsidR="000F73C3" w:rsidRPr="00D122B6" w:rsidRDefault="000F73C3" w:rsidP="000F73C3">
      <w:pPr>
        <w:rPr>
          <w:rFonts w:ascii="Arial" w:hAnsi="Arial" w:cs="Arial"/>
          <w:sz w:val="22"/>
          <w:szCs w:val="22"/>
        </w:rPr>
      </w:pPr>
    </w:p>
    <w:p w14:paraId="4D24A9AA"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128DC5B6" w14:textId="77777777" w:rsidR="000F73C3" w:rsidRPr="00D122B6" w:rsidRDefault="000F73C3" w:rsidP="000F73C3">
      <w:pPr>
        <w:rPr>
          <w:rFonts w:ascii="Arial" w:hAnsi="Arial" w:cs="Arial"/>
          <w:sz w:val="22"/>
          <w:szCs w:val="22"/>
        </w:rPr>
      </w:pPr>
    </w:p>
    <w:p w14:paraId="63E6A09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21ACD4DF" w14:textId="77777777" w:rsidR="000F73C3" w:rsidRPr="00290754" w:rsidRDefault="000F73C3" w:rsidP="000F73C3">
      <w:pPr>
        <w:rPr>
          <w:rFonts w:ascii="Arial" w:hAnsi="Arial" w:cs="Arial"/>
          <w:sz w:val="22"/>
          <w:szCs w:val="22"/>
        </w:rPr>
      </w:pPr>
    </w:p>
    <w:p w14:paraId="54A5C9C3" w14:textId="77777777" w:rsidR="000F73C3" w:rsidRPr="00B66177" w:rsidRDefault="000F73C3" w:rsidP="000F73C3">
      <w:pPr>
        <w:jc w:val="both"/>
        <w:rPr>
          <w:rFonts w:ascii="Arial" w:hAnsi="Arial" w:cs="Arial"/>
          <w:sz w:val="22"/>
          <w:szCs w:val="22"/>
        </w:rPr>
      </w:pPr>
      <w:r w:rsidRPr="00290754">
        <w:rPr>
          <w:rFonts w:ascii="Arial" w:hAnsi="Arial" w:cs="Arial"/>
          <w:sz w:val="22"/>
          <w:szCs w:val="22"/>
        </w:rPr>
        <w:t xml:space="preserve">There were no </w:t>
      </w:r>
      <w:r w:rsidR="008273F7">
        <w:rPr>
          <w:rFonts w:ascii="Arial" w:hAnsi="Arial" w:cs="Arial"/>
          <w:sz w:val="22"/>
          <w:szCs w:val="22"/>
        </w:rPr>
        <w:t xml:space="preserve">PTI exempt </w:t>
      </w:r>
      <w:r w:rsidRPr="00290754">
        <w:rPr>
          <w:rFonts w:ascii="Arial" w:hAnsi="Arial" w:cs="Arial"/>
          <w:sz w:val="22"/>
          <w:szCs w:val="22"/>
        </w:rPr>
        <w:t xml:space="preserve">processes listed in the ROP </w:t>
      </w:r>
      <w:r w:rsidR="00956132">
        <w:rPr>
          <w:rFonts w:ascii="Arial" w:hAnsi="Arial" w:cs="Arial"/>
          <w:sz w:val="22"/>
          <w:szCs w:val="22"/>
        </w:rPr>
        <w:t>A</w:t>
      </w:r>
      <w:r w:rsidRPr="00290754">
        <w:rPr>
          <w:rFonts w:ascii="Arial" w:hAnsi="Arial" w:cs="Arial"/>
          <w:sz w:val="22"/>
          <w:szCs w:val="22"/>
        </w:rPr>
        <w:t xml:space="preserve">pplication </w:t>
      </w:r>
      <w:r w:rsidR="000D38DB" w:rsidRPr="00DA122E">
        <w:rPr>
          <w:rFonts w:ascii="Arial" w:hAnsi="Arial" w:cs="Arial"/>
          <w:sz w:val="22"/>
          <w:szCs w:val="22"/>
        </w:rPr>
        <w:t>pursuant to</w:t>
      </w:r>
      <w:r w:rsidR="000D38DB" w:rsidRPr="00290754">
        <w:rPr>
          <w:rFonts w:ascii="Arial" w:hAnsi="Arial" w:cs="Arial"/>
          <w:sz w:val="22"/>
          <w:szCs w:val="22"/>
        </w:rPr>
        <w:t xml:space="preserve"> </w:t>
      </w:r>
      <w:r w:rsidRPr="00290754">
        <w:rPr>
          <w:rFonts w:ascii="Arial" w:hAnsi="Arial" w:cs="Arial"/>
          <w:sz w:val="22"/>
          <w:szCs w:val="22"/>
        </w:rPr>
        <w:t>Rule 212(</w:t>
      </w:r>
      <w:r>
        <w:rPr>
          <w:rFonts w:ascii="Arial" w:hAnsi="Arial" w:cs="Arial"/>
          <w:sz w:val="22"/>
          <w:szCs w:val="22"/>
        </w:rPr>
        <w:t>4</w:t>
      </w:r>
      <w:r w:rsidRPr="00290754">
        <w:rPr>
          <w:rFonts w:ascii="Arial" w:hAnsi="Arial" w:cs="Arial"/>
          <w:sz w:val="22"/>
          <w:szCs w:val="22"/>
        </w:rPr>
        <w:t>)</w:t>
      </w:r>
      <w:r w:rsidR="008273F7" w:rsidRPr="00B66177">
        <w:rPr>
          <w:rFonts w:ascii="Arial" w:hAnsi="Arial" w:cs="Arial"/>
          <w:sz w:val="22"/>
          <w:szCs w:val="22"/>
        </w:rPr>
        <w:t xml:space="preserve"> that were not included in the Draft ROP</w:t>
      </w:r>
      <w:r w:rsidRPr="00B66177">
        <w:rPr>
          <w:rFonts w:ascii="Arial" w:hAnsi="Arial" w:cs="Arial"/>
          <w:sz w:val="22"/>
          <w:szCs w:val="22"/>
        </w:rPr>
        <w:t xml:space="preserve">.  </w:t>
      </w:r>
    </w:p>
    <w:p w14:paraId="773A23F7" w14:textId="77777777" w:rsidR="00DE6E0D" w:rsidRPr="00290754" w:rsidRDefault="00DE6E0D" w:rsidP="000F73C3">
      <w:pPr>
        <w:rPr>
          <w:rFonts w:ascii="Arial" w:hAnsi="Arial" w:cs="Arial"/>
          <w:sz w:val="22"/>
          <w:szCs w:val="22"/>
        </w:rPr>
      </w:pPr>
    </w:p>
    <w:p w14:paraId="0C82AAA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0BDA70B7" w14:textId="77777777" w:rsidR="000F73C3" w:rsidRPr="00290754" w:rsidRDefault="000F73C3" w:rsidP="000F73C3">
      <w:pPr>
        <w:rPr>
          <w:rFonts w:ascii="Arial" w:hAnsi="Arial" w:cs="Arial"/>
          <w:sz w:val="22"/>
          <w:szCs w:val="22"/>
        </w:rPr>
      </w:pPr>
    </w:p>
    <w:p w14:paraId="50D7D650"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0345A983" w14:textId="727ACBEE" w:rsidR="00C914C5" w:rsidRDefault="00C914C5">
      <w:pPr>
        <w:rPr>
          <w:rFonts w:ascii="Arial" w:hAnsi="Arial" w:cs="Arial"/>
          <w:sz w:val="22"/>
          <w:szCs w:val="22"/>
        </w:rPr>
      </w:pPr>
      <w:r>
        <w:rPr>
          <w:rFonts w:ascii="Arial" w:hAnsi="Arial" w:cs="Arial"/>
          <w:sz w:val="22"/>
          <w:szCs w:val="22"/>
        </w:rPr>
        <w:br w:type="page"/>
      </w:r>
    </w:p>
    <w:p w14:paraId="6BEE4E63" w14:textId="77777777" w:rsidR="000F73C3" w:rsidRPr="00290754" w:rsidRDefault="000F73C3" w:rsidP="000F73C3">
      <w:pPr>
        <w:rPr>
          <w:rFonts w:ascii="Arial" w:hAnsi="Arial" w:cs="Arial"/>
          <w:sz w:val="22"/>
          <w:szCs w:val="22"/>
        </w:rPr>
      </w:pPr>
    </w:p>
    <w:p w14:paraId="2284B007"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1ED1B57E" w14:textId="77777777" w:rsidR="000F73C3" w:rsidRPr="00290754" w:rsidRDefault="000F73C3" w:rsidP="000F73C3">
      <w:pPr>
        <w:jc w:val="both"/>
        <w:rPr>
          <w:rFonts w:ascii="Arial" w:hAnsi="Arial" w:cs="Arial"/>
          <w:sz w:val="22"/>
          <w:szCs w:val="22"/>
        </w:rPr>
      </w:pPr>
    </w:p>
    <w:p w14:paraId="6E2C6861"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38AD47A0" w14:textId="77777777" w:rsidR="000F73C3" w:rsidRDefault="000F73C3" w:rsidP="000F73C3">
      <w:pPr>
        <w:jc w:val="both"/>
        <w:rPr>
          <w:rFonts w:ascii="Arial" w:hAnsi="Arial" w:cs="Arial"/>
          <w:sz w:val="22"/>
          <w:szCs w:val="22"/>
        </w:rPr>
      </w:pPr>
    </w:p>
    <w:p w14:paraId="6AA19EA9"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5550BBEB" w14:textId="77777777" w:rsidR="000F73C3" w:rsidRPr="00290754" w:rsidRDefault="000F73C3" w:rsidP="000F73C3">
      <w:pPr>
        <w:jc w:val="both"/>
        <w:rPr>
          <w:rFonts w:ascii="Arial" w:hAnsi="Arial" w:cs="Arial"/>
          <w:sz w:val="22"/>
          <w:szCs w:val="22"/>
        </w:rPr>
      </w:pPr>
    </w:p>
    <w:p w14:paraId="1546103F" w14:textId="14D43E92"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BE7C2F">
        <w:rPr>
          <w:rFonts w:ascii="Arial" w:hAnsi="Arial" w:cs="Arial"/>
          <w:sz w:val="22"/>
          <w:szCs w:val="22"/>
        </w:rPr>
        <w:t>Robert</w:t>
      </w:r>
      <w:r w:rsidR="009F54AA">
        <w:rPr>
          <w:rFonts w:ascii="Arial" w:hAnsi="Arial" w:cs="Arial"/>
          <w:sz w:val="22"/>
          <w:szCs w:val="22"/>
        </w:rPr>
        <w:t xml:space="preserve"> Byrnes</w:t>
      </w:r>
      <w:r w:rsidRPr="00290754">
        <w:rPr>
          <w:rFonts w:ascii="Arial" w:hAnsi="Arial" w:cs="Arial"/>
          <w:sz w:val="22"/>
          <w:szCs w:val="22"/>
        </w:rPr>
        <w:t xml:space="preserve">, </w:t>
      </w:r>
      <w:r w:rsidR="009F54AA">
        <w:rPr>
          <w:rFonts w:ascii="Arial" w:hAnsi="Arial" w:cs="Arial"/>
          <w:sz w:val="22"/>
          <w:szCs w:val="22"/>
        </w:rPr>
        <w:t>Lansing</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6A0246B0" w14:textId="2D471C79" w:rsidR="0023444E" w:rsidRDefault="0023444E">
      <w:pPr>
        <w:rPr>
          <w:rFonts w:ascii="Arial" w:hAnsi="Arial" w:cs="Arial"/>
          <w:sz w:val="22"/>
          <w:szCs w:val="22"/>
        </w:rPr>
      </w:pPr>
      <w:r>
        <w:rPr>
          <w:rFonts w:ascii="Arial" w:hAnsi="Arial" w:cs="Arial"/>
          <w:sz w:val="22"/>
          <w:szCs w:val="22"/>
        </w:rPr>
        <w:br w:type="page"/>
      </w:r>
    </w:p>
    <w:p w14:paraId="1C1C1B36" w14:textId="77777777" w:rsidR="005D772A" w:rsidRDefault="005D772A" w:rsidP="0024506D">
      <w:pPr>
        <w:jc w:val="both"/>
        <w:rPr>
          <w:rFonts w:ascii="Arial" w:hAnsi="Arial" w:cs="Arial"/>
          <w:sz w:val="22"/>
          <w:szCs w:val="22"/>
        </w:rPr>
      </w:pPr>
    </w:p>
    <w:p w14:paraId="21B6824A" w14:textId="77777777" w:rsidR="005D772A" w:rsidRDefault="005D772A" w:rsidP="005D772A">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5D772A" w14:paraId="2D63283F" w14:textId="77777777" w:rsidTr="00802692">
        <w:tc>
          <w:tcPr>
            <w:tcW w:w="2250" w:type="dxa"/>
          </w:tcPr>
          <w:p w14:paraId="71B11524" w14:textId="77777777" w:rsidR="005D772A" w:rsidRDefault="005D772A" w:rsidP="00802692">
            <w:pPr>
              <w:jc w:val="center"/>
              <w:rPr>
                <w:rFonts w:ascii="Arial" w:hAnsi="Arial"/>
                <w:sz w:val="16"/>
              </w:rPr>
            </w:pPr>
          </w:p>
        </w:tc>
        <w:tc>
          <w:tcPr>
            <w:tcW w:w="5670" w:type="dxa"/>
          </w:tcPr>
          <w:p w14:paraId="3184F220" w14:textId="77777777" w:rsidR="005D772A" w:rsidRDefault="005D772A" w:rsidP="00802692">
            <w:pPr>
              <w:ind w:left="-108" w:right="-140"/>
              <w:jc w:val="center"/>
              <w:rPr>
                <w:rFonts w:ascii="Arial" w:hAnsi="Arial"/>
              </w:rPr>
            </w:pPr>
            <w:r>
              <w:rPr>
                <w:rFonts w:ascii="Arial" w:hAnsi="Arial"/>
              </w:rPr>
              <w:t>Michigan Department of Environment, Great Lakes, and Energy</w:t>
            </w:r>
          </w:p>
          <w:p w14:paraId="54498CC4" w14:textId="77777777" w:rsidR="005D772A" w:rsidRDefault="005D772A" w:rsidP="00802692">
            <w:pPr>
              <w:jc w:val="center"/>
              <w:rPr>
                <w:rFonts w:ascii="Arial" w:hAnsi="Arial"/>
                <w:sz w:val="16"/>
              </w:rPr>
            </w:pPr>
            <w:r>
              <w:rPr>
                <w:rFonts w:ascii="Arial" w:hAnsi="Arial"/>
              </w:rPr>
              <w:t>Air Quality Division</w:t>
            </w:r>
          </w:p>
        </w:tc>
        <w:tc>
          <w:tcPr>
            <w:tcW w:w="2430" w:type="dxa"/>
          </w:tcPr>
          <w:p w14:paraId="24AA1E8F" w14:textId="77777777" w:rsidR="005D772A" w:rsidRDefault="005D772A" w:rsidP="00802692">
            <w:pPr>
              <w:jc w:val="center"/>
              <w:rPr>
                <w:rFonts w:ascii="Arial" w:hAnsi="Arial"/>
                <w:b/>
                <w:sz w:val="24"/>
              </w:rPr>
            </w:pPr>
          </w:p>
        </w:tc>
      </w:tr>
      <w:tr w:rsidR="005D772A" w14:paraId="397AB575" w14:textId="77777777" w:rsidTr="00802692">
        <w:trPr>
          <w:cantSplit/>
          <w:trHeight w:val="146"/>
        </w:trPr>
        <w:tc>
          <w:tcPr>
            <w:tcW w:w="2250" w:type="dxa"/>
          </w:tcPr>
          <w:p w14:paraId="500BB9A0" w14:textId="77777777" w:rsidR="005D772A" w:rsidRPr="00DB5924" w:rsidRDefault="005D772A" w:rsidP="00802692">
            <w:pPr>
              <w:pStyle w:val="Header"/>
              <w:jc w:val="center"/>
              <w:rPr>
                <w:rFonts w:ascii="Arial" w:hAnsi="Arial"/>
                <w:b/>
                <w:sz w:val="16"/>
              </w:rPr>
            </w:pPr>
            <w:r w:rsidRPr="00DB5924">
              <w:rPr>
                <w:rFonts w:ascii="Arial" w:hAnsi="Arial"/>
                <w:b/>
                <w:sz w:val="16"/>
              </w:rPr>
              <w:t>State Registration Number</w:t>
            </w:r>
          </w:p>
        </w:tc>
        <w:tc>
          <w:tcPr>
            <w:tcW w:w="5670" w:type="dxa"/>
          </w:tcPr>
          <w:p w14:paraId="6CDD0690" w14:textId="77777777" w:rsidR="005D772A" w:rsidRDefault="005D772A" w:rsidP="00802692">
            <w:pPr>
              <w:pStyle w:val="Header"/>
              <w:jc w:val="center"/>
              <w:rPr>
                <w:rFonts w:ascii="Arial" w:hAnsi="Arial"/>
                <w:b/>
                <w:sz w:val="28"/>
              </w:rPr>
            </w:pPr>
            <w:r>
              <w:rPr>
                <w:rFonts w:ascii="Arial" w:hAnsi="Arial"/>
                <w:b/>
                <w:sz w:val="28"/>
              </w:rPr>
              <w:t>RENEWABLE OPERATING PERMIT</w:t>
            </w:r>
          </w:p>
        </w:tc>
        <w:tc>
          <w:tcPr>
            <w:tcW w:w="2430" w:type="dxa"/>
          </w:tcPr>
          <w:p w14:paraId="7651C18A" w14:textId="77777777" w:rsidR="005D772A" w:rsidRPr="00DB5924" w:rsidRDefault="005D772A" w:rsidP="00802692">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5D772A" w14:paraId="0EFA925E" w14:textId="77777777" w:rsidTr="00802692">
        <w:trPr>
          <w:cantSplit/>
          <w:trHeight w:val="145"/>
        </w:trPr>
        <w:tc>
          <w:tcPr>
            <w:tcW w:w="2250" w:type="dxa"/>
          </w:tcPr>
          <w:p w14:paraId="339019C1" w14:textId="117D98D0" w:rsidR="005D772A" w:rsidRPr="00910FEA" w:rsidRDefault="005D772A" w:rsidP="00802692">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13533E">
              <w:rPr>
                <w:rFonts w:ascii="Arial" w:hAnsi="Arial"/>
                <w:sz w:val="22"/>
                <w:szCs w:val="22"/>
              </w:rPr>
              <w:t>N7256</w:t>
            </w:r>
            <w:r w:rsidRPr="00910FEA">
              <w:rPr>
                <w:rFonts w:ascii="Arial" w:hAnsi="Arial"/>
                <w:sz w:val="22"/>
                <w:szCs w:val="22"/>
              </w:rPr>
              <w:fldChar w:fldCharType="end"/>
            </w:r>
          </w:p>
        </w:tc>
        <w:tc>
          <w:tcPr>
            <w:tcW w:w="5670" w:type="dxa"/>
          </w:tcPr>
          <w:p w14:paraId="3A38C932" w14:textId="2EEA2D3A" w:rsidR="005D772A" w:rsidRPr="003D3F6C" w:rsidRDefault="00611548" w:rsidP="00802692">
            <w:pPr>
              <w:pStyle w:val="Heading1"/>
              <w:spacing w:before="120"/>
              <w:rPr>
                <w:sz w:val="22"/>
                <w:szCs w:val="22"/>
              </w:rPr>
            </w:pPr>
            <w:bookmarkStart w:id="19" w:name="_Toc164071245"/>
            <w:r>
              <w:rPr>
                <w:sz w:val="22"/>
                <w:szCs w:val="22"/>
              </w:rPr>
              <w:t>FEBRUAR</w:t>
            </w:r>
            <w:r w:rsidR="007E25A0">
              <w:rPr>
                <w:sz w:val="22"/>
                <w:szCs w:val="22"/>
              </w:rPr>
              <w:t>Y</w:t>
            </w:r>
            <w:r>
              <w:rPr>
                <w:sz w:val="22"/>
                <w:szCs w:val="22"/>
              </w:rPr>
              <w:t xml:space="preserve"> 27, 2024</w:t>
            </w:r>
            <w:r w:rsidR="005D772A" w:rsidRPr="003D3F6C">
              <w:rPr>
                <w:sz w:val="22"/>
                <w:szCs w:val="22"/>
              </w:rPr>
              <w:t xml:space="preserve"> - STAFF REPORT ADDENDUM</w:t>
            </w:r>
            <w:bookmarkEnd w:id="19"/>
          </w:p>
        </w:tc>
        <w:tc>
          <w:tcPr>
            <w:tcW w:w="2430" w:type="dxa"/>
          </w:tcPr>
          <w:p w14:paraId="2F8B52F7" w14:textId="73C25517" w:rsidR="005D772A" w:rsidRPr="00910FEA" w:rsidRDefault="0013533E" w:rsidP="00802692">
            <w:pPr>
              <w:pStyle w:val="Header"/>
              <w:jc w:val="center"/>
              <w:rPr>
                <w:rFonts w:ascii="Arial" w:hAnsi="Arial"/>
                <w:sz w:val="22"/>
                <w:szCs w:val="22"/>
              </w:rPr>
            </w:pPr>
            <w:r w:rsidRPr="0013533E">
              <w:rPr>
                <w:rFonts w:ascii="Arial" w:hAnsi="Arial"/>
                <w:sz w:val="22"/>
                <w:szCs w:val="22"/>
              </w:rPr>
              <w:t>MI-ROP-N7256-20</w:t>
            </w:r>
            <w:r w:rsidR="004B2EB4">
              <w:rPr>
                <w:rFonts w:ascii="Arial" w:hAnsi="Arial"/>
                <w:sz w:val="22"/>
                <w:szCs w:val="22"/>
              </w:rPr>
              <w:t>24</w:t>
            </w:r>
            <w:r w:rsidR="005D772A"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5D772A" w:rsidRPr="00910FEA">
              <w:rPr>
                <w:rFonts w:ascii="Arial" w:hAnsi="Arial"/>
                <w:sz w:val="22"/>
                <w:szCs w:val="22"/>
              </w:rPr>
              <w:instrText xml:space="preserve"> FORMTEXT </w:instrText>
            </w:r>
            <w:r w:rsidR="00C914C5">
              <w:rPr>
                <w:rFonts w:ascii="Arial" w:hAnsi="Arial"/>
                <w:sz w:val="22"/>
                <w:szCs w:val="22"/>
              </w:rPr>
            </w:r>
            <w:r w:rsidR="00C914C5">
              <w:rPr>
                <w:rFonts w:ascii="Arial" w:hAnsi="Arial"/>
                <w:sz w:val="22"/>
                <w:szCs w:val="22"/>
              </w:rPr>
              <w:fldChar w:fldCharType="separate"/>
            </w:r>
            <w:r w:rsidR="005D772A" w:rsidRPr="00910FEA">
              <w:rPr>
                <w:rFonts w:ascii="Arial" w:hAnsi="Arial"/>
                <w:sz w:val="22"/>
                <w:szCs w:val="22"/>
              </w:rPr>
              <w:fldChar w:fldCharType="end"/>
            </w:r>
          </w:p>
        </w:tc>
      </w:tr>
    </w:tbl>
    <w:p w14:paraId="3DCDE250" w14:textId="77777777" w:rsidR="005D772A" w:rsidRDefault="005D772A" w:rsidP="005D772A">
      <w:pPr>
        <w:pStyle w:val="Header"/>
        <w:tabs>
          <w:tab w:val="clear" w:pos="4320"/>
          <w:tab w:val="clear" w:pos="8640"/>
        </w:tabs>
        <w:rPr>
          <w:rFonts w:ascii="Arial" w:hAnsi="Arial"/>
          <w:sz w:val="18"/>
        </w:rPr>
      </w:pPr>
    </w:p>
    <w:p w14:paraId="1E6FD974" w14:textId="77777777" w:rsidR="005D772A" w:rsidRDefault="005D772A" w:rsidP="005D772A">
      <w:pPr>
        <w:rPr>
          <w:rFonts w:ascii="Arial" w:hAnsi="Arial"/>
          <w:sz w:val="22"/>
        </w:rPr>
      </w:pPr>
    </w:p>
    <w:p w14:paraId="43F5E812" w14:textId="77777777" w:rsidR="005D772A" w:rsidRDefault="005D772A" w:rsidP="005D772A">
      <w:pPr>
        <w:rPr>
          <w:rFonts w:ascii="Arial" w:hAnsi="Arial"/>
          <w:b/>
          <w:sz w:val="22"/>
          <w:u w:val="single"/>
        </w:rPr>
      </w:pPr>
      <w:bookmarkStart w:id="20" w:name="_Toc482691122"/>
      <w:r>
        <w:rPr>
          <w:rFonts w:ascii="Arial" w:hAnsi="Arial"/>
          <w:b/>
          <w:sz w:val="22"/>
          <w:u w:val="single"/>
        </w:rPr>
        <w:t>Purpose</w:t>
      </w:r>
      <w:bookmarkEnd w:id="20"/>
    </w:p>
    <w:p w14:paraId="4BD4C578" w14:textId="77777777" w:rsidR="005D772A" w:rsidRDefault="005D772A" w:rsidP="005D772A">
      <w:pPr>
        <w:rPr>
          <w:rFonts w:ascii="Arial" w:hAnsi="Arial"/>
          <w:sz w:val="22"/>
        </w:rPr>
      </w:pPr>
    </w:p>
    <w:p w14:paraId="3CA858A6" w14:textId="43F1E5CC" w:rsidR="005D772A" w:rsidRDefault="005D772A" w:rsidP="005D772A">
      <w:pPr>
        <w:jc w:val="both"/>
        <w:rPr>
          <w:rFonts w:ascii="Arial" w:hAnsi="Arial"/>
          <w:sz w:val="22"/>
        </w:rPr>
      </w:pPr>
      <w:r>
        <w:rPr>
          <w:rFonts w:ascii="Arial" w:hAnsi="Arial"/>
          <w:sz w:val="22"/>
        </w:rPr>
        <w:t xml:space="preserve">A Staff Report dated </w:t>
      </w:r>
      <w:r w:rsidR="00611548">
        <w:rPr>
          <w:rFonts w:ascii="Arial" w:hAnsi="Arial" w:cs="Arial"/>
          <w:sz w:val="22"/>
          <w:szCs w:val="22"/>
        </w:rPr>
        <w:t>January 22, 2024</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21" w:name="Dropdown10"/>
      <w:r>
        <w:rPr>
          <w:rFonts w:ascii="Arial" w:hAnsi="Arial"/>
          <w:sz w:val="22"/>
        </w:rPr>
        <w:instrText xml:space="preserve"> FORMDROPDOWN </w:instrText>
      </w:r>
      <w:r w:rsidR="00C914C5">
        <w:rPr>
          <w:rFonts w:ascii="Arial" w:hAnsi="Arial"/>
          <w:sz w:val="22"/>
        </w:rPr>
      </w:r>
      <w:r w:rsidR="00C914C5">
        <w:rPr>
          <w:rFonts w:ascii="Arial" w:hAnsi="Arial"/>
          <w:sz w:val="22"/>
        </w:rPr>
        <w:fldChar w:fldCharType="separate"/>
      </w:r>
      <w:r>
        <w:rPr>
          <w:rFonts w:ascii="Arial" w:hAnsi="Arial"/>
          <w:sz w:val="22"/>
        </w:rPr>
        <w:fldChar w:fldCharType="end"/>
      </w:r>
      <w:bookmarkEnd w:id="21"/>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22" w:name="Dropdown11"/>
      <w:r>
        <w:rPr>
          <w:rFonts w:ascii="Arial" w:hAnsi="Arial"/>
          <w:sz w:val="22"/>
        </w:rPr>
        <w:instrText xml:space="preserve">FORMDROPDOWN </w:instrText>
      </w:r>
      <w:r w:rsidR="00C914C5">
        <w:rPr>
          <w:rFonts w:ascii="Arial" w:hAnsi="Arial"/>
          <w:sz w:val="22"/>
        </w:rPr>
      </w:r>
      <w:r w:rsidR="00C914C5">
        <w:rPr>
          <w:rFonts w:ascii="Arial" w:hAnsi="Arial"/>
          <w:sz w:val="22"/>
        </w:rPr>
        <w:fldChar w:fldCharType="separate"/>
      </w:r>
      <w:r>
        <w:rPr>
          <w:rFonts w:ascii="Arial" w:hAnsi="Arial"/>
          <w:sz w:val="22"/>
        </w:rPr>
        <w:fldChar w:fldCharType="end"/>
      </w:r>
      <w:bookmarkEnd w:id="22"/>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23" w:name="Dropdown13"/>
      <w:r>
        <w:rPr>
          <w:rFonts w:ascii="Arial" w:hAnsi="Arial"/>
          <w:sz w:val="22"/>
        </w:rPr>
        <w:instrText xml:space="preserve"> FORMDROPDOWN </w:instrText>
      </w:r>
      <w:r w:rsidR="00C914C5">
        <w:rPr>
          <w:rFonts w:ascii="Arial" w:hAnsi="Arial"/>
          <w:sz w:val="22"/>
        </w:rPr>
      </w:r>
      <w:r w:rsidR="00C914C5">
        <w:rPr>
          <w:rFonts w:ascii="Arial" w:hAnsi="Arial"/>
          <w:sz w:val="22"/>
        </w:rPr>
        <w:fldChar w:fldCharType="separate"/>
      </w:r>
      <w:r>
        <w:rPr>
          <w:rFonts w:ascii="Arial" w:hAnsi="Arial"/>
          <w:sz w:val="22"/>
        </w:rPr>
        <w:fldChar w:fldCharType="end"/>
      </w:r>
      <w:bookmarkEnd w:id="23"/>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215D99CB" w14:textId="77777777" w:rsidR="005D772A" w:rsidRDefault="005D772A" w:rsidP="005D772A">
      <w:pPr>
        <w:rPr>
          <w:rFonts w:ascii="Arial" w:hAnsi="Arial"/>
          <w:sz w:val="22"/>
        </w:rPr>
      </w:pPr>
    </w:p>
    <w:p w14:paraId="1EE1D126" w14:textId="77777777" w:rsidR="005D772A" w:rsidRDefault="005D772A" w:rsidP="005D772A">
      <w:pPr>
        <w:rPr>
          <w:rFonts w:ascii="Arial" w:hAnsi="Arial"/>
          <w:b/>
          <w:sz w:val="22"/>
          <w:u w:val="single"/>
        </w:rPr>
      </w:pPr>
      <w:r>
        <w:rPr>
          <w:rFonts w:ascii="Arial" w:hAnsi="Arial"/>
          <w:b/>
          <w:sz w:val="22"/>
          <w:u w:val="single"/>
        </w:rPr>
        <w:t>General Information</w:t>
      </w:r>
    </w:p>
    <w:p w14:paraId="58214E75" w14:textId="77777777" w:rsidR="005D772A" w:rsidRDefault="005D772A" w:rsidP="005D772A">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13533E" w14:paraId="56988BBC" w14:textId="77777777" w:rsidTr="0013533E">
        <w:tc>
          <w:tcPr>
            <w:tcW w:w="4464" w:type="dxa"/>
          </w:tcPr>
          <w:p w14:paraId="10CBCC6D" w14:textId="77777777" w:rsidR="0013533E" w:rsidRDefault="0013533E" w:rsidP="0013533E">
            <w:pPr>
              <w:tabs>
                <w:tab w:val="left" w:pos="3424"/>
              </w:tabs>
              <w:rPr>
                <w:rFonts w:ascii="Arial" w:hAnsi="Arial"/>
                <w:sz w:val="22"/>
              </w:rPr>
            </w:pPr>
            <w:r>
              <w:rPr>
                <w:rFonts w:ascii="Arial" w:hAnsi="Arial"/>
                <w:sz w:val="22"/>
              </w:rPr>
              <w:t>Responsible Official:</w:t>
            </w:r>
          </w:p>
        </w:tc>
        <w:tc>
          <w:tcPr>
            <w:tcW w:w="5796" w:type="dxa"/>
          </w:tcPr>
          <w:p w14:paraId="0CAB043A" w14:textId="77777777" w:rsidR="0013533E" w:rsidRPr="002C4670" w:rsidRDefault="0013533E" w:rsidP="0013533E">
            <w:pPr>
              <w:rPr>
                <w:rFonts w:ascii="Arial" w:hAnsi="Arial" w:cs="Arial"/>
                <w:sz w:val="22"/>
                <w:szCs w:val="22"/>
              </w:rPr>
            </w:pPr>
            <w:r w:rsidRPr="002C4670">
              <w:rPr>
                <w:rFonts w:ascii="Arial" w:hAnsi="Arial" w:cs="Arial"/>
                <w:sz w:val="22"/>
                <w:szCs w:val="22"/>
              </w:rPr>
              <w:t>Tim Johnson, General Manager/Vice President</w:t>
            </w:r>
          </w:p>
          <w:p w14:paraId="20401CAB" w14:textId="17CDCDD6" w:rsidR="0013533E" w:rsidRDefault="0013533E" w:rsidP="0013533E">
            <w:pPr>
              <w:rPr>
                <w:rFonts w:ascii="Arial" w:hAnsi="Arial"/>
                <w:sz w:val="22"/>
              </w:rPr>
            </w:pPr>
            <w:r w:rsidRPr="002C4670">
              <w:rPr>
                <w:rFonts w:ascii="Arial" w:hAnsi="Arial" w:cs="Arial"/>
                <w:sz w:val="22"/>
                <w:szCs w:val="22"/>
              </w:rPr>
              <w:t>810-785-7555</w:t>
            </w:r>
          </w:p>
        </w:tc>
      </w:tr>
      <w:tr w:rsidR="0013533E" w14:paraId="77935362" w14:textId="77777777" w:rsidTr="0013533E">
        <w:tc>
          <w:tcPr>
            <w:tcW w:w="4464" w:type="dxa"/>
          </w:tcPr>
          <w:p w14:paraId="35358D4E" w14:textId="77777777" w:rsidR="0013533E" w:rsidRDefault="0013533E" w:rsidP="0013533E">
            <w:pPr>
              <w:rPr>
                <w:rFonts w:ascii="Arial" w:hAnsi="Arial"/>
                <w:sz w:val="22"/>
              </w:rPr>
            </w:pPr>
            <w:r>
              <w:rPr>
                <w:rFonts w:ascii="Arial" w:hAnsi="Arial"/>
                <w:sz w:val="22"/>
              </w:rPr>
              <w:t>AQD Contact:</w:t>
            </w:r>
          </w:p>
        </w:tc>
        <w:tc>
          <w:tcPr>
            <w:tcW w:w="5796" w:type="dxa"/>
          </w:tcPr>
          <w:p w14:paraId="290681A3" w14:textId="77777777" w:rsidR="00611548" w:rsidRDefault="00611548" w:rsidP="00611548">
            <w:pPr>
              <w:rPr>
                <w:rFonts w:ascii="Arial" w:hAnsi="Arial" w:cs="Arial"/>
                <w:sz w:val="22"/>
                <w:szCs w:val="22"/>
              </w:rPr>
            </w:pPr>
            <w:r>
              <w:rPr>
                <w:rFonts w:ascii="Arial" w:hAnsi="Arial" w:cs="Arial"/>
                <w:sz w:val="22"/>
                <w:szCs w:val="22"/>
              </w:rPr>
              <w:t>Matthew Karl, Senior Environmental Quality Analyst</w:t>
            </w:r>
          </w:p>
          <w:p w14:paraId="183D0270" w14:textId="79A8046E" w:rsidR="0013533E" w:rsidRDefault="00611548" w:rsidP="00611548">
            <w:pPr>
              <w:rPr>
                <w:rFonts w:ascii="Arial" w:hAnsi="Arial"/>
                <w:sz w:val="22"/>
              </w:rPr>
            </w:pPr>
            <w:r>
              <w:rPr>
                <w:rFonts w:ascii="Arial" w:hAnsi="Arial" w:cs="Arial"/>
                <w:sz w:val="22"/>
                <w:szCs w:val="22"/>
              </w:rPr>
              <w:t>517-282-2126</w:t>
            </w:r>
          </w:p>
        </w:tc>
      </w:tr>
    </w:tbl>
    <w:p w14:paraId="69F2C87E" w14:textId="77777777" w:rsidR="005D772A" w:rsidRDefault="005D772A" w:rsidP="005D772A">
      <w:pPr>
        <w:jc w:val="both"/>
        <w:rPr>
          <w:rFonts w:ascii="Arial" w:hAnsi="Arial"/>
          <w:sz w:val="22"/>
        </w:rPr>
      </w:pPr>
    </w:p>
    <w:p w14:paraId="22026736" w14:textId="77777777" w:rsidR="005D772A" w:rsidRDefault="005D772A" w:rsidP="005D772A">
      <w:pPr>
        <w:rPr>
          <w:rFonts w:ascii="Arial" w:hAnsi="Arial"/>
          <w:b/>
          <w:sz w:val="22"/>
          <w:u w:val="single"/>
        </w:rPr>
      </w:pPr>
      <w:bookmarkStart w:id="24" w:name="_Toc482691123"/>
      <w:r>
        <w:rPr>
          <w:rFonts w:ascii="Arial" w:hAnsi="Arial"/>
          <w:b/>
          <w:sz w:val="22"/>
          <w:u w:val="single"/>
        </w:rPr>
        <w:t>Summary of Pertinent Comments</w:t>
      </w:r>
      <w:bookmarkEnd w:id="24"/>
    </w:p>
    <w:p w14:paraId="513E4980" w14:textId="77777777" w:rsidR="005D772A" w:rsidRDefault="005D772A" w:rsidP="005D772A">
      <w:pPr>
        <w:rPr>
          <w:rFonts w:ascii="Arial" w:hAnsi="Arial"/>
          <w:b/>
          <w:sz w:val="22"/>
          <w:u w:val="single"/>
        </w:rPr>
      </w:pPr>
    </w:p>
    <w:p w14:paraId="5D9686E5" w14:textId="77777777" w:rsidR="005D772A" w:rsidRDefault="005D772A" w:rsidP="005D772A">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bookmarkStart w:id="25" w:name="Dropdown12"/>
      <w:r>
        <w:rPr>
          <w:rFonts w:ascii="Arial" w:hAnsi="Arial"/>
          <w:sz w:val="22"/>
        </w:rPr>
        <w:instrText xml:space="preserve"> FORMDROPDOWN </w:instrText>
      </w:r>
      <w:r w:rsidR="00C914C5">
        <w:rPr>
          <w:rFonts w:ascii="Arial" w:hAnsi="Arial"/>
          <w:sz w:val="22"/>
        </w:rPr>
      </w:r>
      <w:r w:rsidR="00C914C5">
        <w:rPr>
          <w:rFonts w:ascii="Arial" w:hAnsi="Arial"/>
          <w:sz w:val="22"/>
        </w:rPr>
        <w:fldChar w:fldCharType="separate"/>
      </w:r>
      <w:r>
        <w:rPr>
          <w:rFonts w:ascii="Arial" w:hAnsi="Arial"/>
          <w:sz w:val="22"/>
        </w:rPr>
        <w:fldChar w:fldCharType="end"/>
      </w:r>
      <w:bookmarkEnd w:id="25"/>
      <w:r>
        <w:rPr>
          <w:rFonts w:ascii="Arial" w:hAnsi="Arial"/>
          <w:sz w:val="22"/>
        </w:rPr>
        <w:t xml:space="preserve"> comment period.</w:t>
      </w:r>
    </w:p>
    <w:p w14:paraId="7A051B92" w14:textId="77777777" w:rsidR="005B3AE4" w:rsidRDefault="005B3AE4" w:rsidP="005D772A">
      <w:pPr>
        <w:outlineLvl w:val="0"/>
        <w:rPr>
          <w:rFonts w:ascii="Arial" w:hAnsi="Arial"/>
          <w:sz w:val="22"/>
        </w:rPr>
      </w:pPr>
    </w:p>
    <w:p w14:paraId="5C349F21" w14:textId="664B6E70" w:rsidR="005B3AE4" w:rsidRDefault="005B3AE4" w:rsidP="005B3AE4">
      <w:pPr>
        <w:rPr>
          <w:rFonts w:ascii="Arial" w:hAnsi="Arial"/>
          <w:b/>
          <w:sz w:val="22"/>
          <w:u w:val="single"/>
        </w:rPr>
      </w:pPr>
      <w:bookmarkStart w:id="26" w:name="_Toc482691124"/>
      <w:r>
        <w:rPr>
          <w:rFonts w:ascii="Arial" w:hAnsi="Arial"/>
          <w:b/>
          <w:sz w:val="22"/>
          <w:u w:val="single"/>
        </w:rPr>
        <w:t xml:space="preserve">Changes to the </w:t>
      </w:r>
      <w:r>
        <w:rPr>
          <w:rFonts w:ascii="Arial" w:hAnsi="Arial" w:cs="Arial"/>
          <w:b/>
          <w:sz w:val="22"/>
          <w:szCs w:val="22"/>
          <w:u w:val="single"/>
        </w:rPr>
        <w:t xml:space="preserve">January 22, </w:t>
      </w:r>
      <w:proofErr w:type="gramStart"/>
      <w:r>
        <w:rPr>
          <w:rFonts w:ascii="Arial" w:hAnsi="Arial" w:cs="Arial"/>
          <w:b/>
          <w:sz w:val="22"/>
          <w:szCs w:val="22"/>
          <w:u w:val="single"/>
        </w:rPr>
        <w:t>2024</w:t>
      </w:r>
      <w:proofErr w:type="gramEnd"/>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C914C5">
        <w:rPr>
          <w:rFonts w:ascii="Arial" w:hAnsi="Arial"/>
          <w:b/>
          <w:sz w:val="22"/>
          <w:u w:val="single"/>
        </w:rPr>
      </w:r>
      <w:r w:rsidR="00C914C5">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6"/>
    </w:p>
    <w:p w14:paraId="69C9ABE6" w14:textId="77777777" w:rsidR="005B3AE4" w:rsidRDefault="005B3AE4" w:rsidP="005B3AE4">
      <w:pPr>
        <w:rPr>
          <w:rFonts w:ascii="Arial" w:hAnsi="Arial"/>
          <w:b/>
          <w:sz w:val="22"/>
        </w:rPr>
      </w:pPr>
    </w:p>
    <w:p w14:paraId="78D47A82" w14:textId="77777777" w:rsidR="005B3AE4" w:rsidRDefault="005B3AE4" w:rsidP="005B3AE4">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C914C5">
        <w:rPr>
          <w:rFonts w:ascii="Arial" w:hAnsi="Arial"/>
          <w:sz w:val="22"/>
        </w:rPr>
      </w:r>
      <w:r w:rsidR="00C914C5">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58D771C6" w14:textId="77777777" w:rsidR="005B3AE4" w:rsidRDefault="005B3AE4" w:rsidP="005D772A">
      <w:pPr>
        <w:outlineLvl w:val="0"/>
        <w:rPr>
          <w:rFonts w:ascii="Arial" w:hAnsi="Arial"/>
          <w:sz w:val="22"/>
        </w:rPr>
      </w:pPr>
    </w:p>
    <w:sectPr w:rsidR="005B3AE4">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2412E" w14:textId="77777777" w:rsidR="005F7B17" w:rsidRDefault="005F7B17">
      <w:r>
        <w:separator/>
      </w:r>
    </w:p>
  </w:endnote>
  <w:endnote w:type="continuationSeparator" w:id="0">
    <w:p w14:paraId="1CFD7F4F" w14:textId="77777777" w:rsidR="005F7B17" w:rsidRDefault="005F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930BA" w14:textId="77777777" w:rsidR="00EF5FB1" w:rsidRDefault="00EF5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01D2"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B68C"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6B0DE030"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EF5FB1">
      <w:rPr>
        <w:rStyle w:val="PageNumber"/>
        <w:rFonts w:ascii="Arial" w:hAnsi="Arial"/>
        <w:sz w:val="16"/>
        <w:szCs w:val="16"/>
      </w:rPr>
      <w:t>5</w:t>
    </w:r>
    <w:r w:rsidRPr="0014659D">
      <w:rPr>
        <w:rStyle w:val="PageNumber"/>
        <w:rFonts w:ascii="Arial" w:hAnsi="Arial"/>
        <w:sz w:val="16"/>
        <w:szCs w:val="16"/>
      </w:rPr>
      <w:t>/</w:t>
    </w:r>
    <w:r w:rsidR="00EF5FB1">
      <w:rPr>
        <w:rStyle w:val="PageNumber"/>
        <w:rFonts w:ascii="Arial" w:hAnsi="Arial"/>
        <w:sz w:val="16"/>
        <w:szCs w:val="16"/>
      </w:rPr>
      <w:t>11</w:t>
    </w:r>
    <w:r w:rsidRPr="0014659D">
      <w:rPr>
        <w:rStyle w:val="PageNumber"/>
        <w:rFonts w:ascii="Arial" w:hAnsi="Arial"/>
        <w:sz w:val="16"/>
        <w:szCs w:val="16"/>
      </w:rPr>
      <w:t>/</w:t>
    </w:r>
    <w:r>
      <w:rPr>
        <w:rStyle w:val="PageNumber"/>
        <w:rFonts w:ascii="Arial" w:hAnsi="Arial"/>
        <w:sz w:val="16"/>
        <w:szCs w:val="16"/>
      </w:rPr>
      <w:t>2</w:t>
    </w:r>
    <w:r w:rsidR="009B3DAC">
      <w:rPr>
        <w:rStyle w:val="PageNumber"/>
        <w:rFonts w:ascii="Arial" w:hAnsi="Arial"/>
        <w:sz w:val="16"/>
        <w:szCs w:val="16"/>
      </w:rPr>
      <w:t>3</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D288E" w14:textId="77777777" w:rsidR="005F7B17" w:rsidRDefault="005F7B17">
      <w:r>
        <w:separator/>
      </w:r>
    </w:p>
  </w:footnote>
  <w:footnote w:type="continuationSeparator" w:id="0">
    <w:p w14:paraId="3A4BD4B1" w14:textId="77777777" w:rsidR="005F7B17" w:rsidRDefault="005F7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B6CC8" w14:textId="77777777" w:rsidR="00EF5FB1" w:rsidRDefault="00EF5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F70D" w14:textId="77777777" w:rsidR="00EF5FB1" w:rsidRDefault="00EF5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F7ADE" w14:textId="77777777" w:rsidR="00EF5FB1" w:rsidRDefault="00EF5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1"/>
  </w:num>
  <w:num w:numId="3" w16cid:durableId="1774284385">
    <w:abstractNumId w:val="3"/>
  </w:num>
  <w:num w:numId="4" w16cid:durableId="1211186698">
    <w:abstractNumId w:val="9"/>
  </w:num>
  <w:num w:numId="5" w16cid:durableId="1102992585">
    <w:abstractNumId w:val="5"/>
  </w:num>
  <w:num w:numId="6" w16cid:durableId="1214347478">
    <w:abstractNumId w:val="6"/>
  </w:num>
  <w:num w:numId="7" w16cid:durableId="1532954251">
    <w:abstractNumId w:val="10"/>
  </w:num>
  <w:num w:numId="8" w16cid:durableId="165361788">
    <w:abstractNumId w:val="7"/>
  </w:num>
  <w:num w:numId="9" w16cid:durableId="363756201">
    <w:abstractNumId w:val="11"/>
  </w:num>
  <w:num w:numId="10" w16cid:durableId="1442073551">
    <w:abstractNumId w:val="12"/>
  </w:num>
  <w:num w:numId="11" w16cid:durableId="1612667198">
    <w:abstractNumId w:val="2"/>
  </w:num>
  <w:num w:numId="12" w16cid:durableId="628896663">
    <w:abstractNumId w:val="4"/>
  </w:num>
  <w:num w:numId="13" w16cid:durableId="378434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6B"/>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6A06"/>
    <w:rsid w:val="00057978"/>
    <w:rsid w:val="00060FD0"/>
    <w:rsid w:val="00070B20"/>
    <w:rsid w:val="00082A06"/>
    <w:rsid w:val="00083979"/>
    <w:rsid w:val="00086493"/>
    <w:rsid w:val="000901C4"/>
    <w:rsid w:val="0009079D"/>
    <w:rsid w:val="000A3504"/>
    <w:rsid w:val="000A463D"/>
    <w:rsid w:val="000A7395"/>
    <w:rsid w:val="000B78C9"/>
    <w:rsid w:val="000C1E62"/>
    <w:rsid w:val="000C25B2"/>
    <w:rsid w:val="000C35CB"/>
    <w:rsid w:val="000C4F65"/>
    <w:rsid w:val="000C7F27"/>
    <w:rsid w:val="000D1318"/>
    <w:rsid w:val="000D38DB"/>
    <w:rsid w:val="000D52C8"/>
    <w:rsid w:val="000D6F52"/>
    <w:rsid w:val="000E1BBC"/>
    <w:rsid w:val="000E2E60"/>
    <w:rsid w:val="000E43A8"/>
    <w:rsid w:val="000E73AD"/>
    <w:rsid w:val="000E781D"/>
    <w:rsid w:val="000F04C2"/>
    <w:rsid w:val="000F32F4"/>
    <w:rsid w:val="000F58ED"/>
    <w:rsid w:val="000F73C3"/>
    <w:rsid w:val="001002E3"/>
    <w:rsid w:val="00100562"/>
    <w:rsid w:val="00102B51"/>
    <w:rsid w:val="0010361E"/>
    <w:rsid w:val="001054F9"/>
    <w:rsid w:val="001111DD"/>
    <w:rsid w:val="00111DE5"/>
    <w:rsid w:val="00113486"/>
    <w:rsid w:val="00113B82"/>
    <w:rsid w:val="001159B4"/>
    <w:rsid w:val="00115DF5"/>
    <w:rsid w:val="00123005"/>
    <w:rsid w:val="0012305E"/>
    <w:rsid w:val="001269C0"/>
    <w:rsid w:val="001301E9"/>
    <w:rsid w:val="0013533E"/>
    <w:rsid w:val="00135426"/>
    <w:rsid w:val="00137218"/>
    <w:rsid w:val="00141255"/>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08E7"/>
    <w:rsid w:val="00182993"/>
    <w:rsid w:val="00185993"/>
    <w:rsid w:val="001900AD"/>
    <w:rsid w:val="00191106"/>
    <w:rsid w:val="001A21E9"/>
    <w:rsid w:val="001A6D8D"/>
    <w:rsid w:val="001B5D76"/>
    <w:rsid w:val="001B634B"/>
    <w:rsid w:val="001C45A8"/>
    <w:rsid w:val="001C767C"/>
    <w:rsid w:val="001D0502"/>
    <w:rsid w:val="001D0646"/>
    <w:rsid w:val="001D6B5F"/>
    <w:rsid w:val="001D7607"/>
    <w:rsid w:val="001E3D60"/>
    <w:rsid w:val="001E6273"/>
    <w:rsid w:val="001F1448"/>
    <w:rsid w:val="001F287A"/>
    <w:rsid w:val="001F2F32"/>
    <w:rsid w:val="001F3B26"/>
    <w:rsid w:val="001F742A"/>
    <w:rsid w:val="00201CC7"/>
    <w:rsid w:val="0020224E"/>
    <w:rsid w:val="002028CA"/>
    <w:rsid w:val="00203061"/>
    <w:rsid w:val="00203E24"/>
    <w:rsid w:val="00204A58"/>
    <w:rsid w:val="002065AF"/>
    <w:rsid w:val="00222544"/>
    <w:rsid w:val="002229BE"/>
    <w:rsid w:val="00226144"/>
    <w:rsid w:val="00226BBE"/>
    <w:rsid w:val="0022752F"/>
    <w:rsid w:val="002315E7"/>
    <w:rsid w:val="00231A25"/>
    <w:rsid w:val="0023247F"/>
    <w:rsid w:val="0023444E"/>
    <w:rsid w:val="00237F04"/>
    <w:rsid w:val="00240431"/>
    <w:rsid w:val="0024506D"/>
    <w:rsid w:val="00250171"/>
    <w:rsid w:val="00251166"/>
    <w:rsid w:val="0025199F"/>
    <w:rsid w:val="002519D9"/>
    <w:rsid w:val="00252680"/>
    <w:rsid w:val="00255E2E"/>
    <w:rsid w:val="002612D6"/>
    <w:rsid w:val="00262557"/>
    <w:rsid w:val="00271EE6"/>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3A1D"/>
    <w:rsid w:val="002B4B0E"/>
    <w:rsid w:val="002B5D3B"/>
    <w:rsid w:val="002B7F84"/>
    <w:rsid w:val="002C0333"/>
    <w:rsid w:val="002C4670"/>
    <w:rsid w:val="002C5F6A"/>
    <w:rsid w:val="002C652F"/>
    <w:rsid w:val="002D06FC"/>
    <w:rsid w:val="002D10C6"/>
    <w:rsid w:val="002D148E"/>
    <w:rsid w:val="002D6ACE"/>
    <w:rsid w:val="002E0E12"/>
    <w:rsid w:val="002E67B8"/>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0A81"/>
    <w:rsid w:val="00363292"/>
    <w:rsid w:val="003637D0"/>
    <w:rsid w:val="003669FE"/>
    <w:rsid w:val="0036784E"/>
    <w:rsid w:val="00371521"/>
    <w:rsid w:val="00372E82"/>
    <w:rsid w:val="003741D7"/>
    <w:rsid w:val="00376F31"/>
    <w:rsid w:val="00377200"/>
    <w:rsid w:val="00377850"/>
    <w:rsid w:val="00383482"/>
    <w:rsid w:val="00383DD1"/>
    <w:rsid w:val="00383E34"/>
    <w:rsid w:val="00385544"/>
    <w:rsid w:val="0038737C"/>
    <w:rsid w:val="00387A7B"/>
    <w:rsid w:val="00392077"/>
    <w:rsid w:val="00392731"/>
    <w:rsid w:val="003946CC"/>
    <w:rsid w:val="003950E9"/>
    <w:rsid w:val="0039520D"/>
    <w:rsid w:val="003955A4"/>
    <w:rsid w:val="003A0C78"/>
    <w:rsid w:val="003A1467"/>
    <w:rsid w:val="003A2108"/>
    <w:rsid w:val="003A75B8"/>
    <w:rsid w:val="003B36CE"/>
    <w:rsid w:val="003B3A3A"/>
    <w:rsid w:val="003B430D"/>
    <w:rsid w:val="003B598E"/>
    <w:rsid w:val="003B5E83"/>
    <w:rsid w:val="003B750C"/>
    <w:rsid w:val="003C4B9D"/>
    <w:rsid w:val="003D6336"/>
    <w:rsid w:val="003D6A01"/>
    <w:rsid w:val="003D6B07"/>
    <w:rsid w:val="003D6C8F"/>
    <w:rsid w:val="003E3ECF"/>
    <w:rsid w:val="003E54BC"/>
    <w:rsid w:val="003E6B97"/>
    <w:rsid w:val="003E6F49"/>
    <w:rsid w:val="003F16E7"/>
    <w:rsid w:val="003F18CA"/>
    <w:rsid w:val="003F2BA6"/>
    <w:rsid w:val="003F318D"/>
    <w:rsid w:val="003F3CC2"/>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4BE"/>
    <w:rsid w:val="00445883"/>
    <w:rsid w:val="00450962"/>
    <w:rsid w:val="00451C04"/>
    <w:rsid w:val="004541F4"/>
    <w:rsid w:val="00455F45"/>
    <w:rsid w:val="004577DE"/>
    <w:rsid w:val="004628A4"/>
    <w:rsid w:val="004670B5"/>
    <w:rsid w:val="00470765"/>
    <w:rsid w:val="0047117A"/>
    <w:rsid w:val="00474ADF"/>
    <w:rsid w:val="00474C32"/>
    <w:rsid w:val="00475BD8"/>
    <w:rsid w:val="004764BC"/>
    <w:rsid w:val="00477C93"/>
    <w:rsid w:val="00481F2F"/>
    <w:rsid w:val="0048277E"/>
    <w:rsid w:val="00482E94"/>
    <w:rsid w:val="00485373"/>
    <w:rsid w:val="00485F9B"/>
    <w:rsid w:val="00491EF2"/>
    <w:rsid w:val="0049200A"/>
    <w:rsid w:val="00493484"/>
    <w:rsid w:val="004948C1"/>
    <w:rsid w:val="004A6FD2"/>
    <w:rsid w:val="004A7CB1"/>
    <w:rsid w:val="004B2A6F"/>
    <w:rsid w:val="004B2EB4"/>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4F712D"/>
    <w:rsid w:val="00502068"/>
    <w:rsid w:val="0050260F"/>
    <w:rsid w:val="00506F9E"/>
    <w:rsid w:val="0050744F"/>
    <w:rsid w:val="005122AD"/>
    <w:rsid w:val="005204BA"/>
    <w:rsid w:val="005224A0"/>
    <w:rsid w:val="00532985"/>
    <w:rsid w:val="0053606A"/>
    <w:rsid w:val="00537997"/>
    <w:rsid w:val="0054095E"/>
    <w:rsid w:val="005426C1"/>
    <w:rsid w:val="00543DF8"/>
    <w:rsid w:val="0054408B"/>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038"/>
    <w:rsid w:val="00596804"/>
    <w:rsid w:val="00596B15"/>
    <w:rsid w:val="00597110"/>
    <w:rsid w:val="00597E47"/>
    <w:rsid w:val="005A054B"/>
    <w:rsid w:val="005A1999"/>
    <w:rsid w:val="005A222E"/>
    <w:rsid w:val="005A5063"/>
    <w:rsid w:val="005A6987"/>
    <w:rsid w:val="005A6EA0"/>
    <w:rsid w:val="005B08A1"/>
    <w:rsid w:val="005B162E"/>
    <w:rsid w:val="005B3AE4"/>
    <w:rsid w:val="005B3B35"/>
    <w:rsid w:val="005B4FCA"/>
    <w:rsid w:val="005C4415"/>
    <w:rsid w:val="005C6DFC"/>
    <w:rsid w:val="005D0722"/>
    <w:rsid w:val="005D3DDD"/>
    <w:rsid w:val="005D5057"/>
    <w:rsid w:val="005D692F"/>
    <w:rsid w:val="005D772A"/>
    <w:rsid w:val="005E2621"/>
    <w:rsid w:val="005E5143"/>
    <w:rsid w:val="005E7221"/>
    <w:rsid w:val="005F1B8C"/>
    <w:rsid w:val="005F1FFC"/>
    <w:rsid w:val="005F7B17"/>
    <w:rsid w:val="00600D78"/>
    <w:rsid w:val="0060352A"/>
    <w:rsid w:val="0060488A"/>
    <w:rsid w:val="00604E76"/>
    <w:rsid w:val="006051CB"/>
    <w:rsid w:val="00610D52"/>
    <w:rsid w:val="00611548"/>
    <w:rsid w:val="00611F67"/>
    <w:rsid w:val="0061223B"/>
    <w:rsid w:val="006138D1"/>
    <w:rsid w:val="00615F8C"/>
    <w:rsid w:val="00616FFF"/>
    <w:rsid w:val="00621F23"/>
    <w:rsid w:val="006240B1"/>
    <w:rsid w:val="00630E5E"/>
    <w:rsid w:val="00632891"/>
    <w:rsid w:val="006335CA"/>
    <w:rsid w:val="00633724"/>
    <w:rsid w:val="00636DC7"/>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1B83"/>
    <w:rsid w:val="00683CEC"/>
    <w:rsid w:val="00684786"/>
    <w:rsid w:val="0068541F"/>
    <w:rsid w:val="00690FF9"/>
    <w:rsid w:val="006916A9"/>
    <w:rsid w:val="0069759E"/>
    <w:rsid w:val="006976A6"/>
    <w:rsid w:val="006978FD"/>
    <w:rsid w:val="00697E2F"/>
    <w:rsid w:val="006A2CA7"/>
    <w:rsid w:val="006A43CB"/>
    <w:rsid w:val="006A696F"/>
    <w:rsid w:val="006B4DBB"/>
    <w:rsid w:val="006B7EC5"/>
    <w:rsid w:val="006C0886"/>
    <w:rsid w:val="006C5DF1"/>
    <w:rsid w:val="006D57EE"/>
    <w:rsid w:val="006D5A28"/>
    <w:rsid w:val="006D7383"/>
    <w:rsid w:val="006E04EE"/>
    <w:rsid w:val="006E3E47"/>
    <w:rsid w:val="006F1886"/>
    <w:rsid w:val="006F61D2"/>
    <w:rsid w:val="00701F63"/>
    <w:rsid w:val="0070306D"/>
    <w:rsid w:val="00703588"/>
    <w:rsid w:val="00703F50"/>
    <w:rsid w:val="0070709E"/>
    <w:rsid w:val="00710154"/>
    <w:rsid w:val="00710F06"/>
    <w:rsid w:val="007129B8"/>
    <w:rsid w:val="007140AB"/>
    <w:rsid w:val="0071648A"/>
    <w:rsid w:val="00716DF1"/>
    <w:rsid w:val="007174AF"/>
    <w:rsid w:val="00720743"/>
    <w:rsid w:val="00720E5F"/>
    <w:rsid w:val="007248FE"/>
    <w:rsid w:val="00726518"/>
    <w:rsid w:val="00735DA9"/>
    <w:rsid w:val="00736652"/>
    <w:rsid w:val="00740674"/>
    <w:rsid w:val="007412EC"/>
    <w:rsid w:val="00742DEE"/>
    <w:rsid w:val="00743A66"/>
    <w:rsid w:val="007460BC"/>
    <w:rsid w:val="0074639E"/>
    <w:rsid w:val="00746F0A"/>
    <w:rsid w:val="0075342F"/>
    <w:rsid w:val="007542E0"/>
    <w:rsid w:val="00760484"/>
    <w:rsid w:val="00760EB6"/>
    <w:rsid w:val="00762A17"/>
    <w:rsid w:val="00770784"/>
    <w:rsid w:val="00773C90"/>
    <w:rsid w:val="00777549"/>
    <w:rsid w:val="007800F5"/>
    <w:rsid w:val="007805D9"/>
    <w:rsid w:val="00781313"/>
    <w:rsid w:val="00781399"/>
    <w:rsid w:val="007870F6"/>
    <w:rsid w:val="0079109F"/>
    <w:rsid w:val="00793303"/>
    <w:rsid w:val="00795CB5"/>
    <w:rsid w:val="00795D6C"/>
    <w:rsid w:val="00796375"/>
    <w:rsid w:val="00796F90"/>
    <w:rsid w:val="007A22BD"/>
    <w:rsid w:val="007A6504"/>
    <w:rsid w:val="007A77F1"/>
    <w:rsid w:val="007B199C"/>
    <w:rsid w:val="007B316B"/>
    <w:rsid w:val="007B41C7"/>
    <w:rsid w:val="007B565A"/>
    <w:rsid w:val="007C0501"/>
    <w:rsid w:val="007C2B15"/>
    <w:rsid w:val="007C416D"/>
    <w:rsid w:val="007C66EE"/>
    <w:rsid w:val="007C69F2"/>
    <w:rsid w:val="007C7308"/>
    <w:rsid w:val="007D067F"/>
    <w:rsid w:val="007D09D9"/>
    <w:rsid w:val="007D3294"/>
    <w:rsid w:val="007D429F"/>
    <w:rsid w:val="007D4663"/>
    <w:rsid w:val="007D7915"/>
    <w:rsid w:val="007E0BD7"/>
    <w:rsid w:val="007E25A0"/>
    <w:rsid w:val="007E2987"/>
    <w:rsid w:val="007E39D1"/>
    <w:rsid w:val="007F3C6F"/>
    <w:rsid w:val="007F3FBA"/>
    <w:rsid w:val="007F62B1"/>
    <w:rsid w:val="007F73D0"/>
    <w:rsid w:val="00800330"/>
    <w:rsid w:val="0080151E"/>
    <w:rsid w:val="008051A8"/>
    <w:rsid w:val="00805D25"/>
    <w:rsid w:val="00813FB1"/>
    <w:rsid w:val="00816019"/>
    <w:rsid w:val="0082220E"/>
    <w:rsid w:val="008273F7"/>
    <w:rsid w:val="00827EF4"/>
    <w:rsid w:val="00833053"/>
    <w:rsid w:val="00840CB9"/>
    <w:rsid w:val="008418BB"/>
    <w:rsid w:val="008419E3"/>
    <w:rsid w:val="00844DE4"/>
    <w:rsid w:val="00846C89"/>
    <w:rsid w:val="0084712F"/>
    <w:rsid w:val="0084741D"/>
    <w:rsid w:val="0085138A"/>
    <w:rsid w:val="008537FA"/>
    <w:rsid w:val="00853AF4"/>
    <w:rsid w:val="00853BE8"/>
    <w:rsid w:val="00854273"/>
    <w:rsid w:val="008545C2"/>
    <w:rsid w:val="00854F8B"/>
    <w:rsid w:val="0085642C"/>
    <w:rsid w:val="00857B39"/>
    <w:rsid w:val="00861C6E"/>
    <w:rsid w:val="00862EC5"/>
    <w:rsid w:val="00863EC3"/>
    <w:rsid w:val="008677AC"/>
    <w:rsid w:val="00873B63"/>
    <w:rsid w:val="00874CB0"/>
    <w:rsid w:val="00875D1C"/>
    <w:rsid w:val="00875FB3"/>
    <w:rsid w:val="00876E17"/>
    <w:rsid w:val="00880972"/>
    <w:rsid w:val="00881DA8"/>
    <w:rsid w:val="00884CC7"/>
    <w:rsid w:val="00886AC2"/>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3251"/>
    <w:rsid w:val="008D7CDB"/>
    <w:rsid w:val="008E1371"/>
    <w:rsid w:val="008E1AD6"/>
    <w:rsid w:val="008E2323"/>
    <w:rsid w:val="008E34FC"/>
    <w:rsid w:val="008E5110"/>
    <w:rsid w:val="008E5C4C"/>
    <w:rsid w:val="008E5EC0"/>
    <w:rsid w:val="008E71A2"/>
    <w:rsid w:val="008E7D6B"/>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0B7D"/>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6CB5"/>
    <w:rsid w:val="00970E8F"/>
    <w:rsid w:val="00971B11"/>
    <w:rsid w:val="00973C27"/>
    <w:rsid w:val="009819CF"/>
    <w:rsid w:val="00982658"/>
    <w:rsid w:val="00983014"/>
    <w:rsid w:val="009830F9"/>
    <w:rsid w:val="0098464A"/>
    <w:rsid w:val="00985181"/>
    <w:rsid w:val="00985FF1"/>
    <w:rsid w:val="00991BCF"/>
    <w:rsid w:val="00991E9D"/>
    <w:rsid w:val="00991F5C"/>
    <w:rsid w:val="00995DE1"/>
    <w:rsid w:val="009970EC"/>
    <w:rsid w:val="009A000C"/>
    <w:rsid w:val="009A58E1"/>
    <w:rsid w:val="009A5F7D"/>
    <w:rsid w:val="009A6697"/>
    <w:rsid w:val="009A6835"/>
    <w:rsid w:val="009B1EF9"/>
    <w:rsid w:val="009B2268"/>
    <w:rsid w:val="009B3617"/>
    <w:rsid w:val="009B3DAC"/>
    <w:rsid w:val="009C19C6"/>
    <w:rsid w:val="009C4E62"/>
    <w:rsid w:val="009C5CE5"/>
    <w:rsid w:val="009C76F1"/>
    <w:rsid w:val="009D0C37"/>
    <w:rsid w:val="009D54F7"/>
    <w:rsid w:val="009D5EBC"/>
    <w:rsid w:val="009E10CB"/>
    <w:rsid w:val="009E2122"/>
    <w:rsid w:val="009E4796"/>
    <w:rsid w:val="009F54AA"/>
    <w:rsid w:val="009F584A"/>
    <w:rsid w:val="009F7D88"/>
    <w:rsid w:val="00A0136A"/>
    <w:rsid w:val="00A0363B"/>
    <w:rsid w:val="00A04B84"/>
    <w:rsid w:val="00A05E44"/>
    <w:rsid w:val="00A12962"/>
    <w:rsid w:val="00A14B32"/>
    <w:rsid w:val="00A15A87"/>
    <w:rsid w:val="00A16A4A"/>
    <w:rsid w:val="00A21F9D"/>
    <w:rsid w:val="00A23898"/>
    <w:rsid w:val="00A27D2C"/>
    <w:rsid w:val="00A30B26"/>
    <w:rsid w:val="00A30B5F"/>
    <w:rsid w:val="00A320C2"/>
    <w:rsid w:val="00A32D09"/>
    <w:rsid w:val="00A335F3"/>
    <w:rsid w:val="00A37849"/>
    <w:rsid w:val="00A4048D"/>
    <w:rsid w:val="00A40DFE"/>
    <w:rsid w:val="00A444F3"/>
    <w:rsid w:val="00A458A7"/>
    <w:rsid w:val="00A479C2"/>
    <w:rsid w:val="00A57739"/>
    <w:rsid w:val="00A57799"/>
    <w:rsid w:val="00A61FF1"/>
    <w:rsid w:val="00A62B77"/>
    <w:rsid w:val="00A64289"/>
    <w:rsid w:val="00A65090"/>
    <w:rsid w:val="00A6568D"/>
    <w:rsid w:val="00A6653C"/>
    <w:rsid w:val="00A67F55"/>
    <w:rsid w:val="00A701E1"/>
    <w:rsid w:val="00A711AB"/>
    <w:rsid w:val="00A73320"/>
    <w:rsid w:val="00A7562C"/>
    <w:rsid w:val="00A757D5"/>
    <w:rsid w:val="00A75C83"/>
    <w:rsid w:val="00A82D08"/>
    <w:rsid w:val="00A8419D"/>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E6262"/>
    <w:rsid w:val="00AF10F4"/>
    <w:rsid w:val="00AF4326"/>
    <w:rsid w:val="00AF5CDE"/>
    <w:rsid w:val="00B008B3"/>
    <w:rsid w:val="00B03D3A"/>
    <w:rsid w:val="00B1343D"/>
    <w:rsid w:val="00B17134"/>
    <w:rsid w:val="00B17711"/>
    <w:rsid w:val="00B20017"/>
    <w:rsid w:val="00B20A6D"/>
    <w:rsid w:val="00B2681D"/>
    <w:rsid w:val="00B3117B"/>
    <w:rsid w:val="00B333DF"/>
    <w:rsid w:val="00B336B9"/>
    <w:rsid w:val="00B37F1A"/>
    <w:rsid w:val="00B45992"/>
    <w:rsid w:val="00B50C3F"/>
    <w:rsid w:val="00B51183"/>
    <w:rsid w:val="00B547BF"/>
    <w:rsid w:val="00B54C93"/>
    <w:rsid w:val="00B63414"/>
    <w:rsid w:val="00B66177"/>
    <w:rsid w:val="00B66B39"/>
    <w:rsid w:val="00B72733"/>
    <w:rsid w:val="00B72FDA"/>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493F"/>
    <w:rsid w:val="00BE59C7"/>
    <w:rsid w:val="00BE5F90"/>
    <w:rsid w:val="00BE7C2F"/>
    <w:rsid w:val="00C00240"/>
    <w:rsid w:val="00C0589B"/>
    <w:rsid w:val="00C113BC"/>
    <w:rsid w:val="00C12BAA"/>
    <w:rsid w:val="00C164A0"/>
    <w:rsid w:val="00C205E5"/>
    <w:rsid w:val="00C23A6C"/>
    <w:rsid w:val="00C24C83"/>
    <w:rsid w:val="00C260E0"/>
    <w:rsid w:val="00C32CBF"/>
    <w:rsid w:val="00C342AF"/>
    <w:rsid w:val="00C35BAE"/>
    <w:rsid w:val="00C35E94"/>
    <w:rsid w:val="00C407C8"/>
    <w:rsid w:val="00C41158"/>
    <w:rsid w:val="00C42B14"/>
    <w:rsid w:val="00C43561"/>
    <w:rsid w:val="00C47C28"/>
    <w:rsid w:val="00C47F6C"/>
    <w:rsid w:val="00C501AE"/>
    <w:rsid w:val="00C50355"/>
    <w:rsid w:val="00C512CC"/>
    <w:rsid w:val="00C53DF2"/>
    <w:rsid w:val="00C54ADE"/>
    <w:rsid w:val="00C54E9E"/>
    <w:rsid w:val="00C6059C"/>
    <w:rsid w:val="00C61A82"/>
    <w:rsid w:val="00C6451A"/>
    <w:rsid w:val="00C6488B"/>
    <w:rsid w:val="00C65371"/>
    <w:rsid w:val="00C66375"/>
    <w:rsid w:val="00C66BD6"/>
    <w:rsid w:val="00C67104"/>
    <w:rsid w:val="00C677A9"/>
    <w:rsid w:val="00C7219D"/>
    <w:rsid w:val="00C72A47"/>
    <w:rsid w:val="00C73FBD"/>
    <w:rsid w:val="00C744F8"/>
    <w:rsid w:val="00C7589B"/>
    <w:rsid w:val="00C76E93"/>
    <w:rsid w:val="00C801D0"/>
    <w:rsid w:val="00C802FD"/>
    <w:rsid w:val="00C812D3"/>
    <w:rsid w:val="00C82F1E"/>
    <w:rsid w:val="00C84243"/>
    <w:rsid w:val="00C914C5"/>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5D44"/>
    <w:rsid w:val="00D17D48"/>
    <w:rsid w:val="00D22B42"/>
    <w:rsid w:val="00D26941"/>
    <w:rsid w:val="00D30940"/>
    <w:rsid w:val="00D32088"/>
    <w:rsid w:val="00D325DF"/>
    <w:rsid w:val="00D32ACD"/>
    <w:rsid w:val="00D34A15"/>
    <w:rsid w:val="00D36078"/>
    <w:rsid w:val="00D364A2"/>
    <w:rsid w:val="00D42E06"/>
    <w:rsid w:val="00D43A9A"/>
    <w:rsid w:val="00D43EB9"/>
    <w:rsid w:val="00D5459C"/>
    <w:rsid w:val="00D57666"/>
    <w:rsid w:val="00D57EFB"/>
    <w:rsid w:val="00D63D29"/>
    <w:rsid w:val="00D66870"/>
    <w:rsid w:val="00D75A5C"/>
    <w:rsid w:val="00D75CF1"/>
    <w:rsid w:val="00D779CA"/>
    <w:rsid w:val="00D81EA9"/>
    <w:rsid w:val="00D84FCD"/>
    <w:rsid w:val="00D871B3"/>
    <w:rsid w:val="00D90F40"/>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C73F8"/>
    <w:rsid w:val="00DD2FAD"/>
    <w:rsid w:val="00DD4D4E"/>
    <w:rsid w:val="00DE392C"/>
    <w:rsid w:val="00DE39D5"/>
    <w:rsid w:val="00DE538D"/>
    <w:rsid w:val="00DE6BD6"/>
    <w:rsid w:val="00DE6E0D"/>
    <w:rsid w:val="00DF00D6"/>
    <w:rsid w:val="00DF46AD"/>
    <w:rsid w:val="00DF4A29"/>
    <w:rsid w:val="00DF6578"/>
    <w:rsid w:val="00DF7BBC"/>
    <w:rsid w:val="00E01E9D"/>
    <w:rsid w:val="00E02CAF"/>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1B63"/>
    <w:rsid w:val="00E47B7A"/>
    <w:rsid w:val="00E52C39"/>
    <w:rsid w:val="00E562DC"/>
    <w:rsid w:val="00E575D5"/>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A5DD1"/>
    <w:rsid w:val="00EB17D6"/>
    <w:rsid w:val="00EB2F29"/>
    <w:rsid w:val="00EC093E"/>
    <w:rsid w:val="00EC0D9E"/>
    <w:rsid w:val="00EC142A"/>
    <w:rsid w:val="00EC23F8"/>
    <w:rsid w:val="00EC528A"/>
    <w:rsid w:val="00EC66A7"/>
    <w:rsid w:val="00ED4100"/>
    <w:rsid w:val="00ED6114"/>
    <w:rsid w:val="00EE0520"/>
    <w:rsid w:val="00EE0A7B"/>
    <w:rsid w:val="00EE3989"/>
    <w:rsid w:val="00EE5339"/>
    <w:rsid w:val="00EE6056"/>
    <w:rsid w:val="00EE6CC6"/>
    <w:rsid w:val="00EF03C5"/>
    <w:rsid w:val="00EF05C3"/>
    <w:rsid w:val="00EF0691"/>
    <w:rsid w:val="00EF2269"/>
    <w:rsid w:val="00EF28E8"/>
    <w:rsid w:val="00EF52AE"/>
    <w:rsid w:val="00EF5FB1"/>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0DB3"/>
    <w:rsid w:val="00F41E50"/>
    <w:rsid w:val="00F477A5"/>
    <w:rsid w:val="00F478F0"/>
    <w:rsid w:val="00F5342E"/>
    <w:rsid w:val="00F545EB"/>
    <w:rsid w:val="00F546FE"/>
    <w:rsid w:val="00F55032"/>
    <w:rsid w:val="00F56A43"/>
    <w:rsid w:val="00F578B1"/>
    <w:rsid w:val="00F64196"/>
    <w:rsid w:val="00F65467"/>
    <w:rsid w:val="00F72008"/>
    <w:rsid w:val="00F72107"/>
    <w:rsid w:val="00F734C6"/>
    <w:rsid w:val="00F73A59"/>
    <w:rsid w:val="00F747D2"/>
    <w:rsid w:val="00F752B6"/>
    <w:rsid w:val="00F77AFD"/>
    <w:rsid w:val="00F847D5"/>
    <w:rsid w:val="00F86609"/>
    <w:rsid w:val="00F875B5"/>
    <w:rsid w:val="00F900ED"/>
    <w:rsid w:val="00F90CC0"/>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148"/>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4541596"/>
  <w15:chartTrackingRefBased/>
  <w15:docId w15:val="{73F97ECC-B858-49C8-9379-03E86ABE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lm\Downloads\ROP%20Staff%20Report%2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0d83692-8000-456c-81e0-753272234f01" ContentTypeId="0x010100D80FC88A48A3EA4889EF01C87FCFD42A03" PreviousValue="false" LastSyncTimeStamp="2021-12-06T18:23:13.867Z"/>
</file>

<file path=customXml/item2.xml><?xml version="1.0" encoding="utf-8"?>
<ct:contentTypeSchema xmlns:ct="http://schemas.microsoft.com/office/2006/metadata/contentType" xmlns:ma="http://schemas.microsoft.com/office/2006/metadata/properties/metaAttributes" ct:_="" ma:_="" ma:contentTypeName="SOM Forms" ma:contentTypeID="0x010100D80FC88A48A3EA4889EF01C87FCFD42A03007F72A111FED8BB4FA5C8BCCB3C956A77" ma:contentTypeVersion="26" ma:contentTypeDescription="" ma:contentTypeScope="" ma:versionID="8ace07232054ea0a960d79c1066cc9ff">
  <xsd:schema xmlns:xsd="http://www.w3.org/2001/XMLSchema" xmlns:xs="http://www.w3.org/2001/XMLSchema" xmlns:p="http://schemas.microsoft.com/office/2006/metadata/properties" xmlns:ns2="e4664c3e-f049-4574-bd7d-7499d2032cca" xmlns:ns3="ca2ed2d5-d26b-4d54-83fe-077939e70b02" xmlns:ns4="d356c680-230c-4ed8-be3e-96c91d57d31e" targetNamespace="http://schemas.microsoft.com/office/2006/metadata/properties" ma:root="true" ma:fieldsID="e53064e0beeaf81e4851a82d0eb6f929" ns2:_="" ns3:_="" ns4:_="">
    <xsd:import namespace="e4664c3e-f049-4574-bd7d-7499d2032cca"/>
    <xsd:import namespace="ca2ed2d5-d26b-4d54-83fe-077939e70b02"/>
    <xsd:import namespace="d356c680-230c-4ed8-be3e-96c91d57d31e"/>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Sort_x0020_Order" minOccurs="0"/>
                <xsd:element ref="ns2:Fillable" minOccurs="0"/>
                <xsd:element ref="ns2:som_IsOpenInNewTab" minOccurs="0"/>
                <xsd:element ref="ns2:TaxCatchAll" minOccurs="0"/>
                <xsd:element ref="ns2:TaxCatchAllLabel" minOccurs="0"/>
                <xsd:element ref="ns2:kfc2e9f34b584e09a4dfad45193fd617" minOccurs="0"/>
                <xsd:element ref="ns2:k34b14aa96934db7a6567dc83a5ee0ba" minOccurs="0"/>
                <xsd:element ref="ns2:d8220c9e1229488886af245725860cbe" minOccurs="0"/>
                <xsd:element ref="ns3:SharedWithUsers" minOccurs="0"/>
                <xsd:element ref="ns3:SharedWithDetails" minOccurs="0"/>
                <xsd:element ref="ns4:MediaServiceMetadata" minOccurs="0"/>
                <xsd:element ref="ns4:MediaServiceFastMetadata" minOccurs="0"/>
                <xsd:element ref="ns4:SearchTerms" minOccurs="0"/>
                <xsd:element ref="ns4: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ma:readOnly="false">
      <xsd:simpleType>
        <xsd:restriction base="dms:Text">
          <xsd:maxLength value="255"/>
        </xsd:restriction>
      </xsd:simpleType>
    </xsd:element>
    <xsd:element name="Document_x0020_Description" ma:index="3" nillable="true" ma:displayName="Document Description" ma:internalName="Document_x0020_Description" ma:readOnly="false">
      <xsd:simpleType>
        <xsd:restriction base="dms:Note">
          <xsd:maxLength value="255"/>
        </xsd:restriction>
      </xsd:simpleType>
    </xsd:element>
    <xsd:element name="Page_x0020_Sort_x0020_Order" ma:index="6" nillable="true" ma:displayName="Page Sort Order" ma:internalName="Page_x0020_Sort_x0020_Order" ma:readOnly="false" ma:percentage="FALSE">
      <xsd:simpleType>
        <xsd:restriction base="dms:Number"/>
      </xsd:simpleType>
    </xsd:element>
    <xsd:element name="Sort_x0020_Order" ma:index="7" nillable="true" ma:displayName="Sort Order" ma:internalName="Sort_x0020_Order" ma:readOnly="false" ma:percentage="FALSE">
      <xsd:simpleType>
        <xsd:restriction base="dms:Number"/>
      </xsd:simpleType>
    </xsd:element>
    <xsd:element name="Fillable" ma:index="8" nillable="true" ma:displayName="Fillable" ma:format="Dropdown" ma:internalName="Fillable" ma:readOnly="false">
      <xsd:simpleType>
        <xsd:restriction base="dms:Choice">
          <xsd:enumeration value="Nonfillable"/>
          <xsd:enumeration value="Fillable"/>
        </xsd:restriction>
      </xsd:simpleType>
    </xsd:element>
    <xsd:element name="som_IsOpenInNewTab" ma:index="9" nillable="true" ma:displayName="Open Link In New Tab" ma:default="0" ma:internalName="som_IsOpenInNewTab" ma:readOnly="false">
      <xsd:simpleType>
        <xsd:restriction base="dms:Boolean"/>
      </xsd:simpleType>
    </xsd:element>
    <xsd:element name="TaxCatchAll" ma:index="17" nillable="true" ma:displayName="Taxonomy Catch All Column" ma:hidden="true" ma:list="{15719519-3d8e-4131-9e47-a295f271dbe9}" ma:internalName="TaxCatchAll" ma:readOnly="false" ma:showField="CatchAllData" ma:web="ca2ed2d5-d26b-4d54-83fe-077939e70b02">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15719519-3d8e-4131-9e47-a295f271dbe9}" ma:internalName="TaxCatchAllLabel" ma:readOnly="false" ma:showField="CatchAllDataLabel" ma:web="ca2ed2d5-d26b-4d54-83fe-077939e70b02">
      <xsd:complexType>
        <xsd:complexContent>
          <xsd:extension base="dms:MultiChoiceLookup">
            <xsd:sequence>
              <xsd:element name="Value" type="dms:Lookup" maxOccurs="unbounded" minOccurs="0" nillable="true"/>
            </xsd:sequence>
          </xsd:extension>
        </xsd:complexContent>
      </xsd:complexType>
    </xsd:element>
    <xsd:element name="kfc2e9f34b584e09a4dfad45193fd617" ma:index="19" nillable="true" ma:taxonomy="true" ma:internalName="kfc2e9f34b584e09a4dfad45193fd617" ma:taxonomyFieldName="Content_x0020_Audience" ma:displayName="Content Audience" ma:readOnly="fals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20" nillable="true" ma:taxonomy="true" ma:internalName="k34b14aa96934db7a6567dc83a5ee0ba" ma:taxonomyFieldName="Topic_x0020_Keyword" ma:displayName="Topic Keyword" ma:readOnly="false"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21" nillable="true" ma:taxonomy="true" ma:internalName="d8220c9e1229488886af245725860cbe" ma:taxonomyFieldName="Type_x0020_Keyword" ma:displayName="Type Keyword" ma:readOnly="false"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2ed2d5-d26b-4d54-83fe-077939e70b0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56c680-230c-4ed8-be3e-96c91d57d31e"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SearchTerms" ma:index="26" nillable="true" ma:displayName="Search Terms" ma:format="Dropdown" ma:internalName="SearchTerms">
      <xsd:simpleType>
        <xsd:restriction base="dms:Note">
          <xsd:maxLength value="255"/>
        </xsd:restriction>
      </xsd:simpleType>
    </xsd:element>
    <xsd:element name="FormNumber" ma:index="27" nillable="true" ma:displayName="Form Number" ma:format="Dropdown" ma:internalName="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om_IsOpenInNewTab xmlns="e4664c3e-f049-4574-bd7d-7499d2032cca">false</som_IsOpenInNewTab>
    <Page_x0020_Sort_x0020_Order xmlns="e4664c3e-f049-4574-bd7d-7499d2032cca" xsi:nil="true"/>
    <SearchTerms xmlns="d356c680-230c-4ed8-be3e-96c91d57d31e" xsi:nil="true"/>
    <Sort_x0020_Order xmlns="e4664c3e-f049-4574-bd7d-7499d2032cca" xsi:nil="true"/>
    <Document_x0020_Number xmlns="e4664c3e-f049-4574-bd7d-7499d2032cca" xsi:nil="true"/>
    <Document_x0020_Description xmlns="e4664c3e-f049-4574-bd7d-7499d2032cca" xsi:nil="true"/>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TaxCatchAllLabel xmlns="e4664c3e-f049-4574-bd7d-7499d2032cca" xsi:nil="true"/>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ROP</TermName>
          <TermId xmlns="http://schemas.microsoft.com/office/infopath/2007/PartnerControls">131d3fe4-28ab-487a-98e3-9d9f09673430</TermId>
        </TermInfo>
        <TermInfo xmlns="http://schemas.microsoft.com/office/infopath/2007/PartnerControls">
          <TermName xmlns="http://schemas.microsoft.com/office/infopath/2007/PartnerControls">Title V</TermName>
          <TermId xmlns="http://schemas.microsoft.com/office/infopath/2007/PartnerControls">0fc6c26f-540c-4f21-865e-632aa75f148e</TermId>
        </TermInfo>
      </Terms>
    </k34b14aa96934db7a6567dc83a5ee0ba>
    <FormNumber xmlns="d356c680-230c-4ed8-be3e-96c91d57d31e">Template</FormNumber>
    <Fillable xmlns="e4664c3e-f049-4574-bd7d-7499d2032cca" xsi:nil="true"/>
    <TaxCatchAll xmlns="e4664c3e-f049-4574-bd7d-7499d2032cca">
      <Value>47</Value>
      <Value>44</Value>
      <Value>8</Value>
      <Value>143</Value>
      <Value>546</Value>
      <Value>544</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CF3D65-F371-488D-BAFC-0A895A460E98}">
  <ds:schemaRefs>
    <ds:schemaRef ds:uri="Microsoft.SharePoint.Taxonomy.ContentTypeSync"/>
  </ds:schemaRefs>
</ds:datastoreItem>
</file>

<file path=customXml/itemProps2.xml><?xml version="1.0" encoding="utf-8"?>
<ds:datastoreItem xmlns:ds="http://schemas.openxmlformats.org/officeDocument/2006/customXml" ds:itemID="{EC2E134E-0701-493B-A25C-F5532EEF1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ca2ed2d5-d26b-4d54-83fe-077939e70b02"/>
    <ds:schemaRef ds:uri="d356c680-230c-4ed8-be3e-96c91d57d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customXml/itemProps4.xml><?xml version="1.0" encoding="utf-8"?>
<ds:datastoreItem xmlns:ds="http://schemas.openxmlformats.org/officeDocument/2006/customXml" ds:itemID="{34057090-7991-4B45-B376-D0BCDCDBFD83}">
  <ds:schemaRefs>
    <ds:schemaRef ds:uri="http://schemas.microsoft.com/office/2006/metadata/properties"/>
    <ds:schemaRef ds:uri="http://schemas.microsoft.com/office/infopath/2007/PartnerControls"/>
    <ds:schemaRef ds:uri="e4664c3e-f049-4574-bd7d-7499d2032cca"/>
    <ds:schemaRef ds:uri="d356c680-230c-4ed8-be3e-96c91d57d31e"/>
  </ds:schemaRefs>
</ds:datastoreItem>
</file>

<file path=customXml/itemProps5.xml><?xml version="1.0" encoding="utf-8"?>
<ds:datastoreItem xmlns:ds="http://schemas.openxmlformats.org/officeDocument/2006/customXml" ds:itemID="{CF48532D-EDA7-410E-86DE-ADBFB6795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ROP Staff Report (2).dotm</Template>
  <TotalTime>6</TotalTime>
  <Pages>9</Pages>
  <Words>2492</Words>
  <Characters>14483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16942</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Karl, Matthew (EGLE)</dc:creator>
  <cp:keywords>AQD-AIR-ROP-TITLE V, Permit,Staff Report</cp:keywords>
  <dc:description/>
  <cp:lastModifiedBy>Orent, Kelly (EGLE)</cp:lastModifiedBy>
  <cp:revision>3</cp:revision>
  <cp:lastPrinted>2013-10-29T20:42:00Z</cp:lastPrinted>
  <dcterms:created xsi:type="dcterms:W3CDTF">2024-04-15T15:01:00Z</dcterms:created>
  <dcterms:modified xsi:type="dcterms:W3CDTF">2024-04-16T15:28:00Z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y fmtid="{D5CDD505-2E9C-101B-9397-08002B2CF9AE}" pid="9" name="Revision Date">
    <vt:filetime>2023-05-11T04:00:00Z</vt:filetime>
  </property>
  <property fmtid="{D5CDD505-2E9C-101B-9397-08002B2CF9AE}" pid="10" name="DEQ Program">
    <vt:lpwstr>546;#Renewable Operating Permit|e3952339-3d0b-44e4-9015-4592119e87d2</vt:lpwstr>
  </property>
  <property fmtid="{D5CDD505-2E9C-101B-9397-08002B2CF9AE}" pid="11" name="ContentTypeId">
    <vt:lpwstr>0x010100D80FC88A48A3EA4889EF01C87FCFD42A03007F72A111FED8BB4FA5C8BCCB3C956A77</vt:lpwstr>
  </property>
  <property fmtid="{D5CDD505-2E9C-101B-9397-08002B2CF9AE}" pid="12" name="_ExtendedDescription">
    <vt:lpwstr/>
  </property>
  <property fmtid="{D5CDD505-2E9C-101B-9397-08002B2CF9AE}" pid="13" name="Topic Keyword">
    <vt:lpwstr>44;#ROP|131d3fe4-28ab-487a-98e3-9d9f09673430;#544;#Title V|0fc6c26f-540c-4f21-865e-632aa75f148e</vt:lpwstr>
  </property>
  <property fmtid="{D5CDD505-2E9C-101B-9397-08002B2CF9AE}" pid="14" name="Type Keyword">
    <vt:lpwstr>143;#Template|e539783f-af07-412f-87c2-3668423b470a</vt:lpwstr>
  </property>
  <property fmtid="{D5CDD505-2E9C-101B-9397-08002B2CF9AE}" pid="15" name="c1685ed2583c4d05a3e498ad3232b3c2">
    <vt:lpwstr>AQD|0708c424-fe7b-4abf-892c-ecb557f1cb1c</vt:lpwstr>
  </property>
  <property fmtid="{D5CDD505-2E9C-101B-9397-08002B2CF9AE}" pid="16" name="u93d">
    <vt:lpwstr>Revised Source Description section under Total Stationary Sources Emissions table</vt:lpwstr>
  </property>
  <property fmtid="{D5CDD505-2E9C-101B-9397-08002B2CF9AE}" pid="17" name="Audience1">
    <vt:lpwstr>Public</vt:lpwstr>
  </property>
  <property fmtid="{D5CDD505-2E9C-101B-9397-08002B2CF9AE}" pid="18" name="URL">
    <vt:lpwstr/>
  </property>
  <property fmtid="{D5CDD505-2E9C-101B-9397-08002B2CF9AE}" pid="19" name="Content Audience">
    <vt:lpwstr>8;#All Employees|6bc884fa-9dfb-49ce-af07-824c4a8a1ac0</vt:lpwstr>
  </property>
  <property fmtid="{D5CDD505-2E9C-101B-9397-08002B2CF9AE}" pid="20" name="DEQ Division">
    <vt:lpwstr>47;#AQD|0708c424-fe7b-4abf-892c-ecb557f1cb1c</vt:lpwstr>
  </property>
  <property fmtid="{D5CDD505-2E9C-101B-9397-08002B2CF9AE}" pid="21" name="l514cf752f374be6b0694b290983c47e">
    <vt:lpwstr>Renewable Operating Permit|e3952339-3d0b-44e4-9015-4592119e87d2</vt:lpwstr>
  </property>
</Properties>
</file>