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9994C" w14:textId="77777777" w:rsidR="00A32732" w:rsidRPr="00A32732" w:rsidRDefault="00000000" w:rsidP="00845853">
      <w:pPr>
        <w:spacing w:before="120"/>
        <w:rPr>
          <w:rFonts w:ascii="Arial" w:eastAsia="Times New Roman" w:hAnsi="Arial" w:cs="Times New Roman"/>
          <w:b/>
        </w:rPr>
      </w:pPr>
      <w:bookmarkStart w:id="0" w:name="_Toc2571645"/>
      <w:bookmarkStart w:id="1" w:name="_Toc852397"/>
      <w:bookmarkStart w:id="2" w:name="_Toc852728"/>
      <w:bookmarkStart w:id="3" w:name="_Toc1453515"/>
      <w:r w:rsidRPr="00A32732">
        <w:rPr>
          <w:rFonts w:ascii="Arial" w:eastAsia="Times New Roman" w:hAnsi="Arial" w:cs="Times New Roman"/>
          <w:b/>
        </w:rPr>
        <w:t xml:space="preserve">This is the Flexible Group Landfill Template for New Source Performance Standards (NSPS), Subpart XXX, Municipal Solid Waste (MSW) landfills which have Non-methane organic compounds (NMOC) emissions less than 34 megagrams per year.  These landfills have commenced construction, reconstruction, or modification after July 17, 2014 is subject to NSPS Subpart XXX.  </w:t>
      </w:r>
    </w:p>
    <w:p w14:paraId="77A9160A" w14:textId="77777777" w:rsidR="00A32732" w:rsidRPr="00A32732" w:rsidRDefault="00000000" w:rsidP="00845853">
      <w:pPr>
        <w:spacing w:before="120"/>
        <w:rPr>
          <w:rFonts w:ascii="Arial" w:eastAsia="Times New Roman" w:hAnsi="Arial" w:cs="Times New Roman"/>
          <w:b/>
        </w:rPr>
      </w:pPr>
      <w:r w:rsidRPr="00A32732">
        <w:rPr>
          <w:rFonts w:ascii="Arial" w:eastAsia="Times New Roman" w:hAnsi="Arial" w:cs="Times New Roman"/>
          <w:b/>
        </w:rPr>
        <w:t xml:space="preserve">This template is meant to be inserted into the ROP shell document along with the associated parts and appendices that are specific to this template.  </w:t>
      </w:r>
    </w:p>
    <w:p w14:paraId="492E8DC8" w14:textId="77777777" w:rsidR="00A32732" w:rsidRPr="00A32732" w:rsidRDefault="00000000" w:rsidP="00845853">
      <w:pPr>
        <w:spacing w:before="120"/>
        <w:rPr>
          <w:rFonts w:ascii="Arial" w:eastAsia="Times New Roman" w:hAnsi="Arial" w:cs="Times New Roman"/>
          <w:b/>
        </w:rPr>
      </w:pPr>
      <w:r w:rsidRPr="00A32732">
        <w:rPr>
          <w:rFonts w:ascii="Arial" w:eastAsia="Times New Roman" w:hAnsi="Arial" w:cs="Times New Roman"/>
          <w:b/>
        </w:rPr>
        <w:t xml:space="preserve">Included is the emission unit name, description, and some instructions for Part C, the emission unit summary table.  Other emission units may be needed for the ROP.  The template requires the landfill to continually calculate its NMOC emissions and submit the results annually.  </w:t>
      </w:r>
    </w:p>
    <w:p w14:paraId="5CE728A4" w14:textId="77777777" w:rsidR="00A32732" w:rsidRPr="00A32732" w:rsidRDefault="00000000" w:rsidP="00845853">
      <w:pPr>
        <w:spacing w:before="120"/>
        <w:rPr>
          <w:rFonts w:ascii="Arial" w:eastAsia="Times New Roman" w:hAnsi="Arial" w:cs="Times New Roman"/>
          <w:b/>
        </w:rPr>
      </w:pPr>
      <w:r w:rsidRPr="00A32732">
        <w:rPr>
          <w:rFonts w:ascii="Arial" w:eastAsia="Times New Roman" w:hAnsi="Arial" w:cs="Times New Roman"/>
          <w:b/>
        </w:rPr>
        <w:t>The requirements for operating the collection and control system for the landfill are not included in this table.  If the facility enters the operational stage during the time of the ROP, it will have to comply with those applicable conditions of the Subpart including submission of an amended ROP application.</w:t>
      </w:r>
    </w:p>
    <w:p w14:paraId="7B22D66C" w14:textId="1C2966A9" w:rsidR="00A32732" w:rsidRPr="00A32732" w:rsidRDefault="00000000" w:rsidP="00845853">
      <w:pPr>
        <w:spacing w:before="120"/>
        <w:rPr>
          <w:rFonts w:ascii="Arial" w:eastAsia="Times New Roman" w:hAnsi="Arial" w:cs="Arial"/>
        </w:rPr>
      </w:pPr>
      <w:r w:rsidRPr="00A32732">
        <w:rPr>
          <w:rFonts w:ascii="Arial" w:eastAsia="Times New Roman" w:hAnsi="Arial" w:cs="Arial"/>
          <w:b/>
          <w:color w:val="0000FF"/>
        </w:rPr>
        <w:t xml:space="preserve">Blue text is guidance or notes on the use of the template.  </w:t>
      </w:r>
      <w:r w:rsidR="00845853" w:rsidRPr="00845853">
        <w:rPr>
          <w:rFonts w:ascii="Arial" w:eastAsia="Times New Roman" w:hAnsi="Arial" w:cs="Arial"/>
          <w:b/>
          <w:color w:val="0000FF"/>
        </w:rPr>
        <w:t>DELETE ALL BLUE TEXT PRIOR TO ISSUING THE FINAL PERMIT OR SUBMITTING IT WITH A PERMIT APPLICATION</w:t>
      </w:r>
      <w:r w:rsidRPr="00A32732">
        <w:rPr>
          <w:rFonts w:ascii="Arial" w:eastAsia="Times New Roman" w:hAnsi="Arial" w:cs="Arial"/>
          <w:b/>
          <w:color w:val="0000FF"/>
        </w:rPr>
        <w:t xml:space="preserve">.  Read through all conditions.  If this template is being used for an ROP Reopening or Renewal, </w:t>
      </w:r>
      <w:r w:rsidR="00845853" w:rsidRPr="00845853">
        <w:rPr>
          <w:rFonts w:ascii="Arial" w:eastAsia="Times New Roman" w:hAnsi="Arial" w:cs="Arial"/>
          <w:b/>
          <w:color w:val="0000FF"/>
        </w:rPr>
        <w:t>AND</w:t>
      </w:r>
      <w:r w:rsidRPr="00A32732">
        <w:rPr>
          <w:rFonts w:ascii="Arial" w:eastAsia="Times New Roman" w:hAnsi="Arial" w:cs="Arial"/>
          <w:b/>
          <w:color w:val="0000FF"/>
        </w:rPr>
        <w:t xml:space="preserve"> the conditions were established in a PTI, the appropriate footnotes which reference enforceability must be added to each applicable condition in the template.</w:t>
      </w:r>
    </w:p>
    <w:p w14:paraId="5AF288E2" w14:textId="77777777" w:rsidR="00A32732" w:rsidRPr="00A32732" w:rsidRDefault="00000000" w:rsidP="00845853">
      <w:pPr>
        <w:spacing w:before="120"/>
        <w:rPr>
          <w:rFonts w:ascii="Arial" w:eastAsia="Times New Roman" w:hAnsi="Arial" w:cs="Times New Roman"/>
        </w:rPr>
      </w:pPr>
      <w:r w:rsidRPr="00766B2A">
        <w:rPr>
          <w:rFonts w:ascii="Arial" w:eastAsia="Times New Roman" w:hAnsi="Arial" w:cs="Times New Roman"/>
          <w:b/>
          <w:color w:val="ED0000"/>
        </w:rPr>
        <w:t>Red text identifies options.  Select the option that applies to the source and change the text to black.  Delete red text that does not apply and renumber conditions if necessary</w:t>
      </w:r>
    </w:p>
    <w:p w14:paraId="5ACED637" w14:textId="77777777" w:rsidR="00A32732" w:rsidRPr="00A32732" w:rsidRDefault="00000000" w:rsidP="00A32732">
      <w:pPr>
        <w:spacing w:after="0" w:line="240" w:lineRule="auto"/>
        <w:rPr>
          <w:rFonts w:ascii="Arial" w:eastAsia="Times New Roman" w:hAnsi="Arial" w:cs="Times New Roman"/>
          <w:szCs w:val="20"/>
        </w:rPr>
      </w:pPr>
      <w:r w:rsidRPr="00A32732">
        <w:rPr>
          <w:rFonts w:ascii="Arial" w:eastAsia="Times New Roman" w:hAnsi="Arial" w:cs="Times New Roman"/>
          <w:szCs w:val="20"/>
        </w:rPr>
        <w:br w:type="page"/>
      </w:r>
    </w:p>
    <w:p w14:paraId="3D6A2D8C" w14:textId="77777777" w:rsidR="00A32732" w:rsidRPr="00A32732" w:rsidRDefault="00000000" w:rsidP="00845853">
      <w:pPr>
        <w:pStyle w:val="Heading3"/>
      </w:pPr>
      <w:bookmarkStart w:id="4" w:name="_Toc32635125"/>
      <w:r w:rsidRPr="00A32732">
        <w:lastRenderedPageBreak/>
        <w:t>C.  EMISSION UNIT SPECIAL CONDITIONS</w:t>
      </w:r>
      <w:bookmarkEnd w:id="4"/>
    </w:p>
    <w:p w14:paraId="2B4934A6"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Part C outlines terms and conditions that are specific to individual emission units listed in the Emission Unit Summary Table.  The permittee is subject to the special conditions for each emission unit in addition to the General Conditions in Part A and any other terms and conditions contained in this ROP.  </w:t>
      </w:r>
    </w:p>
    <w:p w14:paraId="6232E64A"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The permittee shall comply with all specific details in the special conditions and the underlying applicable requirements cited.  If a specific condition type does not apply, NA (not applicable) has been used in the table.  If there are no conditions specific to individual emission units, this section will be left blank.  </w:t>
      </w:r>
    </w:p>
    <w:p w14:paraId="4970032C" w14:textId="77777777" w:rsidR="00A32732" w:rsidRPr="00766B2A" w:rsidRDefault="00000000" w:rsidP="00845853">
      <w:pPr>
        <w:spacing w:before="120"/>
        <w:rPr>
          <w:rFonts w:ascii="Arial" w:eastAsia="Times New Roman" w:hAnsi="Arial" w:cs="Times New Roman"/>
          <w:b/>
          <w:color w:val="ED0000"/>
          <w:sz w:val="20"/>
          <w:szCs w:val="20"/>
        </w:rPr>
      </w:pPr>
      <w:bookmarkStart w:id="5" w:name="_Hlk11144641"/>
      <w:r w:rsidRPr="00766B2A">
        <w:rPr>
          <w:rFonts w:ascii="Arial" w:eastAsia="Times New Roman" w:hAnsi="Arial" w:cs="Times New Roman"/>
          <w:b/>
          <w:color w:val="ED0000"/>
          <w:szCs w:val="20"/>
        </w:rPr>
        <w:t>{REMOVE ANY EMISSION UNITS THAT ARE NOT AT THE SOURCE OR ADD EMISSION UNITS THAT ARE AT THE SOURCE}</w:t>
      </w:r>
    </w:p>
    <w:p w14:paraId="08FA5FDA" w14:textId="77777777" w:rsidR="00A32732" w:rsidRPr="006874F8" w:rsidRDefault="00000000" w:rsidP="00845853">
      <w:pPr>
        <w:pStyle w:val="Caption"/>
      </w:pPr>
      <w:bookmarkStart w:id="6" w:name="_Toc852395"/>
      <w:bookmarkStart w:id="7" w:name="_Toc852726"/>
      <w:bookmarkStart w:id="8" w:name="_Toc2571643"/>
      <w:bookmarkStart w:id="9" w:name="_Toc32635126"/>
      <w:bookmarkEnd w:id="5"/>
      <w:r w:rsidRPr="006874F8">
        <w:t>EMISSION UNIT SUMMARY TABLE</w:t>
      </w:r>
      <w:bookmarkEnd w:id="6"/>
      <w:bookmarkEnd w:id="7"/>
      <w:bookmarkEnd w:id="8"/>
      <w:bookmarkEnd w:id="9"/>
    </w:p>
    <w:p w14:paraId="083BD65C" w14:textId="77777777" w:rsidR="00A32732" w:rsidRPr="00A32732" w:rsidRDefault="00000000" w:rsidP="00845853">
      <w:pPr>
        <w:spacing w:before="120"/>
        <w:rPr>
          <w:rFonts w:ascii="Arial" w:eastAsia="Times New Roman" w:hAnsi="Arial" w:cs="Times New Roman"/>
          <w:szCs w:val="20"/>
        </w:rPr>
      </w:pPr>
      <w:r w:rsidRPr="00A32732">
        <w:rPr>
          <w:rFonts w:ascii="Arial" w:eastAsia="Times New Roman" w:hAnsi="Arial" w:cs="Times New Roman"/>
          <w:sz w:val="20"/>
          <w:szCs w:val="20"/>
        </w:rPr>
        <w:t>The descriptions provided below are for informational purposes and do not constitute enforceable conditions.</w:t>
      </w:r>
    </w:p>
    <w:tbl>
      <w:tblPr>
        <w:tblW w:w="1044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939"/>
        <w:gridCol w:w="4328"/>
        <w:gridCol w:w="1890"/>
        <w:gridCol w:w="2283"/>
      </w:tblGrid>
      <w:tr w:rsidR="00735572" w14:paraId="50418A2E" w14:textId="77777777" w:rsidTr="00845853">
        <w:trPr>
          <w:cantSplit/>
          <w:tblHeader/>
        </w:trPr>
        <w:tc>
          <w:tcPr>
            <w:tcW w:w="1939" w:type="dxa"/>
            <w:shd w:val="pct10" w:color="auto" w:fill="auto"/>
            <w:hideMark/>
          </w:tcPr>
          <w:p w14:paraId="3240436F"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Emission Unit ID</w:t>
            </w:r>
          </w:p>
        </w:tc>
        <w:tc>
          <w:tcPr>
            <w:tcW w:w="4328" w:type="dxa"/>
            <w:shd w:val="pct10" w:color="auto" w:fill="auto"/>
            <w:hideMark/>
          </w:tcPr>
          <w:p w14:paraId="6667B57D"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Emission Unit Description</w:t>
            </w:r>
          </w:p>
          <w:p w14:paraId="33AA7725" w14:textId="77777777" w:rsidR="00A32732" w:rsidRPr="00A32732" w:rsidRDefault="00000000" w:rsidP="00845853">
            <w:pPr>
              <w:spacing w:before="60" w:after="60"/>
              <w:jc w:val="center"/>
              <w:rPr>
                <w:rFonts w:ascii="Arial" w:eastAsia="Times New Roman" w:hAnsi="Arial" w:cs="Times New Roman"/>
                <w:b/>
                <w:sz w:val="18"/>
                <w:szCs w:val="18"/>
              </w:rPr>
            </w:pPr>
            <w:r w:rsidRPr="00A32732">
              <w:rPr>
                <w:rFonts w:ascii="Arial" w:eastAsia="Times New Roman" w:hAnsi="Arial" w:cs="Arial"/>
                <w:b/>
                <w:sz w:val="18"/>
                <w:szCs w:val="18"/>
              </w:rPr>
              <w:t>(I</w:t>
            </w:r>
            <w:r w:rsidRPr="00A32732">
              <w:rPr>
                <w:rFonts w:ascii="Arial" w:eastAsia="Times New Roman" w:hAnsi="Arial" w:cs="Times New Roman"/>
                <w:b/>
                <w:sz w:val="18"/>
                <w:szCs w:val="18"/>
              </w:rPr>
              <w:t>ncluding Process Equipment &amp; Control Device(s))</w:t>
            </w:r>
          </w:p>
        </w:tc>
        <w:tc>
          <w:tcPr>
            <w:tcW w:w="1890" w:type="dxa"/>
            <w:shd w:val="pct10" w:color="auto" w:fill="auto"/>
            <w:hideMark/>
          </w:tcPr>
          <w:p w14:paraId="2A8073DE" w14:textId="5E1EE8DE"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Installation</w:t>
            </w:r>
            <w:r w:rsidR="00845853">
              <w:rPr>
                <w:rFonts w:ascii="Arial" w:eastAsia="Times New Roman" w:hAnsi="Arial" w:cs="Arial"/>
                <w:b/>
                <w:sz w:val="20"/>
                <w:szCs w:val="20"/>
              </w:rPr>
              <w:t xml:space="preserve"> </w:t>
            </w:r>
            <w:r w:rsidRPr="00A32732">
              <w:rPr>
                <w:rFonts w:ascii="Arial" w:eastAsia="Times New Roman" w:hAnsi="Arial" w:cs="Arial"/>
                <w:b/>
                <w:sz w:val="20"/>
                <w:szCs w:val="20"/>
              </w:rPr>
              <w:t>Date/</w:t>
            </w:r>
            <w:r w:rsidR="00845853">
              <w:rPr>
                <w:rFonts w:ascii="Arial" w:eastAsia="Times New Roman" w:hAnsi="Arial" w:cs="Arial"/>
                <w:b/>
                <w:sz w:val="20"/>
                <w:szCs w:val="20"/>
              </w:rPr>
              <w:t xml:space="preserve"> </w:t>
            </w:r>
            <w:r w:rsidRPr="00A32732">
              <w:rPr>
                <w:rFonts w:ascii="Arial" w:eastAsia="Times New Roman" w:hAnsi="Arial" w:cs="Arial"/>
                <w:b/>
                <w:sz w:val="20"/>
                <w:szCs w:val="20"/>
              </w:rPr>
              <w:t>Modification Date</w:t>
            </w:r>
          </w:p>
        </w:tc>
        <w:tc>
          <w:tcPr>
            <w:tcW w:w="2283" w:type="dxa"/>
            <w:shd w:val="pct10" w:color="auto" w:fill="auto"/>
            <w:hideMark/>
          </w:tcPr>
          <w:p w14:paraId="1CE9CBF0"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Flexible Group ID</w:t>
            </w:r>
          </w:p>
        </w:tc>
      </w:tr>
      <w:tr w:rsidR="00735572" w14:paraId="5AB376AC" w14:textId="77777777" w:rsidTr="00845853">
        <w:trPr>
          <w:cantSplit/>
        </w:trPr>
        <w:tc>
          <w:tcPr>
            <w:tcW w:w="1939" w:type="dxa"/>
            <w:hideMark/>
          </w:tcPr>
          <w:p w14:paraId="7D5EF84C" w14:textId="77777777" w:rsidR="00A32732" w:rsidRPr="00A32732" w:rsidRDefault="00000000" w:rsidP="00845853">
            <w:pPr>
              <w:spacing w:before="60" w:after="60"/>
              <w:rPr>
                <w:rFonts w:ascii="Arial" w:eastAsia="Times New Roman" w:hAnsi="Arial" w:cs="Arial"/>
                <w:sz w:val="20"/>
                <w:szCs w:val="20"/>
              </w:rPr>
            </w:pPr>
            <w:r w:rsidRPr="00A32732">
              <w:rPr>
                <w:rFonts w:ascii="Arial" w:eastAsia="Times New Roman" w:hAnsi="Arial" w:cs="Arial"/>
                <w:sz w:val="20"/>
                <w:szCs w:val="20"/>
              </w:rPr>
              <w:t>EULANDFILL</w:t>
            </w:r>
          </w:p>
        </w:tc>
        <w:tc>
          <w:tcPr>
            <w:tcW w:w="4328" w:type="dxa"/>
            <w:hideMark/>
          </w:tcPr>
          <w:p w14:paraId="3F6889E6" w14:textId="65E42D77" w:rsidR="00A32732" w:rsidRPr="00A32732" w:rsidRDefault="00000000" w:rsidP="00845853">
            <w:pPr>
              <w:spacing w:before="60" w:after="60"/>
              <w:rPr>
                <w:rFonts w:ascii="Arial" w:eastAsia="Times New Roman" w:hAnsi="Arial" w:cs="Arial"/>
                <w:sz w:val="20"/>
                <w:szCs w:val="20"/>
              </w:rPr>
            </w:pPr>
            <w:r w:rsidRPr="00A32732">
              <w:rPr>
                <w:rFonts w:ascii="Arial" w:eastAsia="Times New Roman" w:hAnsi="Arial" w:cs="Times New Roman"/>
                <w:sz w:val="20"/>
                <w:szCs w:val="20"/>
              </w:rPr>
              <w:t>A Municipal Solid Waste (MSW) landfill that commenced construction, reconstruction, or modification after July 17, 2014.  The MSW landfill has a design capacity greater than 2.5 million megagrams and 2.5 million cubic meters, and actual NMOC emissions less than 34 megagrams per year.  This MSW landfill is subject to the requirements of 40</w:t>
            </w:r>
            <w:r w:rsidR="00845853">
              <w:rPr>
                <w:rFonts w:ascii="Arial" w:eastAsia="Times New Roman" w:hAnsi="Arial" w:cs="Times New Roman"/>
                <w:sz w:val="20"/>
                <w:szCs w:val="20"/>
              </w:rPr>
              <w:t> </w:t>
            </w:r>
            <w:r w:rsidRPr="00A32732">
              <w:rPr>
                <w:rFonts w:ascii="Arial" w:eastAsia="Times New Roman" w:hAnsi="Arial" w:cs="Times New Roman"/>
                <w:sz w:val="20"/>
                <w:szCs w:val="20"/>
              </w:rPr>
              <w:t>CFR Part 60, Subpart XXX.</w:t>
            </w:r>
          </w:p>
        </w:tc>
        <w:tc>
          <w:tcPr>
            <w:tcW w:w="1890" w:type="dxa"/>
            <w:hideMark/>
          </w:tcPr>
          <w:p w14:paraId="287F13FF" w14:textId="77777777" w:rsidR="00A32732" w:rsidRPr="00766B2A" w:rsidRDefault="00000000" w:rsidP="00845853">
            <w:pPr>
              <w:spacing w:before="60" w:after="60"/>
              <w:jc w:val="center"/>
              <w:rPr>
                <w:rFonts w:ascii="Arial" w:eastAsia="Times New Roman" w:hAnsi="Arial" w:cs="Arial"/>
                <w:color w:val="ED0000"/>
                <w:sz w:val="20"/>
                <w:szCs w:val="20"/>
              </w:rPr>
            </w:pPr>
            <w:r w:rsidRPr="00766B2A">
              <w:rPr>
                <w:rFonts w:ascii="Arial" w:eastAsia="Times New Roman" w:hAnsi="Arial" w:cs="Arial"/>
                <w:color w:val="ED0000"/>
                <w:sz w:val="20"/>
                <w:szCs w:val="20"/>
              </w:rPr>
              <w:t>{Use mm-dd-yyyy}</w:t>
            </w:r>
          </w:p>
        </w:tc>
        <w:tc>
          <w:tcPr>
            <w:tcW w:w="2283" w:type="dxa"/>
            <w:hideMark/>
          </w:tcPr>
          <w:p w14:paraId="2E2EF681" w14:textId="77777777" w:rsidR="00A32732" w:rsidRPr="00766B2A" w:rsidRDefault="00000000" w:rsidP="00845853">
            <w:pPr>
              <w:spacing w:before="60" w:after="60"/>
              <w:rPr>
                <w:rFonts w:ascii="Arial" w:eastAsia="Times New Roman" w:hAnsi="Arial" w:cs="Arial"/>
                <w:color w:val="ED0000"/>
                <w:sz w:val="20"/>
                <w:szCs w:val="20"/>
              </w:rPr>
            </w:pPr>
            <w:r w:rsidRPr="00766B2A">
              <w:rPr>
                <w:rFonts w:ascii="Arial" w:eastAsia="Times New Roman" w:hAnsi="Arial" w:cs="Arial"/>
                <w:color w:val="ED0000"/>
                <w:sz w:val="20"/>
                <w:szCs w:val="20"/>
              </w:rPr>
              <w:t>FGLANDFILL-XXX&lt;34</w:t>
            </w:r>
          </w:p>
        </w:tc>
      </w:tr>
    </w:tbl>
    <w:p w14:paraId="1E4F4352" w14:textId="77777777" w:rsidR="00A32732" w:rsidRPr="00A32732" w:rsidRDefault="00000000" w:rsidP="00A32732">
      <w:pPr>
        <w:spacing w:after="0" w:line="240" w:lineRule="auto"/>
        <w:rPr>
          <w:rFonts w:ascii="Arial" w:eastAsia="Times New Roman" w:hAnsi="Arial" w:cs="Times New Roman"/>
          <w:sz w:val="20"/>
          <w:szCs w:val="20"/>
        </w:rPr>
      </w:pPr>
      <w:r w:rsidRPr="00A32732">
        <w:rPr>
          <w:rFonts w:ascii="Arial" w:eastAsia="Times New Roman" w:hAnsi="Arial" w:cs="Times New Roman"/>
          <w:szCs w:val="20"/>
        </w:rPr>
        <w:br w:type="page"/>
      </w:r>
      <w:bookmarkStart w:id="10" w:name="_Toc852396"/>
      <w:bookmarkStart w:id="11" w:name="_Toc852727"/>
      <w:bookmarkStart w:id="12" w:name="_Toc2571644"/>
      <w:bookmarkStart w:id="13" w:name="_Toc427052387"/>
    </w:p>
    <w:p w14:paraId="61D650E5" w14:textId="77777777" w:rsidR="00A32732" w:rsidRPr="00A32732" w:rsidRDefault="00000000" w:rsidP="00845853">
      <w:pPr>
        <w:pStyle w:val="Heading3"/>
        <w:rPr>
          <w:sz w:val="20"/>
        </w:rPr>
      </w:pPr>
      <w:bookmarkStart w:id="14" w:name="_Toc427052388"/>
      <w:bookmarkEnd w:id="10"/>
      <w:bookmarkEnd w:id="11"/>
      <w:bookmarkEnd w:id="12"/>
      <w:bookmarkEnd w:id="13"/>
      <w:r w:rsidRPr="00A32732">
        <w:lastRenderedPageBreak/>
        <w:t xml:space="preserve">D.  FLEXIBLE GROUP </w:t>
      </w:r>
      <w:bookmarkEnd w:id="0"/>
      <w:r w:rsidRPr="00A32732">
        <w:t>SPECIAL CONDITIONS</w:t>
      </w:r>
      <w:bookmarkEnd w:id="14"/>
    </w:p>
    <w:p w14:paraId="35D6345B"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Part D outlines the terms and conditions that apply to more than one emission unit.  The permittee is subject to the special conditions for each flexible group in addition to the General Conditions in Part A and any other terms and conditions contained in this ROP.  </w:t>
      </w:r>
    </w:p>
    <w:p w14:paraId="15ACC18B"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The permittee shall comply with all specific details in the special conditions and the underlying applicable requirements cited.  If a specific condition type does not apply, NA (not applicable) has been used in the table.  If there are no special conditions that apply to more than one emission unit, this section will be left blank.  </w:t>
      </w:r>
    </w:p>
    <w:p w14:paraId="7F9EA9B6" w14:textId="77777777" w:rsidR="00A32732" w:rsidRPr="00A32732" w:rsidRDefault="00000000" w:rsidP="00845853">
      <w:pPr>
        <w:spacing w:before="120"/>
        <w:rPr>
          <w:rFonts w:ascii="Arial" w:eastAsia="Times New Roman" w:hAnsi="Arial" w:cs="Times New Roman"/>
          <w:sz w:val="20"/>
          <w:szCs w:val="20"/>
        </w:rPr>
      </w:pPr>
      <w:bookmarkStart w:id="15" w:name="_Toc1453518"/>
      <w:bookmarkEnd w:id="1"/>
      <w:bookmarkEnd w:id="2"/>
      <w:bookmarkEnd w:id="3"/>
      <w:r w:rsidRPr="00766B2A">
        <w:rPr>
          <w:rFonts w:ascii="Arial" w:eastAsia="Times New Roman" w:hAnsi="Arial" w:cs="Times New Roman"/>
          <w:b/>
          <w:color w:val="ED0000"/>
          <w:sz w:val="20"/>
          <w:szCs w:val="20"/>
        </w:rPr>
        <w:t>{REMOVE THIS TABLE IF THERE ARE NO FLEXIBLE GROUPS}</w:t>
      </w:r>
    </w:p>
    <w:p w14:paraId="04E19EE3" w14:textId="77777777" w:rsidR="00A32732" w:rsidRPr="006874F8" w:rsidRDefault="00000000" w:rsidP="00040DBE">
      <w:pPr>
        <w:pStyle w:val="Caption"/>
      </w:pPr>
      <w:bookmarkStart w:id="16" w:name="_Toc2571646"/>
      <w:bookmarkStart w:id="17" w:name="_Toc522874199"/>
      <w:r w:rsidRPr="006874F8">
        <w:t>FLEXIBLE GROUP SUMMARY TABLE</w:t>
      </w:r>
      <w:bookmarkEnd w:id="16"/>
      <w:bookmarkEnd w:id="17"/>
    </w:p>
    <w:p w14:paraId="5E991001"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The descriptions provided below are for informational purposes and do not constitute enforceable conditions.</w:t>
      </w:r>
    </w:p>
    <w:tbl>
      <w:tblPr>
        <w:tblW w:w="10301" w:type="dxa"/>
        <w:tblInd w:w="-23"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ayout w:type="fixed"/>
        <w:tblLook w:val="04A0" w:firstRow="1" w:lastRow="0" w:firstColumn="1" w:lastColumn="0" w:noHBand="0" w:noVBand="1"/>
      </w:tblPr>
      <w:tblGrid>
        <w:gridCol w:w="2471"/>
        <w:gridCol w:w="5130"/>
        <w:gridCol w:w="2700"/>
      </w:tblGrid>
      <w:tr w:rsidR="00735572" w14:paraId="7E3C280C" w14:textId="77777777" w:rsidTr="00845853">
        <w:trPr>
          <w:cantSplit/>
          <w:tblHeader/>
        </w:trPr>
        <w:tc>
          <w:tcPr>
            <w:tcW w:w="2471" w:type="dxa"/>
            <w:shd w:val="pct10" w:color="auto" w:fill="auto"/>
            <w:hideMark/>
          </w:tcPr>
          <w:p w14:paraId="13CE0C70"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Flexible Group ID</w:t>
            </w:r>
          </w:p>
        </w:tc>
        <w:tc>
          <w:tcPr>
            <w:tcW w:w="5130" w:type="dxa"/>
            <w:shd w:val="pct10" w:color="auto" w:fill="auto"/>
            <w:hideMark/>
          </w:tcPr>
          <w:p w14:paraId="62BFD397"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Flexible Group Description</w:t>
            </w:r>
          </w:p>
        </w:tc>
        <w:tc>
          <w:tcPr>
            <w:tcW w:w="2700" w:type="dxa"/>
            <w:shd w:val="pct10" w:color="auto" w:fill="auto"/>
            <w:hideMark/>
          </w:tcPr>
          <w:p w14:paraId="2B639E41" w14:textId="77777777" w:rsidR="00845853" w:rsidRDefault="00000000" w:rsidP="00845853">
            <w:pPr>
              <w:spacing w:before="60" w:after="0"/>
              <w:jc w:val="center"/>
              <w:rPr>
                <w:rFonts w:ascii="Arial" w:eastAsia="Times New Roman" w:hAnsi="Arial" w:cs="Arial"/>
                <w:b/>
                <w:sz w:val="20"/>
                <w:szCs w:val="20"/>
              </w:rPr>
            </w:pPr>
            <w:r w:rsidRPr="00A32732">
              <w:rPr>
                <w:rFonts w:ascii="Arial" w:eastAsia="Times New Roman" w:hAnsi="Arial" w:cs="Arial"/>
                <w:b/>
                <w:sz w:val="20"/>
                <w:szCs w:val="20"/>
              </w:rPr>
              <w:t>Associated</w:t>
            </w:r>
            <w:r>
              <w:rPr>
                <w:rFonts w:ascii="Arial" w:eastAsia="Times New Roman" w:hAnsi="Arial" w:cs="Arial"/>
                <w:b/>
                <w:sz w:val="20"/>
                <w:szCs w:val="20"/>
              </w:rPr>
              <w:t xml:space="preserve"> </w:t>
            </w:r>
          </w:p>
          <w:p w14:paraId="539B0C85" w14:textId="2A376D2A" w:rsidR="00A32732" w:rsidRPr="00A32732" w:rsidRDefault="00000000" w:rsidP="00845853">
            <w:pPr>
              <w:spacing w:after="60"/>
              <w:jc w:val="center"/>
              <w:rPr>
                <w:rFonts w:ascii="Arial" w:eastAsia="Times New Roman" w:hAnsi="Arial" w:cs="Arial"/>
                <w:b/>
                <w:sz w:val="20"/>
                <w:szCs w:val="20"/>
              </w:rPr>
            </w:pPr>
            <w:r w:rsidRPr="00A32732">
              <w:rPr>
                <w:rFonts w:ascii="Arial" w:eastAsia="Times New Roman" w:hAnsi="Arial" w:cs="Arial"/>
                <w:b/>
                <w:sz w:val="20"/>
                <w:szCs w:val="20"/>
              </w:rPr>
              <w:t>Emission Unit IDs</w:t>
            </w:r>
          </w:p>
        </w:tc>
      </w:tr>
      <w:tr w:rsidR="00735572" w14:paraId="70327E53" w14:textId="77777777" w:rsidTr="00845853">
        <w:trPr>
          <w:cantSplit/>
        </w:trPr>
        <w:tc>
          <w:tcPr>
            <w:tcW w:w="2471" w:type="dxa"/>
            <w:hideMark/>
          </w:tcPr>
          <w:p w14:paraId="64D95D7A" w14:textId="77777777" w:rsidR="00A32732" w:rsidRPr="00A32732" w:rsidRDefault="00000000" w:rsidP="00845853">
            <w:pPr>
              <w:spacing w:before="60" w:after="60"/>
              <w:rPr>
                <w:rFonts w:ascii="Arial" w:eastAsia="Times New Roman" w:hAnsi="Arial" w:cs="Arial"/>
                <w:sz w:val="20"/>
                <w:szCs w:val="20"/>
              </w:rPr>
            </w:pPr>
            <w:r w:rsidRPr="00A32732">
              <w:rPr>
                <w:rFonts w:ascii="Arial" w:eastAsia="Times New Roman" w:hAnsi="Arial" w:cs="Arial"/>
                <w:sz w:val="20"/>
                <w:szCs w:val="20"/>
              </w:rPr>
              <w:t>FGLANDFILL-XXX&lt;34</w:t>
            </w:r>
          </w:p>
        </w:tc>
        <w:tc>
          <w:tcPr>
            <w:tcW w:w="5130" w:type="dxa"/>
            <w:hideMark/>
          </w:tcPr>
          <w:p w14:paraId="01E3FAC0" w14:textId="77777777" w:rsidR="00A32732" w:rsidRPr="00A32732" w:rsidRDefault="00000000" w:rsidP="00845853">
            <w:pPr>
              <w:spacing w:before="60" w:after="60"/>
              <w:rPr>
                <w:rFonts w:ascii="Arial" w:eastAsia="Times New Roman" w:hAnsi="Arial" w:cs="Times New Roman"/>
                <w:sz w:val="20"/>
                <w:szCs w:val="20"/>
              </w:rPr>
            </w:pPr>
            <w:r w:rsidRPr="00A32732">
              <w:rPr>
                <w:rFonts w:ascii="Arial" w:eastAsia="Times New Roman" w:hAnsi="Arial" w:cs="Times New Roman"/>
                <w:sz w:val="20"/>
                <w:szCs w:val="20"/>
              </w:rPr>
              <w:t>A MSW landfill that commenced construction, reconstruction, or modification after July 17, 2014.  The MSW landfill has a design capacity greater than 2.5 million megagrams and 2.5 million cubic meters, and actual NMOC emissions less than 34 megagrams per year.  This MSW landfill is subject to the requirements of 40 CFR Part 60, Subpart XXX.</w:t>
            </w:r>
          </w:p>
        </w:tc>
        <w:tc>
          <w:tcPr>
            <w:tcW w:w="2700" w:type="dxa"/>
            <w:hideMark/>
          </w:tcPr>
          <w:p w14:paraId="22173AAB" w14:textId="77777777" w:rsidR="00A32732" w:rsidRPr="00A32732" w:rsidRDefault="00000000" w:rsidP="00845853">
            <w:pPr>
              <w:spacing w:before="60" w:after="60"/>
              <w:jc w:val="both"/>
              <w:rPr>
                <w:rFonts w:ascii="Arial" w:eastAsia="Times New Roman" w:hAnsi="Arial" w:cs="Arial"/>
                <w:sz w:val="20"/>
                <w:szCs w:val="20"/>
              </w:rPr>
            </w:pPr>
            <w:r w:rsidRPr="00A32732">
              <w:rPr>
                <w:rFonts w:ascii="Arial" w:eastAsia="Times New Roman" w:hAnsi="Arial" w:cs="Arial"/>
                <w:sz w:val="20"/>
                <w:szCs w:val="20"/>
              </w:rPr>
              <w:t>EULANDFILL</w:t>
            </w:r>
          </w:p>
        </w:tc>
      </w:tr>
    </w:tbl>
    <w:p w14:paraId="5C251C94" w14:textId="77777777" w:rsidR="00A32732" w:rsidRPr="00A32732" w:rsidRDefault="00A32732" w:rsidP="00A32732">
      <w:pPr>
        <w:spacing w:after="0" w:line="240" w:lineRule="auto"/>
        <w:rPr>
          <w:rFonts w:ascii="Arial" w:eastAsia="Times New Roman" w:hAnsi="Arial" w:cs="Times New Roman"/>
          <w:sz w:val="20"/>
          <w:szCs w:val="20"/>
        </w:rPr>
      </w:pPr>
    </w:p>
    <w:p w14:paraId="16C63F4C" w14:textId="77777777" w:rsidR="00A32732" w:rsidRPr="00A32732" w:rsidRDefault="00000000" w:rsidP="00A32732">
      <w:pPr>
        <w:spacing w:after="0" w:line="240" w:lineRule="auto"/>
        <w:rPr>
          <w:rFonts w:ascii="Arial" w:eastAsia="Times New Roman" w:hAnsi="Arial" w:cs="Times New Roman"/>
          <w:sz w:val="20"/>
          <w:szCs w:val="20"/>
        </w:rPr>
      </w:pPr>
      <w:r w:rsidRPr="00A32732">
        <w:rPr>
          <w:rFonts w:ascii="Arial" w:eastAsia="Times New Roman" w:hAnsi="Arial" w:cs="Times New Roman"/>
          <w:sz w:val="20"/>
          <w:szCs w:val="20"/>
        </w:rPr>
        <w:br w:type="page"/>
      </w:r>
    </w:p>
    <w:p w14:paraId="4E76FECE" w14:textId="77777777" w:rsidR="00A32732" w:rsidRPr="00A32732" w:rsidRDefault="00000000" w:rsidP="00040DBE">
      <w:pPr>
        <w:pStyle w:val="Heading4A"/>
      </w:pPr>
      <w:r w:rsidRPr="00A32732">
        <w:lastRenderedPageBreak/>
        <w:t>FGLANDFILL-XXX&lt;34</w:t>
      </w:r>
    </w:p>
    <w:p w14:paraId="461A0784" w14:textId="77777777" w:rsidR="00A32732" w:rsidRPr="00A32732" w:rsidRDefault="00000000" w:rsidP="00040DBE">
      <w:pPr>
        <w:pStyle w:val="Heading4B"/>
      </w:pPr>
      <w:r w:rsidRPr="00A32732">
        <w:t>FLEXIBLE GROUP CONDITIONS</w:t>
      </w:r>
    </w:p>
    <w:p w14:paraId="0D6A54FC" w14:textId="77777777" w:rsidR="00A32732" w:rsidRPr="00A32732" w:rsidRDefault="00000000" w:rsidP="00845853">
      <w:pPr>
        <w:pStyle w:val="Heading5"/>
        <w:rPr>
          <w:sz w:val="20"/>
        </w:rPr>
      </w:pPr>
      <w:r w:rsidRPr="00A32732">
        <w:t>DESCRIPTION</w:t>
      </w:r>
    </w:p>
    <w:p w14:paraId="2E730804" w14:textId="77777777" w:rsidR="00A32732" w:rsidRPr="00A32732" w:rsidRDefault="00000000" w:rsidP="00845853">
      <w:pPr>
        <w:spacing w:before="240" w:after="240"/>
        <w:rPr>
          <w:rFonts w:ascii="Arial" w:eastAsia="Times New Roman" w:hAnsi="Arial" w:cs="Times New Roman"/>
          <w:sz w:val="20"/>
          <w:szCs w:val="20"/>
        </w:rPr>
      </w:pPr>
      <w:r w:rsidRPr="00A32732">
        <w:rPr>
          <w:rFonts w:ascii="Arial" w:eastAsia="Times New Roman" w:hAnsi="Arial" w:cs="Times New Roman"/>
          <w:sz w:val="20"/>
          <w:szCs w:val="20"/>
        </w:rPr>
        <w:t>A MSW landfill that commenced construction, reconstruction, or modification after July 17, 2014.  The MSW landfill has a design capacity greater than 2.5 million megagrams and 2.5 million cubic meters, and actual NMOC emissions less than 34 megagrams per year.  This MSW landfill is subject to the requirements of 40 CFR Part 60, Subpart XXX.</w:t>
      </w:r>
    </w:p>
    <w:p w14:paraId="4B0400E4" w14:textId="5029B757" w:rsidR="00A32732" w:rsidRPr="00A32732" w:rsidRDefault="00000000" w:rsidP="00845853">
      <w:pPr>
        <w:spacing w:before="240" w:after="240"/>
        <w:jc w:val="both"/>
        <w:rPr>
          <w:rFonts w:ascii="Arial" w:eastAsia="Times New Roman" w:hAnsi="Arial" w:cs="Times New Roman"/>
          <w:sz w:val="20"/>
          <w:szCs w:val="20"/>
        </w:rPr>
      </w:pPr>
      <w:r w:rsidRPr="00A32732">
        <w:rPr>
          <w:rFonts w:ascii="Arial" w:eastAsia="Times New Roman" w:hAnsi="Arial" w:cs="Times New Roman"/>
          <w:b/>
          <w:sz w:val="20"/>
          <w:szCs w:val="20"/>
        </w:rPr>
        <w:t>Emission Unit</w:t>
      </w:r>
      <w:r w:rsidR="00845853">
        <w:rPr>
          <w:rFonts w:ascii="Arial" w:eastAsia="Times New Roman" w:hAnsi="Arial" w:cs="Times New Roman"/>
          <w:b/>
          <w:sz w:val="20"/>
          <w:szCs w:val="20"/>
        </w:rPr>
        <w:t>(s)</w:t>
      </w:r>
      <w:r w:rsidRPr="00A32732">
        <w:rPr>
          <w:rFonts w:ascii="Arial" w:eastAsia="Times New Roman" w:hAnsi="Arial" w:cs="Times New Roman"/>
          <w:b/>
          <w:sz w:val="20"/>
          <w:szCs w:val="20"/>
        </w:rPr>
        <w:t>:</w:t>
      </w:r>
      <w:r w:rsidRPr="00A32732">
        <w:rPr>
          <w:rFonts w:ascii="Arial" w:eastAsia="Times New Roman" w:hAnsi="Arial" w:cs="Times New Roman"/>
          <w:sz w:val="20"/>
          <w:szCs w:val="20"/>
        </w:rPr>
        <w:t xml:space="preserve"> </w:t>
      </w:r>
      <w:r w:rsidRPr="00766B2A">
        <w:rPr>
          <w:rFonts w:ascii="Arial" w:eastAsia="Times New Roman" w:hAnsi="Arial" w:cs="Times New Roman"/>
          <w:color w:val="ED0000"/>
          <w:sz w:val="20"/>
          <w:szCs w:val="20"/>
        </w:rPr>
        <w:t xml:space="preserve"> EULANDFILL </w:t>
      </w:r>
    </w:p>
    <w:p w14:paraId="529A6767" w14:textId="77777777" w:rsidR="00A32732" w:rsidRPr="00A32732" w:rsidRDefault="00000000" w:rsidP="00845853">
      <w:pPr>
        <w:pStyle w:val="Heading5"/>
      </w:pPr>
      <w:r w:rsidRPr="00A32732">
        <w:t>POLLUTION CONTROL EQUIPMENT</w:t>
      </w:r>
    </w:p>
    <w:p w14:paraId="58036A76" w14:textId="77777777" w:rsidR="00A32732" w:rsidRPr="00A32732" w:rsidRDefault="00000000" w:rsidP="00845853">
      <w:pPr>
        <w:spacing w:before="120"/>
        <w:rPr>
          <w:rFonts w:ascii="Arial" w:eastAsia="Times New Roman" w:hAnsi="Arial" w:cs="Times New Roman"/>
          <w:sz w:val="20"/>
          <w:szCs w:val="20"/>
        </w:rPr>
      </w:pPr>
      <w:r w:rsidRPr="00766B2A">
        <w:rPr>
          <w:rFonts w:ascii="Arial" w:eastAsia="Times New Roman" w:hAnsi="Arial" w:cs="Times New Roman"/>
          <w:color w:val="ED0000"/>
          <w:sz w:val="20"/>
          <w:szCs w:val="20"/>
        </w:rPr>
        <w:t>{Enter site specific pollution control equipment or NA}</w:t>
      </w:r>
    </w:p>
    <w:p w14:paraId="331A9688" w14:textId="77777777" w:rsidR="00A32732" w:rsidRPr="00A32732" w:rsidRDefault="00000000" w:rsidP="00845853">
      <w:pPr>
        <w:pStyle w:val="Heading5"/>
        <w:rPr>
          <w:sz w:val="20"/>
        </w:rPr>
      </w:pPr>
      <w:r w:rsidRPr="00A32732">
        <w:t>I.  EMISSION LIMIT(S)</w:t>
      </w:r>
    </w:p>
    <w:p w14:paraId="0D0A5446" w14:textId="77777777" w:rsidR="00A32732" w:rsidRPr="00A32732" w:rsidRDefault="00000000" w:rsidP="00845853">
      <w:pPr>
        <w:spacing w:before="120"/>
        <w:jc w:val="both"/>
        <w:rPr>
          <w:rFonts w:ascii="Arial" w:eastAsia="Times New Roman" w:hAnsi="Arial" w:cs="Times New Roman"/>
          <w:sz w:val="20"/>
          <w:szCs w:val="20"/>
        </w:rPr>
      </w:pPr>
      <w:r w:rsidRPr="00A32732">
        <w:rPr>
          <w:rFonts w:ascii="Arial" w:eastAsia="Times New Roman" w:hAnsi="Arial" w:cs="Times New Roman"/>
          <w:sz w:val="20"/>
          <w:szCs w:val="20"/>
        </w:rPr>
        <w:t>NA</w:t>
      </w:r>
    </w:p>
    <w:p w14:paraId="6BEA84D0" w14:textId="77777777" w:rsidR="00A32732" w:rsidRPr="00A32732" w:rsidRDefault="00000000" w:rsidP="00845853">
      <w:pPr>
        <w:pStyle w:val="Heading5"/>
      </w:pPr>
      <w:r w:rsidRPr="00A32732">
        <w:t>II.  MATERIAL LIMIT(S)</w:t>
      </w:r>
    </w:p>
    <w:p w14:paraId="7F36D584" w14:textId="77777777" w:rsidR="00845853" w:rsidRPr="00A32732" w:rsidRDefault="00000000" w:rsidP="00845853">
      <w:pPr>
        <w:spacing w:before="120"/>
        <w:jc w:val="both"/>
        <w:rPr>
          <w:rFonts w:ascii="Arial" w:eastAsia="Times New Roman" w:hAnsi="Arial" w:cs="Times New Roman"/>
          <w:sz w:val="20"/>
          <w:szCs w:val="20"/>
        </w:rPr>
      </w:pPr>
      <w:r w:rsidRPr="00A32732">
        <w:rPr>
          <w:rFonts w:ascii="Arial" w:eastAsia="Times New Roman" w:hAnsi="Arial" w:cs="Times New Roman"/>
          <w:sz w:val="20"/>
          <w:szCs w:val="20"/>
        </w:rPr>
        <w:t>NA</w:t>
      </w:r>
    </w:p>
    <w:p w14:paraId="1A69458A" w14:textId="77777777" w:rsidR="00A32732" w:rsidRPr="00A32732" w:rsidRDefault="00000000" w:rsidP="00845853">
      <w:pPr>
        <w:pStyle w:val="Heading5"/>
        <w:rPr>
          <w:sz w:val="20"/>
        </w:rPr>
      </w:pPr>
      <w:r w:rsidRPr="00A32732">
        <w:t xml:space="preserve">III.  PROCESS/OPERATIONAL RESTRICTION(S) </w:t>
      </w:r>
    </w:p>
    <w:p w14:paraId="75AA1EAA" w14:textId="77777777" w:rsidR="00845853" w:rsidRPr="00A32732" w:rsidRDefault="00000000" w:rsidP="00845853">
      <w:pPr>
        <w:spacing w:before="120"/>
        <w:jc w:val="both"/>
        <w:rPr>
          <w:rFonts w:ascii="Arial" w:eastAsia="Times New Roman" w:hAnsi="Arial" w:cs="Times New Roman"/>
          <w:sz w:val="20"/>
          <w:szCs w:val="20"/>
        </w:rPr>
      </w:pPr>
      <w:r w:rsidRPr="00A32732">
        <w:rPr>
          <w:rFonts w:ascii="Arial" w:eastAsia="Times New Roman" w:hAnsi="Arial" w:cs="Times New Roman"/>
          <w:sz w:val="20"/>
          <w:szCs w:val="20"/>
        </w:rPr>
        <w:t>NA</w:t>
      </w:r>
    </w:p>
    <w:p w14:paraId="5EAD6261" w14:textId="77777777" w:rsidR="00A32732" w:rsidRPr="00A32732" w:rsidRDefault="00000000" w:rsidP="00845853">
      <w:pPr>
        <w:pStyle w:val="Heading5"/>
        <w:rPr>
          <w:sz w:val="20"/>
        </w:rPr>
      </w:pPr>
      <w:r w:rsidRPr="00A32732">
        <w:t>IV.  DESIGN/EQUIPMENT PARAMETER(S)</w:t>
      </w:r>
    </w:p>
    <w:p w14:paraId="476A43EE" w14:textId="77777777" w:rsidR="00845853" w:rsidRPr="00A32732" w:rsidRDefault="00000000" w:rsidP="00845853">
      <w:pPr>
        <w:spacing w:before="120"/>
        <w:jc w:val="both"/>
        <w:rPr>
          <w:rFonts w:ascii="Arial" w:eastAsia="Times New Roman" w:hAnsi="Arial" w:cs="Times New Roman"/>
          <w:sz w:val="20"/>
          <w:szCs w:val="20"/>
        </w:rPr>
      </w:pPr>
      <w:r w:rsidRPr="00A32732">
        <w:rPr>
          <w:rFonts w:ascii="Arial" w:eastAsia="Times New Roman" w:hAnsi="Arial" w:cs="Times New Roman"/>
          <w:sz w:val="20"/>
          <w:szCs w:val="20"/>
        </w:rPr>
        <w:t>NA</w:t>
      </w:r>
    </w:p>
    <w:p w14:paraId="29292497" w14:textId="77777777" w:rsidR="00A32732" w:rsidRPr="00A32732" w:rsidRDefault="00000000" w:rsidP="00845853">
      <w:pPr>
        <w:pStyle w:val="Heading5"/>
        <w:spacing w:after="20"/>
        <w:rPr>
          <w:sz w:val="20"/>
        </w:rPr>
      </w:pPr>
      <w:r w:rsidRPr="00A32732">
        <w:t>V.  TESTING/SAMPLING</w:t>
      </w:r>
    </w:p>
    <w:p w14:paraId="2A6D6EB4" w14:textId="77777777" w:rsidR="00A32732" w:rsidRPr="00A32732" w:rsidRDefault="00000000" w:rsidP="00845853">
      <w:pPr>
        <w:jc w:val="both"/>
        <w:rPr>
          <w:rFonts w:ascii="Arial" w:eastAsia="Times New Roman" w:hAnsi="Arial" w:cs="Times New Roman"/>
          <w:b/>
          <w:sz w:val="20"/>
          <w:szCs w:val="20"/>
        </w:rPr>
      </w:pPr>
      <w:r w:rsidRPr="00A32732">
        <w:rPr>
          <w:rFonts w:ascii="Arial" w:eastAsia="Times New Roman" w:hAnsi="Arial" w:cs="Times New Roman"/>
          <w:sz w:val="20"/>
          <w:szCs w:val="20"/>
        </w:rPr>
        <w:t xml:space="preserve">Records shall be maintained on file for a period of five years.  </w:t>
      </w:r>
      <w:r w:rsidRPr="00A32732">
        <w:rPr>
          <w:rFonts w:ascii="Arial" w:eastAsia="Times New Roman" w:hAnsi="Arial" w:cs="Times New Roman"/>
          <w:b/>
          <w:sz w:val="20"/>
          <w:szCs w:val="20"/>
        </w:rPr>
        <w:t>(R 336.1213(3)(b)(ii))</w:t>
      </w:r>
    </w:p>
    <w:p w14:paraId="098E6152" w14:textId="2DB948BD" w:rsidR="00A32732" w:rsidRPr="00A32732" w:rsidRDefault="00000000" w:rsidP="00040DBE">
      <w:pPr>
        <w:numPr>
          <w:ilvl w:val="0"/>
          <w:numId w:val="4"/>
        </w:numPr>
        <w:spacing w:before="160"/>
        <w:rPr>
          <w:rFonts w:ascii="Arial" w:eastAsia="Times New Roman" w:hAnsi="Arial" w:cs="Times New Roman"/>
          <w:sz w:val="20"/>
          <w:szCs w:val="20"/>
        </w:rPr>
      </w:pPr>
      <w:r w:rsidRPr="00A32732">
        <w:rPr>
          <w:rFonts w:ascii="Arial" w:eastAsia="Times New Roman" w:hAnsi="Arial" w:cs="Times New Roman"/>
          <w:sz w:val="20"/>
          <w:szCs w:val="20"/>
        </w:rPr>
        <w:t xml:space="preserve">The permittee must determine NMOC mass emission rate by testing at owner's expense, in accordance with Department requirements.  Testing must be performed using procedures and calculations, as described in Appendices 5 and 7.  No less than 30 days prior to testing, the permittee must submit a complete test plan to the AQD.  The AQD must approve the final plan prior to testing, including any modifications to the method in the test protocol </w:t>
      </w:r>
      <w:r w:rsidRPr="00A32732">
        <w:rPr>
          <w:rFonts w:ascii="Arial" w:eastAsia="Times New Roman" w:hAnsi="Arial" w:cs="Times New Roman"/>
          <w:color w:val="000000"/>
          <w:sz w:val="20"/>
          <w:szCs w:val="20"/>
        </w:rPr>
        <w:t>that are proposed after initial submittal</w:t>
      </w:r>
      <w:r w:rsidRPr="00A32732">
        <w:rPr>
          <w:rFonts w:ascii="Arial" w:eastAsia="Times New Roman" w:hAnsi="Arial" w:cs="Times New Roman"/>
          <w:szCs w:val="20"/>
        </w:rPr>
        <w:t xml:space="preserve">.  </w:t>
      </w:r>
      <w:r w:rsidRPr="00A32732">
        <w:rPr>
          <w:rFonts w:ascii="Arial" w:eastAsia="Times New Roman" w:hAnsi="Arial" w:cs="Arial"/>
          <w:sz w:val="20"/>
          <w:szCs w:val="20"/>
        </w:rPr>
        <w:t xml:space="preserve">The permittee must submit </w:t>
      </w:r>
      <w:r w:rsidRPr="00A32732">
        <w:rPr>
          <w:rFonts w:ascii="Arial" w:eastAsia="Times New Roman" w:hAnsi="Arial" w:cs="Times New Roman"/>
          <w:color w:val="000000"/>
          <w:sz w:val="20"/>
          <w:szCs w:val="20"/>
        </w:rPr>
        <w:t xml:space="preserve">a complete report of the test results to the AQD </w:t>
      </w:r>
      <w:r w:rsidRPr="00A32732">
        <w:rPr>
          <w:rFonts w:ascii="Arial" w:eastAsia="Times New Roman" w:hAnsi="Arial" w:cs="Arial"/>
          <w:sz w:val="20"/>
          <w:szCs w:val="20"/>
        </w:rPr>
        <w:t>within 60 days following the last date of the test.</w:t>
      </w:r>
      <w:r w:rsidRPr="00A32732">
        <w:rPr>
          <w:rFonts w:ascii="Arial" w:eastAsia="Times New Roman" w:hAnsi="Arial" w:cs="Times New Roman"/>
          <w:sz w:val="20"/>
          <w:szCs w:val="20"/>
        </w:rPr>
        <w:t xml:space="preserve">  </w:t>
      </w:r>
      <w:r w:rsidRPr="00A32732">
        <w:rPr>
          <w:rFonts w:ascii="Arial" w:eastAsia="Times New Roman" w:hAnsi="Arial" w:cs="Times New Roman"/>
          <w:b/>
          <w:sz w:val="20"/>
          <w:szCs w:val="20"/>
        </w:rPr>
        <w:t>(R 336.2001, R 336.2003, R 336.2004, 40 CFR 60.762(b)(1), 40 CFR 60.764(a))</w:t>
      </w:r>
    </w:p>
    <w:p w14:paraId="36384E7F" w14:textId="77777777" w:rsidR="00A32732" w:rsidRPr="00A32732" w:rsidRDefault="00000000" w:rsidP="00040DBE">
      <w:pPr>
        <w:numPr>
          <w:ilvl w:val="0"/>
          <w:numId w:val="5"/>
        </w:numPr>
        <w:spacing w:before="160"/>
        <w:rPr>
          <w:rFonts w:ascii="Arial" w:eastAsia="Times New Roman" w:hAnsi="Arial" w:cs="Times New Roman"/>
          <w:sz w:val="20"/>
          <w:szCs w:val="20"/>
        </w:rPr>
      </w:pPr>
      <w:r w:rsidRPr="00A32732">
        <w:rPr>
          <w:rFonts w:ascii="Arial" w:eastAsia="Times New Roman" w:hAnsi="Arial" w:cs="Times New Roman"/>
          <w:sz w:val="20"/>
          <w:szCs w:val="20"/>
        </w:rPr>
        <w:t xml:space="preserve">Upon completion of each Tier test, the permittee must compare the results to the NMOC mass emission rate standard of 34 Mg per year.  If the results are equal to or greater than 34 Mg, then the permittee must move to the next higher tier in accordance with the following: Tier 1 and Tier 2 NMOC mass emission rate must be recalculated annually if the NMOC mass emission rate is less than the standard.  </w:t>
      </w:r>
      <w:r w:rsidRPr="00A32732">
        <w:rPr>
          <w:rFonts w:ascii="Arial" w:eastAsia="Times New Roman" w:hAnsi="Arial" w:cs="Times New Roman"/>
          <w:b/>
          <w:sz w:val="20"/>
          <w:szCs w:val="20"/>
        </w:rPr>
        <w:t>(40 CFR 60.764(a)(2) and (3))</w:t>
      </w:r>
    </w:p>
    <w:p w14:paraId="29283175" w14:textId="77777777" w:rsidR="00A32732" w:rsidRPr="00A32732" w:rsidRDefault="00000000" w:rsidP="00040DBE">
      <w:pPr>
        <w:numPr>
          <w:ilvl w:val="0"/>
          <w:numId w:val="5"/>
        </w:numPr>
        <w:spacing w:before="160"/>
        <w:rPr>
          <w:rFonts w:ascii="Arial" w:eastAsia="Times New Roman" w:hAnsi="Arial" w:cs="Times New Roman"/>
          <w:sz w:val="20"/>
          <w:szCs w:val="20"/>
        </w:rPr>
      </w:pPr>
      <w:r w:rsidRPr="00A32732">
        <w:rPr>
          <w:rFonts w:ascii="Arial" w:eastAsia="Times New Roman" w:hAnsi="Arial" w:cs="Arial"/>
          <w:sz w:val="20"/>
          <w:szCs w:val="20"/>
        </w:rPr>
        <w:t xml:space="preserve">Tier 2 testing </w:t>
      </w:r>
      <w:r w:rsidRPr="00766B2A">
        <w:rPr>
          <w:rFonts w:ascii="Calibri" w:eastAsia="Times New Roman" w:hAnsi="Calibri" w:cs="Calibri"/>
          <w:color w:val="ED0000"/>
          <w:bdr w:val="none" w:sz="0" w:space="0" w:color="auto" w:frame="1"/>
        </w:rPr>
        <w:t>to establish a site-specific NMOC concentration</w:t>
      </w:r>
      <w:r w:rsidRPr="00A32732">
        <w:rPr>
          <w:rFonts w:ascii="Arial" w:eastAsia="Times New Roman" w:hAnsi="Arial" w:cs="Arial"/>
          <w:sz w:val="20"/>
          <w:szCs w:val="20"/>
        </w:rPr>
        <w:t xml:space="preserve"> must be performed at least once every five years. </w:t>
      </w:r>
      <w:r w:rsidRPr="00A32732">
        <w:rPr>
          <w:rFonts w:ascii="Arial" w:eastAsia="Times New Roman" w:hAnsi="Arial" w:cs="Arial"/>
          <w:b/>
          <w:sz w:val="20"/>
          <w:szCs w:val="20"/>
        </w:rPr>
        <w:t xml:space="preserve"> (40 CFR 60.764(a)(3))</w:t>
      </w:r>
    </w:p>
    <w:p w14:paraId="035415AE" w14:textId="0FD60C8E" w:rsidR="00A32732" w:rsidRPr="006874F8" w:rsidRDefault="00000000" w:rsidP="00040DBE">
      <w:pPr>
        <w:numPr>
          <w:ilvl w:val="0"/>
          <w:numId w:val="5"/>
        </w:numPr>
        <w:spacing w:before="160"/>
        <w:rPr>
          <w:rFonts w:ascii="Arial" w:eastAsia="Times New Roman" w:hAnsi="Arial" w:cs="Times New Roman"/>
          <w:sz w:val="20"/>
          <w:szCs w:val="20"/>
        </w:rPr>
      </w:pPr>
      <w:r w:rsidRPr="006874F8">
        <w:rPr>
          <w:rFonts w:ascii="Arial" w:eastAsia="Times New Roman" w:hAnsi="Arial" w:cs="Arial"/>
          <w:sz w:val="20"/>
          <w:szCs w:val="20"/>
        </w:rPr>
        <w:t xml:space="preserve">Tier 3 testing must be performed to establish a site-specific methane generation rate constant. </w:t>
      </w:r>
      <w:r w:rsidRPr="006874F8">
        <w:rPr>
          <w:rFonts w:ascii="Arial" w:eastAsia="Times New Roman" w:hAnsi="Arial" w:cs="Arial"/>
          <w:b/>
          <w:sz w:val="20"/>
          <w:szCs w:val="20"/>
        </w:rPr>
        <w:t xml:space="preserve"> (40 CFR 60.764(a)(4))</w:t>
      </w:r>
    </w:p>
    <w:p w14:paraId="4BD061D8" w14:textId="77777777" w:rsidR="00A32732" w:rsidRPr="00A32732" w:rsidRDefault="00000000" w:rsidP="00040DBE">
      <w:pPr>
        <w:numPr>
          <w:ilvl w:val="0"/>
          <w:numId w:val="5"/>
        </w:numPr>
        <w:spacing w:before="160"/>
        <w:rPr>
          <w:rFonts w:ascii="Arial" w:eastAsia="Times New Roman" w:hAnsi="Arial" w:cs="Arial"/>
          <w:bCs/>
          <w:sz w:val="20"/>
          <w:szCs w:val="20"/>
        </w:rPr>
      </w:pPr>
      <w:r w:rsidRPr="00A32732">
        <w:rPr>
          <w:rFonts w:ascii="Arial" w:eastAsia="Times New Roman" w:hAnsi="Arial" w:cs="Times New Roman"/>
          <w:sz w:val="20"/>
          <w:szCs w:val="20"/>
        </w:rPr>
        <w:t xml:space="preserve">Tier 4 testing to determine surface methane emissions, as described in Appendix 5, may be used if Tiers 1 through 3 testing demonstrate NMOC mass emissions equal to or greater than 34 Mg per year.  </w:t>
      </w:r>
      <w:r w:rsidRPr="00A32732">
        <w:rPr>
          <w:rFonts w:ascii="Arial" w:eastAsia="Times New Roman" w:hAnsi="Arial" w:cs="Arial"/>
          <w:b/>
          <w:sz w:val="20"/>
          <w:szCs w:val="20"/>
        </w:rPr>
        <w:t>(40 CFR 60.764(a)(6))</w:t>
      </w:r>
    </w:p>
    <w:p w14:paraId="144666B4" w14:textId="77777777" w:rsidR="00A32732" w:rsidRPr="00A32732" w:rsidRDefault="00000000" w:rsidP="00040DBE">
      <w:pPr>
        <w:numPr>
          <w:ilvl w:val="0"/>
          <w:numId w:val="5"/>
        </w:numPr>
        <w:spacing w:before="160"/>
        <w:rPr>
          <w:rFonts w:ascii="Arial" w:eastAsia="Times New Roman" w:hAnsi="Arial" w:cs="Arial"/>
          <w:bCs/>
          <w:sz w:val="20"/>
          <w:szCs w:val="20"/>
        </w:rPr>
      </w:pPr>
      <w:r w:rsidRPr="00A32732">
        <w:rPr>
          <w:rFonts w:ascii="Arial" w:eastAsia="Times New Roman" w:hAnsi="Arial" w:cs="Arial"/>
          <w:sz w:val="20"/>
          <w:szCs w:val="20"/>
        </w:rPr>
        <w:lastRenderedPageBreak/>
        <w:t xml:space="preserve">Tier 4 testing must be performed to establish surface methane emissions are below the standard of 500 ppm. </w:t>
      </w:r>
      <w:r w:rsidRPr="00A32732">
        <w:rPr>
          <w:rFonts w:ascii="Arial" w:eastAsia="Times New Roman" w:hAnsi="Arial" w:cs="Arial"/>
          <w:b/>
          <w:sz w:val="20"/>
          <w:szCs w:val="20"/>
        </w:rPr>
        <w:t>(40 CFR 60.764(a)(6))</w:t>
      </w:r>
    </w:p>
    <w:p w14:paraId="5A82CA84" w14:textId="77777777" w:rsidR="00A32732" w:rsidRPr="00A32732" w:rsidRDefault="00000000" w:rsidP="00040DBE">
      <w:pPr>
        <w:numPr>
          <w:ilvl w:val="0"/>
          <w:numId w:val="4"/>
        </w:numPr>
        <w:spacing w:before="160"/>
        <w:rPr>
          <w:rFonts w:ascii="Arial" w:eastAsia="Times New Roman" w:hAnsi="Arial" w:cs="Times New Roman"/>
          <w:sz w:val="20"/>
          <w:szCs w:val="20"/>
        </w:rPr>
      </w:pPr>
      <w:r w:rsidRPr="00A32732">
        <w:rPr>
          <w:rFonts w:ascii="Arial" w:eastAsia="Times New Roman" w:hAnsi="Arial" w:cs="Arial"/>
          <w:sz w:val="20"/>
          <w:szCs w:val="20"/>
        </w:rPr>
        <w:t xml:space="preserve">Each permittee seeking to use other methods to determine the NMOC concentration or a site-specific methane generation rate constant as an alternative to methods in Tier 2 and Tier 3 must request and have received approval from USEPA prior to submitting a test protocol to AQD.  </w:t>
      </w:r>
      <w:r w:rsidRPr="00A32732">
        <w:rPr>
          <w:rFonts w:ascii="Arial" w:eastAsia="Times New Roman" w:hAnsi="Arial" w:cs="Arial"/>
          <w:b/>
          <w:sz w:val="20"/>
          <w:szCs w:val="20"/>
        </w:rPr>
        <w:t>(40 CFR 60.764(a)(5))</w:t>
      </w:r>
    </w:p>
    <w:p w14:paraId="286FDE5D" w14:textId="77777777" w:rsidR="00A32732" w:rsidRPr="00A32732" w:rsidRDefault="00000000" w:rsidP="00040DBE">
      <w:pPr>
        <w:spacing w:before="160"/>
        <w:rPr>
          <w:rFonts w:ascii="Arial" w:eastAsia="Times New Roman" w:hAnsi="Arial" w:cs="Times New Roman"/>
          <w:b/>
          <w:sz w:val="20"/>
          <w:szCs w:val="20"/>
        </w:rPr>
      </w:pPr>
      <w:r w:rsidRPr="00A32732">
        <w:rPr>
          <w:rFonts w:ascii="Arial" w:eastAsia="Times New Roman" w:hAnsi="Arial" w:cs="Times New Roman"/>
          <w:b/>
          <w:sz w:val="20"/>
          <w:szCs w:val="20"/>
        </w:rPr>
        <w:t>See Appendices 5 and 7</w:t>
      </w:r>
    </w:p>
    <w:p w14:paraId="612FDB52" w14:textId="77777777" w:rsidR="00A32732" w:rsidRPr="00A32732" w:rsidRDefault="00000000" w:rsidP="00845853">
      <w:pPr>
        <w:pStyle w:val="Heading5"/>
        <w:spacing w:after="20" w:line="259" w:lineRule="auto"/>
        <w:rPr>
          <w:sz w:val="20"/>
        </w:rPr>
      </w:pPr>
      <w:r w:rsidRPr="00A32732">
        <w:t>VI.  MONITORING/RECORDKEEPING</w:t>
      </w:r>
    </w:p>
    <w:p w14:paraId="03FDBCAC" w14:textId="77777777" w:rsidR="00A32732" w:rsidRPr="00A32732" w:rsidRDefault="00000000" w:rsidP="00845853">
      <w:pPr>
        <w:jc w:val="both"/>
        <w:rPr>
          <w:rFonts w:ascii="Arial" w:eastAsia="Times New Roman" w:hAnsi="Arial" w:cs="Times New Roman"/>
          <w:b/>
          <w:sz w:val="20"/>
          <w:szCs w:val="20"/>
        </w:rPr>
      </w:pPr>
      <w:r w:rsidRPr="00A32732">
        <w:rPr>
          <w:rFonts w:ascii="Arial" w:eastAsia="Times New Roman" w:hAnsi="Arial" w:cs="Times New Roman"/>
          <w:sz w:val="20"/>
          <w:szCs w:val="20"/>
        </w:rPr>
        <w:t xml:space="preserve">Records shall be maintained on file for a period of five years.  </w:t>
      </w:r>
      <w:r w:rsidRPr="00A32732">
        <w:rPr>
          <w:rFonts w:ascii="Arial" w:eastAsia="Times New Roman" w:hAnsi="Arial" w:cs="Times New Roman"/>
          <w:b/>
          <w:sz w:val="20"/>
          <w:szCs w:val="20"/>
        </w:rPr>
        <w:t>(R 336.1213(3)(b)(ii))</w:t>
      </w:r>
    </w:p>
    <w:p w14:paraId="68E117A1" w14:textId="3A4F7FBC" w:rsidR="00A32732" w:rsidRPr="00A32732" w:rsidRDefault="00000000" w:rsidP="00845853">
      <w:pPr>
        <w:numPr>
          <w:ilvl w:val="0"/>
          <w:numId w:val="6"/>
        </w:numPr>
        <w:spacing w:before="120"/>
        <w:rPr>
          <w:rFonts w:ascii="Arial" w:eastAsia="Calibri" w:hAnsi="Arial" w:cs="Arial"/>
          <w:sz w:val="20"/>
        </w:rPr>
      </w:pPr>
      <w:r w:rsidRPr="00A32732">
        <w:rPr>
          <w:rFonts w:ascii="Arial" w:eastAsia="Calibri" w:hAnsi="Arial" w:cs="Arial"/>
          <w:sz w:val="20"/>
        </w:rPr>
        <w:t xml:space="preserve">The permittee must calculate the annual NMOC emission rates using methods outlined in Appendix 7.  </w:t>
      </w:r>
      <w:r w:rsidRPr="00A32732">
        <w:rPr>
          <w:rFonts w:ascii="Arial" w:eastAsia="Calibri" w:hAnsi="Arial" w:cs="Arial"/>
          <w:b/>
          <w:sz w:val="20"/>
        </w:rPr>
        <w:t>(40</w:t>
      </w:r>
      <w:r w:rsidR="00845853">
        <w:rPr>
          <w:rFonts w:ascii="Arial" w:eastAsia="Calibri" w:hAnsi="Arial" w:cs="Arial"/>
          <w:b/>
          <w:sz w:val="20"/>
        </w:rPr>
        <w:t> </w:t>
      </w:r>
      <w:r w:rsidRPr="00A32732">
        <w:rPr>
          <w:rFonts w:ascii="Arial" w:eastAsia="Calibri" w:hAnsi="Arial" w:cs="Arial"/>
          <w:b/>
          <w:sz w:val="20"/>
        </w:rPr>
        <w:t>CFR 60.764(a)(1))</w:t>
      </w:r>
    </w:p>
    <w:p w14:paraId="2A22A696" w14:textId="77777777" w:rsidR="00A32732" w:rsidRPr="00A32732" w:rsidRDefault="00000000" w:rsidP="00845853">
      <w:pPr>
        <w:numPr>
          <w:ilvl w:val="0"/>
          <w:numId w:val="6"/>
        </w:num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The permittee must maintain up-to-date, readily accessible, on-site records of the design capacity report which triggered 40 CFR 60.762(b), the current amount of solid waste in place, and the year-by-year waste acceptance rate.  Off-site records may be maintained if they are retrievable within 4 hours.  </w:t>
      </w:r>
      <w:r w:rsidRPr="00A32732">
        <w:rPr>
          <w:rFonts w:ascii="Arial" w:eastAsia="Times New Roman" w:hAnsi="Arial" w:cs="Arial"/>
          <w:sz w:val="20"/>
          <w:szCs w:val="20"/>
        </w:rPr>
        <w:t xml:space="preserve">The permittee must keep all records on file in a format acceptable to the AQD District Supervisor and make them available upon request. </w:t>
      </w:r>
      <w:r w:rsidRPr="00A32732">
        <w:rPr>
          <w:rFonts w:ascii="Arial" w:eastAsia="Times New Roman" w:hAnsi="Arial" w:cs="Times New Roman"/>
          <w:b/>
          <w:szCs w:val="20"/>
        </w:rPr>
        <w:t xml:space="preserve"> </w:t>
      </w:r>
      <w:r w:rsidRPr="00A32732">
        <w:rPr>
          <w:rFonts w:ascii="Arial" w:eastAsia="Times New Roman" w:hAnsi="Arial" w:cs="Times New Roman"/>
          <w:b/>
          <w:sz w:val="20"/>
          <w:szCs w:val="20"/>
        </w:rPr>
        <w:t>(40 CFR 60.768(a))</w:t>
      </w:r>
    </w:p>
    <w:p w14:paraId="373DDEAB" w14:textId="5A5A9EBE" w:rsidR="00A32732" w:rsidRPr="00A32732" w:rsidRDefault="00000000" w:rsidP="00845853">
      <w:pPr>
        <w:spacing w:before="120"/>
        <w:rPr>
          <w:rFonts w:ascii="Arial" w:eastAsia="Times New Roman" w:hAnsi="Arial" w:cs="Times New Roman"/>
          <w:sz w:val="20"/>
          <w:szCs w:val="20"/>
        </w:rPr>
      </w:pPr>
      <w:r w:rsidRPr="00766B2A">
        <w:rPr>
          <w:rFonts w:ascii="Arial" w:eastAsia="Calibri" w:hAnsi="Arial" w:cs="Times New Roman"/>
          <w:color w:val="ED0000"/>
          <w:sz w:val="20"/>
          <w:szCs w:val="20"/>
        </w:rPr>
        <w:t>OPTIONAL:</w:t>
      </w:r>
      <w:r w:rsidR="005C111B" w:rsidRPr="00766B2A">
        <w:rPr>
          <w:rFonts w:ascii="Arial" w:eastAsia="Calibri" w:hAnsi="Arial" w:cs="Times New Roman"/>
          <w:color w:val="ED0000"/>
          <w:sz w:val="20"/>
          <w:szCs w:val="20"/>
        </w:rPr>
        <w:t xml:space="preserve"> </w:t>
      </w:r>
      <w:r w:rsidR="00A365B8" w:rsidRPr="00766B2A">
        <w:rPr>
          <w:rFonts w:ascii="Arial" w:eastAsia="Calibri" w:hAnsi="Arial" w:cs="Times New Roman"/>
          <w:b/>
          <w:bCs/>
          <w:color w:val="ED0000"/>
          <w:sz w:val="20"/>
          <w:szCs w:val="20"/>
        </w:rPr>
        <w:t xml:space="preserve"> </w:t>
      </w:r>
      <w:r w:rsidR="00A365B8" w:rsidRPr="00766B2A">
        <w:rPr>
          <w:rFonts w:ascii="Arial" w:eastAsia="Calibri" w:hAnsi="Arial" w:cs="Arial"/>
          <w:color w:val="ED0000"/>
          <w:sz w:val="20"/>
        </w:rPr>
        <w:t xml:space="preserve">Use if the owner or operator of the affected landfill has employed leachate recirculation or added liquids based on a Research, Development, and Demonstration permit (issued through Resource Conservation and Recovery Act, Subtitle D, Part 258) within the last 10 years for an annual liquids addition report. </w:t>
      </w:r>
      <w:r w:rsidR="005C111B" w:rsidRPr="00766B2A">
        <w:rPr>
          <w:rFonts w:ascii="Arial" w:eastAsia="Calibri" w:hAnsi="Arial" w:cs="Times New Roman"/>
          <w:b/>
          <w:bCs/>
          <w:color w:val="ED0000"/>
          <w:sz w:val="20"/>
          <w:szCs w:val="20"/>
        </w:rPr>
        <w:t>{if using this option, make sure to use optional condition 13 under REPORTING as well.}</w:t>
      </w:r>
    </w:p>
    <w:p w14:paraId="5B94074F" w14:textId="77777777" w:rsidR="00A32732" w:rsidRPr="00A32732" w:rsidRDefault="00000000" w:rsidP="00845853">
      <w:pPr>
        <w:numPr>
          <w:ilvl w:val="0"/>
          <w:numId w:val="6"/>
        </w:numPr>
        <w:spacing w:before="120"/>
        <w:rPr>
          <w:rFonts w:ascii="Arial" w:eastAsia="Calibri" w:hAnsi="Arial" w:cs="Arial"/>
          <w:sz w:val="20"/>
        </w:rPr>
      </w:pPr>
      <w:r w:rsidRPr="00A32732">
        <w:rPr>
          <w:rFonts w:ascii="Arial" w:eastAsia="Calibri" w:hAnsi="Arial" w:cs="Arial"/>
          <w:sz w:val="20"/>
        </w:rPr>
        <w:t xml:space="preserve">If reporting leachate or other liquids addition under 40 CFR 60.767(k), the permittee must keep records of any engineering calculations or company records used to estimate the quantities of leachate or liquids added, the surface areas for which the leachate or liquids were applied, and the estimates of annual waste acceptance or total waste in place in the areas where leachate or liquids were applied. </w:t>
      </w:r>
      <w:r w:rsidRPr="00A32732">
        <w:rPr>
          <w:rFonts w:ascii="Arial" w:eastAsia="Calibri" w:hAnsi="Arial" w:cs="Arial"/>
          <w:b/>
          <w:sz w:val="20"/>
        </w:rPr>
        <w:t xml:space="preserve"> (40 CFR 60.768(j))</w:t>
      </w:r>
    </w:p>
    <w:p w14:paraId="06C62CFF" w14:textId="77777777" w:rsidR="00A32732" w:rsidRPr="00A32732" w:rsidRDefault="00000000" w:rsidP="00845853">
      <w:pPr>
        <w:spacing w:before="120"/>
        <w:jc w:val="both"/>
        <w:rPr>
          <w:rFonts w:ascii="Arial" w:eastAsia="Times New Roman" w:hAnsi="Arial" w:cs="Times New Roman"/>
          <w:b/>
          <w:sz w:val="20"/>
          <w:szCs w:val="20"/>
        </w:rPr>
      </w:pPr>
      <w:r w:rsidRPr="00A32732">
        <w:rPr>
          <w:rFonts w:ascii="Arial" w:eastAsia="Times New Roman" w:hAnsi="Arial" w:cs="Times New Roman"/>
          <w:b/>
          <w:sz w:val="20"/>
          <w:szCs w:val="20"/>
        </w:rPr>
        <w:t>See Appendix 7</w:t>
      </w:r>
    </w:p>
    <w:p w14:paraId="02299823" w14:textId="77777777" w:rsidR="00A32732" w:rsidRPr="00A32732" w:rsidRDefault="00000000" w:rsidP="00845853">
      <w:pPr>
        <w:pStyle w:val="Heading5"/>
        <w:rPr>
          <w:sz w:val="20"/>
        </w:rPr>
      </w:pPr>
      <w:r w:rsidRPr="00A32732">
        <w:t>VII.  REPORTING</w:t>
      </w:r>
    </w:p>
    <w:p w14:paraId="6C6AD432" w14:textId="77777777" w:rsidR="00A32732" w:rsidRPr="00A32732" w:rsidRDefault="00000000" w:rsidP="00040DBE">
      <w:pPr>
        <w:numPr>
          <w:ilvl w:val="0"/>
          <w:numId w:val="7"/>
        </w:numPr>
        <w:spacing w:before="160"/>
        <w:ind w:left="360"/>
        <w:rPr>
          <w:rFonts w:ascii="Arial" w:eastAsia="Times New Roman" w:hAnsi="Arial" w:cs="Times New Roman"/>
          <w:sz w:val="20"/>
          <w:szCs w:val="20"/>
        </w:rPr>
      </w:pPr>
      <w:r w:rsidRPr="00A32732">
        <w:rPr>
          <w:rFonts w:ascii="Arial" w:eastAsia="Times New Roman" w:hAnsi="Arial" w:cs="Times New Roman"/>
          <w:sz w:val="20"/>
          <w:szCs w:val="20"/>
        </w:rPr>
        <w:t xml:space="preserve">Prompt reporting of deviations pursuant to General Conditions 21 and 22 of Part A.  </w:t>
      </w:r>
      <w:r w:rsidRPr="00A32732">
        <w:rPr>
          <w:rFonts w:ascii="Arial" w:eastAsia="Times New Roman" w:hAnsi="Arial" w:cs="Times New Roman"/>
          <w:b/>
          <w:sz w:val="20"/>
          <w:szCs w:val="20"/>
        </w:rPr>
        <w:t>(R 336.1213(3)(c)(ii))</w:t>
      </w:r>
    </w:p>
    <w:p w14:paraId="2258335B" w14:textId="2278B4E7" w:rsidR="00A32732" w:rsidRPr="00A32732" w:rsidRDefault="00000000" w:rsidP="00040DBE">
      <w:pPr>
        <w:numPr>
          <w:ilvl w:val="0"/>
          <w:numId w:val="7"/>
        </w:numPr>
        <w:spacing w:before="160"/>
        <w:ind w:left="360"/>
        <w:rPr>
          <w:rFonts w:ascii="Arial" w:eastAsia="Times New Roman" w:hAnsi="Arial" w:cs="Times New Roman"/>
          <w:sz w:val="20"/>
          <w:szCs w:val="20"/>
        </w:rPr>
      </w:pPr>
      <w:r w:rsidRPr="00A32732">
        <w:rPr>
          <w:rFonts w:ascii="Arial" w:eastAsia="Times New Roman" w:hAnsi="Arial" w:cs="Times New Roman"/>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A32732">
        <w:rPr>
          <w:rFonts w:ascii="Arial" w:eastAsia="Times New Roman" w:hAnsi="Arial" w:cs="Times New Roman"/>
          <w:b/>
          <w:sz w:val="20"/>
          <w:szCs w:val="20"/>
        </w:rPr>
        <w:t>(R 336.1213(3)(c)(i))</w:t>
      </w:r>
    </w:p>
    <w:p w14:paraId="7F1E39C6" w14:textId="7B5A9118" w:rsidR="00A32732" w:rsidRPr="00A32732" w:rsidRDefault="00000000" w:rsidP="00040DBE">
      <w:pPr>
        <w:numPr>
          <w:ilvl w:val="0"/>
          <w:numId w:val="7"/>
        </w:numPr>
        <w:spacing w:before="160"/>
        <w:ind w:left="360"/>
        <w:rPr>
          <w:rFonts w:ascii="Arial" w:eastAsia="Times New Roman" w:hAnsi="Arial" w:cs="Times New Roman"/>
          <w:b/>
          <w:sz w:val="20"/>
          <w:szCs w:val="20"/>
        </w:rPr>
      </w:pPr>
      <w:r w:rsidRPr="00A32732">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A32732">
        <w:rPr>
          <w:rFonts w:ascii="Arial" w:eastAsia="Times New Roman" w:hAnsi="Arial" w:cs="Times New Roman"/>
          <w:b/>
          <w:sz w:val="20"/>
          <w:szCs w:val="20"/>
        </w:rPr>
        <w:t>(R 336.1213(4)(c))</w:t>
      </w:r>
    </w:p>
    <w:p w14:paraId="73B694DC" w14:textId="783C4207"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Arial"/>
          <w:sz w:val="20"/>
          <w:szCs w:val="20"/>
        </w:rPr>
        <w:t xml:space="preserve">The permittee must submit an annual NMOC emission rate report to the AQD.  This report must contain an annual or 5-year estimate of the NMOC emission rate and all the data, calculations, sample reports and measurements used to estimate the annual or 5-year emissions.  </w:t>
      </w:r>
      <w:r w:rsidRPr="00A32732">
        <w:rPr>
          <w:rFonts w:ascii="Arial" w:eastAsia="Times New Roman" w:hAnsi="Arial" w:cs="Arial"/>
          <w:b/>
          <w:sz w:val="20"/>
          <w:szCs w:val="20"/>
        </w:rPr>
        <w:t>(40 CFR 60.767(b)(1) and (2))</w:t>
      </w:r>
    </w:p>
    <w:p w14:paraId="5C392BB7" w14:textId="113EAA85"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Arial"/>
          <w:sz w:val="20"/>
          <w:szCs w:val="20"/>
        </w:rPr>
        <w:t xml:space="preserve">The permittee must submit any performance test reports to the AQD, in a format approved by the AQD.  </w:t>
      </w:r>
      <w:r w:rsidRPr="00A32732">
        <w:rPr>
          <w:rFonts w:ascii="Arial" w:eastAsia="Times New Roman" w:hAnsi="Arial" w:cs="Arial"/>
          <w:b/>
          <w:bCs/>
          <w:sz w:val="20"/>
          <w:szCs w:val="20"/>
        </w:rPr>
        <w:t>(R</w:t>
      </w:r>
      <w:r w:rsidR="00E83399">
        <w:rPr>
          <w:rFonts w:ascii="Arial" w:eastAsia="Times New Roman" w:hAnsi="Arial" w:cs="Arial"/>
          <w:b/>
          <w:bCs/>
          <w:sz w:val="20"/>
          <w:szCs w:val="20"/>
        </w:rPr>
        <w:t> </w:t>
      </w:r>
      <w:r w:rsidRPr="00A32732">
        <w:rPr>
          <w:rFonts w:ascii="Arial" w:eastAsia="Times New Roman" w:hAnsi="Arial" w:cs="Arial"/>
          <w:b/>
          <w:bCs/>
          <w:sz w:val="20"/>
          <w:szCs w:val="20"/>
        </w:rPr>
        <w:t>336.2001(</w:t>
      </w:r>
      <w:r w:rsidR="00040DBE">
        <w:rPr>
          <w:rFonts w:ascii="Arial" w:eastAsia="Times New Roman" w:hAnsi="Arial" w:cs="Arial"/>
          <w:b/>
          <w:bCs/>
          <w:sz w:val="20"/>
          <w:szCs w:val="20"/>
        </w:rPr>
        <w:t>4</w:t>
      </w:r>
      <w:r w:rsidRPr="00A32732">
        <w:rPr>
          <w:rFonts w:ascii="Arial" w:eastAsia="Times New Roman" w:hAnsi="Arial" w:cs="Arial"/>
          <w:b/>
          <w:bCs/>
          <w:sz w:val="20"/>
          <w:szCs w:val="20"/>
        </w:rPr>
        <w:t>))</w:t>
      </w:r>
    </w:p>
    <w:p w14:paraId="2A74B646" w14:textId="77777777"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Arial"/>
          <w:sz w:val="20"/>
          <w:szCs w:val="20"/>
        </w:rPr>
        <w:t xml:space="preserve">The permittee must submit an initial design capacity report no later than 90 days after the date of commenced construction, modification, or reconstruction.  This report must contain the information described in 40 CFR 60.767(a)(2).  </w:t>
      </w:r>
      <w:r w:rsidRPr="00A32732">
        <w:rPr>
          <w:rFonts w:ascii="Arial" w:eastAsia="Times New Roman" w:hAnsi="Arial" w:cs="Arial"/>
          <w:b/>
          <w:sz w:val="20"/>
          <w:szCs w:val="20"/>
        </w:rPr>
        <w:t>(40 CFR 60.767(a)(1) and (2))</w:t>
      </w:r>
    </w:p>
    <w:p w14:paraId="335D0B29" w14:textId="77777777"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Arial"/>
          <w:sz w:val="20"/>
          <w:szCs w:val="20"/>
        </w:rPr>
        <w:t xml:space="preserve">The permittee must submit an amended design capacity report providing notification of an increase in the design capacity of the landfill within 90 days of an increase in the maximum design capacity of the landfill to meet or exceed 2.5 million megagrams and 2.5 million cubic meters.  </w:t>
      </w:r>
      <w:r w:rsidRPr="00A32732">
        <w:rPr>
          <w:rFonts w:ascii="Arial" w:eastAsia="Times New Roman" w:hAnsi="Arial" w:cs="Arial"/>
          <w:b/>
          <w:sz w:val="20"/>
          <w:szCs w:val="20"/>
        </w:rPr>
        <w:t>(40 CFR 60.767(a)(3))</w:t>
      </w:r>
    </w:p>
    <w:p w14:paraId="7DE9FBB7" w14:textId="21AC6E4B"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Arial"/>
          <w:sz w:val="20"/>
          <w:szCs w:val="20"/>
        </w:rPr>
        <w:lastRenderedPageBreak/>
        <w:t xml:space="preserve">If the permittee elects to recalculate the NMOC emission rate after Tier 2 NMOC sampling and analysis and the resulting rate is less than 34 Mg per year, a revised NMOC emission rate report with the recalculated emission rate must be submitted within 180 days of the first calculated exceedance of 34 Mg per year. </w:t>
      </w:r>
      <w:r w:rsidR="006874F8">
        <w:rPr>
          <w:rFonts w:ascii="Arial" w:eastAsia="Times New Roman" w:hAnsi="Arial" w:cs="Arial"/>
          <w:sz w:val="20"/>
          <w:szCs w:val="20"/>
        </w:rPr>
        <w:t xml:space="preserve"> </w:t>
      </w:r>
      <w:r w:rsidRPr="00A32732">
        <w:rPr>
          <w:rFonts w:ascii="Arial" w:eastAsia="Times New Roman" w:hAnsi="Arial" w:cs="Arial"/>
          <w:b/>
          <w:sz w:val="20"/>
          <w:szCs w:val="20"/>
        </w:rPr>
        <w:t>(40 CFR 60.767(c)(4)(i))</w:t>
      </w:r>
    </w:p>
    <w:p w14:paraId="56D551E9" w14:textId="77777777"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Arial"/>
          <w:sz w:val="20"/>
          <w:szCs w:val="20"/>
        </w:rPr>
        <w:t xml:space="preserve">If the permittee elects to recalculate the NMOC emission rate after determining a site-specific methane generation rate constant k, as provided in Tier 3 and the resulting NMOC emission rate is less than 34 Mg per year, a revised NMOC emission rate report and the resulting site-specific methane generation rate constant k must be submitted within 1 year of the first calculated emission rate equaling or exceeding 34 Mg per year. </w:t>
      </w:r>
      <w:r w:rsidRPr="00A32732">
        <w:rPr>
          <w:rFonts w:ascii="Arial" w:eastAsia="Times New Roman" w:hAnsi="Arial" w:cs="Arial"/>
          <w:b/>
          <w:sz w:val="20"/>
          <w:szCs w:val="20"/>
        </w:rPr>
        <w:t xml:space="preserve"> (40 CFR 60.767(c)(4)(ii))</w:t>
      </w:r>
    </w:p>
    <w:p w14:paraId="2F92A8EA" w14:textId="77777777"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Arial"/>
          <w:sz w:val="20"/>
          <w:szCs w:val="20"/>
        </w:rPr>
        <w:t xml:space="preserve">If the permittee elects to demonstrate that site-specific surface methane emissions are below 500 ppm methane, then the owner or operator must submit annually a Tier 4 surface emissions report.  The initial Tier 4 surface emissions report must be submitted annually, starting within 30 days of completing the fourth quarter of Tier 4 surface emissions monitoring that demonstrates that site-specific surface methane emissions are below 500 ppm methane. </w:t>
      </w:r>
      <w:r w:rsidRPr="00A32732">
        <w:rPr>
          <w:rFonts w:ascii="Arial" w:eastAsia="Times New Roman" w:hAnsi="Arial" w:cs="Arial"/>
          <w:b/>
          <w:sz w:val="20"/>
          <w:szCs w:val="20"/>
        </w:rPr>
        <w:t xml:space="preserve"> (40 CFR 60.767(c)(4)(iii))</w:t>
      </w:r>
    </w:p>
    <w:p w14:paraId="0D3AC624" w14:textId="7B142C5D"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Times New Roman"/>
          <w:sz w:val="20"/>
          <w:szCs w:val="20"/>
        </w:rPr>
        <w:t>The permittee must submit a closure report to the AQD within 30 days of waste acceptance cessation.  The AQD may request additional information as may be necessary to verify that permanent closure has taken place in accordance with the requirements of 40 CFR 258.60.  If a closure report has been submitted to the AQD, no additional wastes may be placed into the landfill without filing a notification of modification as described under 40</w:t>
      </w:r>
      <w:r w:rsidR="00CC34E1">
        <w:rPr>
          <w:rFonts w:ascii="Arial" w:eastAsia="Times New Roman" w:hAnsi="Arial" w:cs="Times New Roman"/>
          <w:sz w:val="20"/>
          <w:szCs w:val="20"/>
        </w:rPr>
        <w:t> </w:t>
      </w:r>
      <w:r w:rsidRPr="00A32732">
        <w:rPr>
          <w:rFonts w:ascii="Arial" w:eastAsia="Times New Roman" w:hAnsi="Arial" w:cs="Times New Roman"/>
          <w:sz w:val="20"/>
          <w:szCs w:val="20"/>
        </w:rPr>
        <w:t xml:space="preserve">CFR 60.7(a)(4). </w:t>
      </w:r>
      <w:r w:rsidRPr="00A32732">
        <w:rPr>
          <w:rFonts w:ascii="Arial" w:eastAsia="Times New Roman" w:hAnsi="Arial" w:cs="Arial"/>
          <w:szCs w:val="20"/>
        </w:rPr>
        <w:t xml:space="preserve"> </w:t>
      </w:r>
      <w:r w:rsidRPr="00A32732">
        <w:rPr>
          <w:rFonts w:ascii="Arial" w:eastAsia="Times New Roman" w:hAnsi="Arial" w:cs="Arial"/>
          <w:b/>
          <w:sz w:val="20"/>
          <w:szCs w:val="20"/>
        </w:rPr>
        <w:t>(40 CFR 60.767(e))</w:t>
      </w:r>
    </w:p>
    <w:p w14:paraId="230556D6" w14:textId="371CE0AC" w:rsidR="00A32732" w:rsidRPr="00A32732" w:rsidRDefault="00000000" w:rsidP="00040DBE">
      <w:pPr>
        <w:numPr>
          <w:ilvl w:val="0"/>
          <w:numId w:val="7"/>
        </w:numPr>
        <w:spacing w:before="160"/>
        <w:ind w:left="360"/>
        <w:rPr>
          <w:rFonts w:ascii="Arial" w:eastAsia="Times New Roman" w:hAnsi="Arial" w:cs="Arial"/>
          <w:sz w:val="20"/>
          <w:szCs w:val="20"/>
        </w:rPr>
      </w:pPr>
      <w:r w:rsidRPr="00A32732">
        <w:rPr>
          <w:rFonts w:ascii="Arial" w:eastAsia="Times New Roman" w:hAnsi="Arial" w:cs="Times New Roman"/>
          <w:sz w:val="20"/>
          <w:szCs w:val="20"/>
        </w:rPr>
        <w:t xml:space="preserve">Within 60 days after the date of completing each performance test (as defined in 40 CFR 60.8), the owner or operator must submit the results of each performance test for data collected using test methods supported by the USEPA's </w:t>
      </w:r>
      <w:hyperlink r:id="rId8" w:history="1">
        <w:r w:rsidR="00A32732" w:rsidRPr="00845853">
          <w:rPr>
            <w:rStyle w:val="Hyperlink"/>
            <w:rFonts w:ascii="Arial" w:eastAsia="Times New Roman" w:hAnsi="Arial" w:cs="Times New Roman"/>
            <w:sz w:val="20"/>
            <w:szCs w:val="20"/>
          </w:rPr>
          <w:t>Electronic Reporting Tool</w:t>
        </w:r>
      </w:hyperlink>
      <w:r w:rsidRPr="00A32732">
        <w:rPr>
          <w:rFonts w:ascii="Arial" w:eastAsia="Times New Roman" w:hAnsi="Arial" w:cs="Times New Roman"/>
          <w:sz w:val="20"/>
          <w:szCs w:val="20"/>
        </w:rPr>
        <w:t xml:space="preserve"> (ERT) as listed on the USEPA's ERT Web site at the time of the test.  The permittee must submit the results of the performance test to the USEPA via the Compliance and Emissions Data Reporting Interface (CEDRI).  CEDRI can be accessed through the USEPA's </w:t>
      </w:r>
      <w:hyperlink r:id="rId9" w:history="1">
        <w:r w:rsidR="00A32732" w:rsidRPr="00845853">
          <w:rPr>
            <w:rStyle w:val="Hyperlink"/>
            <w:rFonts w:ascii="Arial" w:eastAsia="Times New Roman" w:hAnsi="Arial" w:cs="Times New Roman"/>
            <w:sz w:val="20"/>
            <w:szCs w:val="20"/>
          </w:rPr>
          <w:t>Central Data Exchange</w:t>
        </w:r>
      </w:hyperlink>
      <w:r w:rsidRPr="00A32732">
        <w:rPr>
          <w:rFonts w:ascii="Arial" w:eastAsia="Times New Roman" w:hAnsi="Arial" w:cs="Times New Roman"/>
          <w:sz w:val="20"/>
          <w:szCs w:val="20"/>
        </w:rPr>
        <w:t xml:space="preserve"> (CDX).</w:t>
      </w:r>
      <w:r w:rsidRPr="00A32732">
        <w:rPr>
          <w:rFonts w:ascii="Arial" w:eastAsia="Times New Roman" w:hAnsi="Arial" w:cs="Times New Roman"/>
          <w:color w:val="0000FF"/>
          <w:sz w:val="20"/>
          <w:szCs w:val="20"/>
        </w:rPr>
        <w:t xml:space="preserve">  </w:t>
      </w:r>
      <w:r w:rsidRPr="00A32732">
        <w:rPr>
          <w:rFonts w:ascii="Arial" w:eastAsia="Times New Roman" w:hAnsi="Arial" w:cs="Times New Roman"/>
          <w:b/>
          <w:sz w:val="20"/>
          <w:szCs w:val="20"/>
        </w:rPr>
        <w:t>(40 CFR 60.767(i))</w:t>
      </w:r>
    </w:p>
    <w:p w14:paraId="3B421620" w14:textId="2A6A23D4" w:rsidR="00A32732" w:rsidRPr="00766B2A" w:rsidRDefault="00000000" w:rsidP="00040DBE">
      <w:pPr>
        <w:spacing w:before="160"/>
        <w:rPr>
          <w:rFonts w:ascii="Arial" w:eastAsia="Calibri" w:hAnsi="Arial" w:cs="Times New Roman"/>
          <w:color w:val="ED0000"/>
          <w:sz w:val="20"/>
        </w:rPr>
      </w:pPr>
      <w:r w:rsidRPr="00766B2A">
        <w:rPr>
          <w:rFonts w:ascii="Arial" w:eastAsia="Calibri" w:hAnsi="Arial" w:cs="Arial"/>
          <w:b/>
          <w:bCs/>
          <w:color w:val="ED0000"/>
          <w:sz w:val="20"/>
        </w:rPr>
        <w:t>OPTIONAL:</w:t>
      </w:r>
      <w:r w:rsidRPr="00766B2A">
        <w:rPr>
          <w:rFonts w:ascii="Arial" w:eastAsia="Calibri" w:hAnsi="Arial" w:cs="Arial"/>
          <w:color w:val="ED0000"/>
          <w:sz w:val="20"/>
        </w:rPr>
        <w:t xml:space="preserve">  Use if the owner or operator of the affected landfill has employed leachate recirculation or added liquids based on a Research, Development, and Demonstration permit (issued through Resource Conservation and Recovery Act, Subtitle D, Part 258) within the last 10 years for an annual liquids addition report. </w:t>
      </w:r>
      <w:r w:rsidR="00A365B8" w:rsidRPr="00766B2A">
        <w:rPr>
          <w:rFonts w:ascii="Arial" w:eastAsia="Calibri" w:hAnsi="Arial" w:cs="Arial"/>
          <w:color w:val="ED0000"/>
          <w:sz w:val="20"/>
        </w:rPr>
        <w:t xml:space="preserve"> </w:t>
      </w:r>
      <w:r w:rsidR="00A365B8" w:rsidRPr="00766B2A">
        <w:rPr>
          <w:rFonts w:ascii="Arial" w:eastAsia="Calibri" w:hAnsi="Arial" w:cs="Times New Roman"/>
          <w:b/>
          <w:bCs/>
          <w:color w:val="ED0000"/>
          <w:sz w:val="20"/>
          <w:szCs w:val="20"/>
        </w:rPr>
        <w:t>{if using this option, make sure to use optional condition 3 under MONITORING</w:t>
      </w:r>
      <w:r w:rsidR="00ED7342" w:rsidRPr="00766B2A">
        <w:rPr>
          <w:rFonts w:ascii="Arial" w:eastAsia="Calibri" w:hAnsi="Arial" w:cs="Times New Roman"/>
          <w:b/>
          <w:bCs/>
          <w:color w:val="ED0000"/>
          <w:sz w:val="20"/>
          <w:szCs w:val="20"/>
        </w:rPr>
        <w:t>/RECORDKEEPING</w:t>
      </w:r>
      <w:r w:rsidR="00A365B8" w:rsidRPr="00766B2A">
        <w:rPr>
          <w:rFonts w:ascii="Arial" w:eastAsia="Calibri" w:hAnsi="Arial" w:cs="Times New Roman"/>
          <w:b/>
          <w:bCs/>
          <w:color w:val="ED0000"/>
          <w:sz w:val="20"/>
          <w:szCs w:val="20"/>
        </w:rPr>
        <w:t xml:space="preserve"> as well.}</w:t>
      </w:r>
    </w:p>
    <w:p w14:paraId="7157A27D" w14:textId="7A4DE353" w:rsidR="00A32732" w:rsidRPr="00A32732" w:rsidRDefault="00000000" w:rsidP="00040DBE">
      <w:pPr>
        <w:numPr>
          <w:ilvl w:val="0"/>
          <w:numId w:val="7"/>
        </w:numPr>
        <w:spacing w:before="160"/>
        <w:ind w:left="360"/>
        <w:rPr>
          <w:rFonts w:ascii="Arial" w:eastAsia="Calibri" w:hAnsi="Arial" w:cs="Arial"/>
          <w:bCs/>
          <w:sz w:val="20"/>
        </w:rPr>
      </w:pPr>
      <w:r w:rsidRPr="00A32732">
        <w:rPr>
          <w:rFonts w:ascii="Arial" w:eastAsia="Calibri" w:hAnsi="Arial" w:cs="Arial"/>
          <w:bCs/>
          <w:sz w:val="20"/>
        </w:rPr>
        <w:t>Annually, the permittee must submit a liquids addition report, to the AQD, within 365 days after the date the previous report was submitted with the following information:</w:t>
      </w:r>
    </w:p>
    <w:p w14:paraId="4A017F95" w14:textId="77777777" w:rsidR="00A32732" w:rsidRPr="00A32732" w:rsidRDefault="00000000" w:rsidP="00040DBE">
      <w:pPr>
        <w:numPr>
          <w:ilvl w:val="0"/>
          <w:numId w:val="8"/>
        </w:numPr>
        <w:spacing w:before="160"/>
        <w:ind w:left="720"/>
        <w:rPr>
          <w:rFonts w:ascii="Arial" w:eastAsia="Calibri" w:hAnsi="Arial" w:cs="Arial"/>
          <w:bCs/>
          <w:sz w:val="20"/>
        </w:rPr>
      </w:pPr>
      <w:r w:rsidRPr="00A32732">
        <w:rPr>
          <w:rFonts w:ascii="Arial" w:eastAsia="Calibri" w:hAnsi="Arial" w:cs="Arial"/>
          <w:sz w:val="20"/>
        </w:rPr>
        <w:t xml:space="preserve">Volume of leachate recirculated (gallons per year) and the reported basis of those estimates (records or engineering estimates).  </w:t>
      </w:r>
      <w:r w:rsidRPr="00A32732">
        <w:rPr>
          <w:rFonts w:ascii="Arial" w:eastAsia="Calibri" w:hAnsi="Arial" w:cs="Arial"/>
          <w:b/>
          <w:bCs/>
          <w:sz w:val="20"/>
        </w:rPr>
        <w:t>(40 CFR 60.767(k)(1))</w:t>
      </w:r>
    </w:p>
    <w:p w14:paraId="36885FCE" w14:textId="77777777" w:rsidR="00A32732" w:rsidRPr="00A32732" w:rsidRDefault="00000000" w:rsidP="00040DBE">
      <w:pPr>
        <w:numPr>
          <w:ilvl w:val="0"/>
          <w:numId w:val="8"/>
        </w:numPr>
        <w:spacing w:before="160"/>
        <w:ind w:left="720"/>
        <w:rPr>
          <w:rFonts w:ascii="Arial" w:eastAsia="Calibri" w:hAnsi="Arial" w:cs="Arial"/>
          <w:bCs/>
          <w:sz w:val="20"/>
        </w:rPr>
      </w:pPr>
      <w:r w:rsidRPr="00A32732">
        <w:rPr>
          <w:rFonts w:ascii="Arial" w:eastAsia="Calibri" w:hAnsi="Arial" w:cs="Arial"/>
          <w:sz w:val="20"/>
        </w:rPr>
        <w:t xml:space="preserve">Total volume of all other liquids added (gallons per year) and the reported basis of those estimates (records or engineering estimates).  </w:t>
      </w:r>
      <w:r w:rsidRPr="00A32732">
        <w:rPr>
          <w:rFonts w:ascii="Arial" w:eastAsia="Calibri" w:hAnsi="Arial" w:cs="Arial"/>
          <w:b/>
          <w:bCs/>
          <w:sz w:val="20"/>
        </w:rPr>
        <w:t>(40 CFR 60.767(k)(2)</w:t>
      </w:r>
    </w:p>
    <w:p w14:paraId="28D03229" w14:textId="77777777" w:rsidR="00A32732" w:rsidRPr="00A32732" w:rsidRDefault="00000000" w:rsidP="00040DBE">
      <w:pPr>
        <w:numPr>
          <w:ilvl w:val="0"/>
          <w:numId w:val="8"/>
        </w:numPr>
        <w:spacing w:before="160"/>
        <w:ind w:left="720"/>
        <w:rPr>
          <w:rFonts w:ascii="Arial" w:eastAsia="Calibri" w:hAnsi="Arial" w:cs="Arial"/>
          <w:b/>
          <w:bCs/>
          <w:sz w:val="20"/>
        </w:rPr>
      </w:pPr>
      <w:r w:rsidRPr="00A32732">
        <w:rPr>
          <w:rFonts w:ascii="Arial" w:eastAsia="Calibri" w:hAnsi="Arial" w:cs="Arial"/>
          <w:sz w:val="20"/>
        </w:rPr>
        <w:t xml:space="preserve">Surface area (acres) over which the leachate is recirculated (or otherwise applied).  </w:t>
      </w:r>
      <w:r w:rsidRPr="00A32732">
        <w:rPr>
          <w:rFonts w:ascii="Arial" w:eastAsia="Calibri" w:hAnsi="Arial" w:cs="Arial"/>
          <w:b/>
          <w:bCs/>
          <w:sz w:val="20"/>
        </w:rPr>
        <w:t>(40 CFR 60.767(k)(3))</w:t>
      </w:r>
    </w:p>
    <w:p w14:paraId="56211DF1" w14:textId="77777777" w:rsidR="00A32732" w:rsidRPr="00A32732" w:rsidRDefault="00000000" w:rsidP="00040DBE">
      <w:pPr>
        <w:numPr>
          <w:ilvl w:val="0"/>
          <w:numId w:val="8"/>
        </w:numPr>
        <w:spacing w:before="160"/>
        <w:ind w:left="720"/>
        <w:rPr>
          <w:rFonts w:ascii="Arial" w:eastAsia="Calibri" w:hAnsi="Arial" w:cs="Arial"/>
          <w:b/>
          <w:bCs/>
          <w:sz w:val="20"/>
        </w:rPr>
      </w:pPr>
      <w:r w:rsidRPr="00A32732">
        <w:rPr>
          <w:rFonts w:ascii="Arial" w:eastAsia="Calibri" w:hAnsi="Arial" w:cs="Arial"/>
          <w:sz w:val="20"/>
        </w:rPr>
        <w:t xml:space="preserve">Surface area (acres) over which any other liquids are applied.  </w:t>
      </w:r>
      <w:r w:rsidRPr="00A32732">
        <w:rPr>
          <w:rFonts w:ascii="Arial" w:eastAsia="Calibri" w:hAnsi="Arial" w:cs="Arial"/>
          <w:b/>
          <w:bCs/>
          <w:sz w:val="20"/>
        </w:rPr>
        <w:t>(40 CFR 60.767(k)(4))</w:t>
      </w:r>
    </w:p>
    <w:p w14:paraId="4F869897" w14:textId="77777777" w:rsidR="00A32732" w:rsidRPr="00A32732" w:rsidRDefault="00000000" w:rsidP="00040DBE">
      <w:pPr>
        <w:numPr>
          <w:ilvl w:val="0"/>
          <w:numId w:val="8"/>
        </w:numPr>
        <w:spacing w:before="160"/>
        <w:ind w:left="720"/>
        <w:rPr>
          <w:rFonts w:ascii="Arial" w:eastAsia="Calibri" w:hAnsi="Arial" w:cs="Arial"/>
          <w:b/>
          <w:bCs/>
          <w:sz w:val="20"/>
        </w:rPr>
      </w:pPr>
      <w:r w:rsidRPr="00A32732">
        <w:rPr>
          <w:rFonts w:ascii="Arial" w:eastAsia="Calibri" w:hAnsi="Arial" w:cs="Arial"/>
          <w:sz w:val="20"/>
        </w:rPr>
        <w:t xml:space="preserve">The total waste disposed (megagrams) in the areas with recirculated leachate and/or added liquids based on on-site records to the extent data are available, or engineering estimates and the reported basis of those estimates.  </w:t>
      </w:r>
      <w:r w:rsidRPr="00A32732">
        <w:rPr>
          <w:rFonts w:ascii="Arial" w:eastAsia="Calibri" w:hAnsi="Arial" w:cs="Arial"/>
          <w:b/>
          <w:bCs/>
          <w:sz w:val="20"/>
        </w:rPr>
        <w:t>(40 CFR 60.767(k)(5))</w:t>
      </w:r>
    </w:p>
    <w:p w14:paraId="7998C439" w14:textId="1A929C3E" w:rsidR="00A32732" w:rsidRPr="00A32732" w:rsidRDefault="00000000" w:rsidP="00040DBE">
      <w:pPr>
        <w:numPr>
          <w:ilvl w:val="0"/>
          <w:numId w:val="8"/>
        </w:numPr>
        <w:spacing w:before="160"/>
        <w:ind w:left="720"/>
        <w:rPr>
          <w:rFonts w:ascii="Arial" w:eastAsia="Calibri" w:hAnsi="Arial" w:cs="Arial"/>
          <w:b/>
          <w:bCs/>
          <w:sz w:val="20"/>
        </w:rPr>
      </w:pPr>
      <w:r w:rsidRPr="00A32732">
        <w:rPr>
          <w:rFonts w:ascii="Arial" w:eastAsia="Calibri" w:hAnsi="Arial" w:cs="Arial"/>
          <w:sz w:val="20"/>
        </w:rPr>
        <w:t xml:space="preserve">The annual waste acceptance rates (megagrams per year) in the areas with recirculated leachate and/or added liquids, based on on-site records to the extent data are available, or engineering estimates.  </w:t>
      </w:r>
      <w:r w:rsidRPr="00A32732">
        <w:rPr>
          <w:rFonts w:ascii="Arial" w:eastAsia="Calibri" w:hAnsi="Arial" w:cs="Arial"/>
          <w:b/>
          <w:bCs/>
          <w:sz w:val="20"/>
        </w:rPr>
        <w:t>(40</w:t>
      </w:r>
      <w:r w:rsidR="00845853">
        <w:rPr>
          <w:rFonts w:ascii="Arial" w:eastAsia="Calibri" w:hAnsi="Arial" w:cs="Arial"/>
          <w:b/>
          <w:bCs/>
          <w:sz w:val="20"/>
        </w:rPr>
        <w:t> </w:t>
      </w:r>
      <w:r w:rsidRPr="00A32732">
        <w:rPr>
          <w:rFonts w:ascii="Arial" w:eastAsia="Calibri" w:hAnsi="Arial" w:cs="Arial"/>
          <w:b/>
          <w:bCs/>
          <w:sz w:val="20"/>
        </w:rPr>
        <w:t>CFR 60.767(k)(6))</w:t>
      </w:r>
    </w:p>
    <w:p w14:paraId="74ACCA12" w14:textId="77777777" w:rsidR="00A32732" w:rsidRPr="00766B2A" w:rsidRDefault="00000000" w:rsidP="00040DBE">
      <w:pPr>
        <w:numPr>
          <w:ilvl w:val="0"/>
          <w:numId w:val="8"/>
        </w:numPr>
        <w:spacing w:before="160"/>
        <w:ind w:left="720"/>
        <w:rPr>
          <w:rFonts w:ascii="Arial" w:eastAsia="Calibri" w:hAnsi="Arial" w:cs="Arial"/>
          <w:b/>
          <w:bCs/>
          <w:color w:val="ED0000"/>
          <w:sz w:val="20"/>
        </w:rPr>
      </w:pPr>
      <w:r w:rsidRPr="00766B2A">
        <w:rPr>
          <w:rFonts w:ascii="Arial" w:eastAsia="Calibri" w:hAnsi="Arial" w:cs="Arial"/>
          <w:color w:val="ED0000"/>
          <w:sz w:val="20"/>
        </w:rPr>
        <w:t xml:space="preserve">The initial report must contain items (a) through (f) for the initial annual reporting period as well as for each of the previous 10 years, to the extent historical data are available in on-site records, and the report must be submitted no later than thirteen (13) months after the date of commenced construction, modification, or </w:t>
      </w:r>
      <w:r w:rsidRPr="00766B2A">
        <w:rPr>
          <w:rFonts w:ascii="Arial" w:eastAsia="Calibri" w:hAnsi="Arial" w:cs="Arial"/>
          <w:color w:val="ED0000"/>
          <w:sz w:val="20"/>
        </w:rPr>
        <w:lastRenderedPageBreak/>
        <w:t xml:space="preserve">reconstruction for landfills that commence construction, modification, or reconstruction after August 29, 2016 containing data for the first 12 months after August 29, 2016.  </w:t>
      </w:r>
      <w:r w:rsidRPr="00766B2A">
        <w:rPr>
          <w:rFonts w:ascii="Arial" w:eastAsia="Calibri" w:hAnsi="Arial" w:cs="Arial"/>
          <w:b/>
          <w:bCs/>
          <w:color w:val="ED0000"/>
          <w:sz w:val="20"/>
        </w:rPr>
        <w:t>(40 CFR 60.767(k)(7)(ii))</w:t>
      </w:r>
    </w:p>
    <w:p w14:paraId="263B189A" w14:textId="77777777" w:rsidR="00A32732" w:rsidRPr="00A32732" w:rsidRDefault="00000000" w:rsidP="00040DBE">
      <w:pPr>
        <w:spacing w:before="160"/>
        <w:jc w:val="both"/>
        <w:rPr>
          <w:rFonts w:ascii="Arial" w:eastAsia="Times New Roman" w:hAnsi="Arial" w:cs="Arial"/>
          <w:b/>
          <w:sz w:val="20"/>
          <w:szCs w:val="20"/>
        </w:rPr>
      </w:pPr>
      <w:r w:rsidRPr="00A32732">
        <w:rPr>
          <w:rFonts w:ascii="Arial" w:eastAsia="Times New Roman" w:hAnsi="Arial" w:cs="Arial"/>
          <w:b/>
          <w:sz w:val="20"/>
          <w:szCs w:val="20"/>
        </w:rPr>
        <w:t>See Appendix 8</w:t>
      </w:r>
    </w:p>
    <w:p w14:paraId="55AFADCA" w14:textId="77777777" w:rsidR="00A32732" w:rsidRPr="00A32732" w:rsidRDefault="00000000" w:rsidP="00845853">
      <w:pPr>
        <w:pStyle w:val="Heading5"/>
        <w:rPr>
          <w:sz w:val="20"/>
        </w:rPr>
      </w:pPr>
      <w:r w:rsidRPr="00A32732">
        <w:t>VIII.  STACK/VENT RESTRICTION(S)</w:t>
      </w:r>
    </w:p>
    <w:p w14:paraId="7090AB61" w14:textId="77777777" w:rsidR="00A32732" w:rsidRPr="00A32732" w:rsidRDefault="00000000" w:rsidP="00845853">
      <w:pPr>
        <w:spacing w:before="120"/>
        <w:jc w:val="both"/>
        <w:rPr>
          <w:rFonts w:ascii="Arial" w:eastAsia="Times New Roman" w:hAnsi="Arial" w:cs="Times New Roman"/>
          <w:sz w:val="20"/>
          <w:szCs w:val="20"/>
        </w:rPr>
      </w:pPr>
      <w:r w:rsidRPr="00A32732">
        <w:rPr>
          <w:rFonts w:ascii="Arial" w:eastAsia="Times New Roman" w:hAnsi="Arial" w:cs="Times New Roman"/>
          <w:sz w:val="20"/>
          <w:szCs w:val="20"/>
        </w:rPr>
        <w:t>NA</w:t>
      </w:r>
    </w:p>
    <w:p w14:paraId="4EEAED24" w14:textId="77777777" w:rsidR="00A32732" w:rsidRPr="00A32732" w:rsidRDefault="00000000" w:rsidP="00845853">
      <w:pPr>
        <w:pStyle w:val="Heading5"/>
        <w:rPr>
          <w:sz w:val="20"/>
        </w:rPr>
      </w:pPr>
      <w:r w:rsidRPr="00A32732">
        <w:t>IX.  OTHER REQUIREMENT(S)</w:t>
      </w:r>
    </w:p>
    <w:p w14:paraId="5FDC2AC4" w14:textId="4989388F" w:rsidR="00A32732" w:rsidRPr="00A32732" w:rsidRDefault="00000000" w:rsidP="00845853">
      <w:pPr>
        <w:numPr>
          <w:ilvl w:val="0"/>
          <w:numId w:val="9"/>
        </w:numPr>
        <w:spacing w:before="120"/>
        <w:rPr>
          <w:rFonts w:ascii="Arial" w:eastAsia="Times New Roman" w:hAnsi="Arial" w:cs="Times New Roman"/>
          <w:sz w:val="20"/>
          <w:szCs w:val="20"/>
        </w:rPr>
      </w:pPr>
      <w:r w:rsidRPr="00A32732">
        <w:rPr>
          <w:rFonts w:ascii="Arial" w:eastAsia="Times New Roman" w:hAnsi="Arial" w:cs="Arial"/>
          <w:sz w:val="20"/>
          <w:szCs w:val="20"/>
        </w:rPr>
        <w:t xml:space="preserve">If the </w:t>
      </w:r>
      <w:r w:rsidRPr="00A32732">
        <w:rPr>
          <w:rFonts w:ascii="Arial" w:eastAsia="Times New Roman" w:hAnsi="Arial" w:cs="Times New Roman"/>
          <w:sz w:val="20"/>
          <w:szCs w:val="20"/>
        </w:rPr>
        <w:t>calculated</w:t>
      </w:r>
      <w:r w:rsidRPr="00A32732">
        <w:rPr>
          <w:rFonts w:ascii="Arial" w:eastAsia="Times New Roman" w:hAnsi="Arial" w:cs="Arial"/>
          <w:sz w:val="20"/>
          <w:szCs w:val="20"/>
        </w:rPr>
        <w:t xml:space="preserve"> NMOC emission rate is calculated to be equal to or greater than 34 Mg per year or the methane concentration from the surface of the landfill is 500 ppm or greater, the permittee must install a collection and control system in compliance with 40 CFR 60.7</w:t>
      </w:r>
      <w:r w:rsidR="00173D3D">
        <w:rPr>
          <w:rFonts w:ascii="Arial" w:eastAsia="Times New Roman" w:hAnsi="Arial" w:cs="Arial"/>
          <w:sz w:val="20"/>
          <w:szCs w:val="20"/>
        </w:rPr>
        <w:t>6</w:t>
      </w:r>
      <w:r w:rsidRPr="00A32732">
        <w:rPr>
          <w:rFonts w:ascii="Arial" w:eastAsia="Times New Roman" w:hAnsi="Arial" w:cs="Arial"/>
          <w:sz w:val="20"/>
          <w:szCs w:val="20"/>
        </w:rPr>
        <w:t xml:space="preserve">2(b)(2).  Additionally, within 90 days the permittee must apply for a revision of this permit to reflect applicable requirements of 40 CFR Part 60, Subpart XXX.  </w:t>
      </w:r>
      <w:r w:rsidRPr="00A32732">
        <w:rPr>
          <w:rFonts w:ascii="Arial" w:eastAsia="Times New Roman" w:hAnsi="Arial" w:cs="Arial"/>
          <w:b/>
          <w:sz w:val="20"/>
          <w:szCs w:val="20"/>
        </w:rPr>
        <w:t>(R 336.1216(2), 40 CFR 60.762(b)(1)(ii)(A))</w:t>
      </w:r>
      <w:r w:rsidRPr="00A32732">
        <w:rPr>
          <w:rFonts w:ascii="Arial" w:eastAsia="Times New Roman" w:hAnsi="Arial" w:cs="Times New Roman"/>
          <w:sz w:val="20"/>
          <w:szCs w:val="20"/>
        </w:rPr>
        <w:t xml:space="preserve"> </w:t>
      </w:r>
    </w:p>
    <w:p w14:paraId="660740A5" w14:textId="77777777" w:rsidR="00A32732" w:rsidRPr="00A32732" w:rsidRDefault="00000000" w:rsidP="00845853">
      <w:pPr>
        <w:numPr>
          <w:ilvl w:val="0"/>
          <w:numId w:val="9"/>
        </w:num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The permittee must comply with all applicable provisions of </w:t>
      </w:r>
      <w:r w:rsidRPr="00A32732">
        <w:rPr>
          <w:rFonts w:ascii="Arial" w:eastAsia="Times New Roman" w:hAnsi="Arial" w:cs="Arial"/>
          <w:sz w:val="20"/>
          <w:szCs w:val="20"/>
        </w:rPr>
        <w:t xml:space="preserve">the federal Standards of Performance for New Stationary Sources as specified in </w:t>
      </w:r>
      <w:r w:rsidRPr="00A32732">
        <w:rPr>
          <w:rFonts w:ascii="Arial" w:eastAsia="Times New Roman" w:hAnsi="Arial" w:cs="Times New Roman"/>
          <w:sz w:val="20"/>
          <w:szCs w:val="20"/>
        </w:rPr>
        <w:t>40 CFR Part 60, Subparts A and XXX</w:t>
      </w:r>
      <w:r w:rsidRPr="00A32732">
        <w:rPr>
          <w:rFonts w:ascii="Arial" w:eastAsia="Times New Roman" w:hAnsi="Arial" w:cs="Times New Roman"/>
          <w:color w:val="0000FF"/>
          <w:sz w:val="20"/>
          <w:szCs w:val="20"/>
        </w:rPr>
        <w:t xml:space="preserve">.  </w:t>
      </w:r>
      <w:r w:rsidRPr="00A32732">
        <w:rPr>
          <w:rFonts w:ascii="Arial" w:eastAsia="Times New Roman" w:hAnsi="Arial" w:cs="Times New Roman"/>
          <w:b/>
          <w:sz w:val="20"/>
          <w:szCs w:val="20"/>
        </w:rPr>
        <w:t>(40 CFR Part 60, Subparts A and XXX)</w:t>
      </w:r>
    </w:p>
    <w:p w14:paraId="43EA566E" w14:textId="77777777" w:rsidR="00A32732" w:rsidRPr="00766B2A" w:rsidRDefault="00000000" w:rsidP="00845853">
      <w:pPr>
        <w:spacing w:before="120"/>
        <w:rPr>
          <w:rFonts w:ascii="Arial" w:eastAsia="Times New Roman" w:hAnsi="Arial" w:cs="Times New Roman"/>
          <w:color w:val="ED0000"/>
          <w:sz w:val="20"/>
          <w:szCs w:val="20"/>
        </w:rPr>
      </w:pPr>
      <w:r w:rsidRPr="00766B2A">
        <w:rPr>
          <w:rFonts w:ascii="Arial" w:eastAsia="Times New Roman" w:hAnsi="Arial" w:cs="Times New Roman"/>
          <w:color w:val="ED0000"/>
          <w:sz w:val="20"/>
          <w:szCs w:val="20"/>
        </w:rPr>
        <w:t>OPTIONAL:  Use the following condition only if a major source of HAPs as defined in 40 CFR 63.2.</w:t>
      </w:r>
    </w:p>
    <w:p w14:paraId="1002862B" w14:textId="77777777" w:rsidR="00A32732" w:rsidRPr="00A32732" w:rsidRDefault="00000000" w:rsidP="00845853">
      <w:pPr>
        <w:numPr>
          <w:ilvl w:val="0"/>
          <w:numId w:val="9"/>
        </w:numPr>
        <w:spacing w:before="120"/>
        <w:rPr>
          <w:rFonts w:ascii="Arial" w:eastAsia="Calibri" w:hAnsi="Arial" w:cs="Arial"/>
          <w:b/>
          <w:bCs/>
          <w:sz w:val="20"/>
        </w:rPr>
      </w:pPr>
      <w:r w:rsidRPr="00A32732">
        <w:rPr>
          <w:rFonts w:ascii="Arial" w:eastAsia="Calibri" w:hAnsi="Arial" w:cs="Arial"/>
          <w:sz w:val="20"/>
        </w:rPr>
        <w:t xml:space="preserve">The permittee must comply with all applicable provisions of the National Emissions Standards for Hazardous Air Pollutants: Municipal Solid Waste Landfills as specified in 40 CFR Part 63, Subparts A and AAAA.  </w:t>
      </w:r>
      <w:r w:rsidRPr="00A32732">
        <w:rPr>
          <w:rFonts w:ascii="Arial" w:eastAsia="Calibri" w:hAnsi="Arial" w:cs="Arial"/>
          <w:b/>
          <w:bCs/>
          <w:sz w:val="20"/>
        </w:rPr>
        <w:t>(40 CFR Part 63, Subparts A and AAAA)</w:t>
      </w:r>
    </w:p>
    <w:p w14:paraId="3F6841B3" w14:textId="77777777" w:rsidR="00A32732" w:rsidRPr="00A32732" w:rsidRDefault="00000000" w:rsidP="00A32732">
      <w:pPr>
        <w:spacing w:after="0" w:line="240" w:lineRule="auto"/>
        <w:jc w:val="both"/>
        <w:rPr>
          <w:rFonts w:ascii="Arial" w:eastAsia="Times New Roman" w:hAnsi="Arial" w:cs="Times New Roman"/>
          <w:color w:val="0000FF"/>
          <w:sz w:val="20"/>
          <w:szCs w:val="20"/>
        </w:rPr>
      </w:pPr>
      <w:r w:rsidRPr="00A32732">
        <w:rPr>
          <w:rFonts w:ascii="Arial" w:eastAsia="Times New Roman" w:hAnsi="Arial" w:cs="Times New Roman"/>
          <w:color w:val="0000FF"/>
          <w:sz w:val="20"/>
          <w:szCs w:val="20"/>
        </w:rPr>
        <w:t>Remove these footnotes if no PTIs are associated with this flexible group.</w:t>
      </w:r>
    </w:p>
    <w:p w14:paraId="1DAD56E8" w14:textId="77777777" w:rsidR="00A32732" w:rsidRPr="00845853" w:rsidRDefault="00000000" w:rsidP="00845853">
      <w:pPr>
        <w:spacing w:before="240" w:after="20"/>
        <w:jc w:val="both"/>
        <w:rPr>
          <w:rFonts w:ascii="Arial" w:eastAsia="Times New Roman" w:hAnsi="Arial" w:cs="Times New Roman"/>
          <w:sz w:val="20"/>
          <w:szCs w:val="20"/>
        </w:rPr>
      </w:pPr>
      <w:r w:rsidRPr="00845853">
        <w:rPr>
          <w:rFonts w:ascii="Arial" w:eastAsia="Times New Roman" w:hAnsi="Arial" w:cs="Times New Roman"/>
          <w:b/>
          <w:sz w:val="20"/>
          <w:szCs w:val="20"/>
        </w:rPr>
        <w:t>Footnotes:</w:t>
      </w:r>
    </w:p>
    <w:p w14:paraId="1DEBC4D2" w14:textId="77777777" w:rsidR="00A32732" w:rsidRPr="00A32732" w:rsidRDefault="00000000" w:rsidP="00845853">
      <w:pPr>
        <w:spacing w:after="20"/>
        <w:jc w:val="both"/>
        <w:rPr>
          <w:rFonts w:ascii="Arial" w:eastAsia="Times New Roman" w:hAnsi="Arial" w:cs="Times New Roman"/>
          <w:sz w:val="20"/>
          <w:szCs w:val="20"/>
        </w:rPr>
      </w:pPr>
      <w:r w:rsidRPr="00A32732">
        <w:rPr>
          <w:rFonts w:ascii="Arial" w:eastAsia="Times New Roman" w:hAnsi="Arial" w:cs="Times New Roman"/>
          <w:sz w:val="20"/>
          <w:szCs w:val="20"/>
          <w:vertAlign w:val="superscript"/>
        </w:rPr>
        <w:t>1</w:t>
      </w:r>
      <w:r w:rsidRPr="00A32732">
        <w:rPr>
          <w:rFonts w:ascii="Arial" w:eastAsia="Times New Roman" w:hAnsi="Arial" w:cs="Times New Roman"/>
          <w:sz w:val="20"/>
          <w:szCs w:val="20"/>
        </w:rPr>
        <w:t>This condition is state-only enforceable and was established pursuant to Rule 201(1)(b).</w:t>
      </w:r>
    </w:p>
    <w:p w14:paraId="78EA6B27" w14:textId="77777777" w:rsidR="00A32732" w:rsidRPr="00A32732" w:rsidRDefault="00000000" w:rsidP="00845853">
      <w:pPr>
        <w:spacing w:after="20"/>
        <w:jc w:val="both"/>
        <w:rPr>
          <w:rFonts w:ascii="Arial" w:eastAsia="Times New Roman" w:hAnsi="Arial" w:cs="Times New Roman"/>
          <w:sz w:val="20"/>
          <w:szCs w:val="20"/>
        </w:rPr>
      </w:pPr>
      <w:r w:rsidRPr="00A32732">
        <w:rPr>
          <w:rFonts w:ascii="Arial" w:eastAsia="Times New Roman" w:hAnsi="Arial" w:cs="Times New Roman"/>
          <w:sz w:val="20"/>
          <w:szCs w:val="20"/>
          <w:vertAlign w:val="superscript"/>
        </w:rPr>
        <w:t>2</w:t>
      </w:r>
      <w:r w:rsidRPr="00A32732">
        <w:rPr>
          <w:rFonts w:ascii="Arial" w:eastAsia="Times New Roman" w:hAnsi="Arial" w:cs="Times New Roman"/>
          <w:sz w:val="20"/>
          <w:szCs w:val="20"/>
        </w:rPr>
        <w:t>This condition is federally enforceable and was established pursuant to Rule 201(1)(a).</w:t>
      </w:r>
    </w:p>
    <w:p w14:paraId="0F98514C" w14:textId="77777777" w:rsidR="00A32732" w:rsidRPr="00A32732" w:rsidRDefault="00000000" w:rsidP="00A32732">
      <w:pPr>
        <w:spacing w:after="0" w:line="240" w:lineRule="auto"/>
        <w:rPr>
          <w:rFonts w:ascii="Arial" w:eastAsia="Times New Roman" w:hAnsi="Arial" w:cs="Times New Roman"/>
          <w:sz w:val="20"/>
          <w:szCs w:val="20"/>
        </w:rPr>
      </w:pPr>
      <w:r w:rsidRPr="00A32732">
        <w:rPr>
          <w:rFonts w:ascii="Arial" w:eastAsia="Times New Roman" w:hAnsi="Arial" w:cs="Times New Roman"/>
          <w:sz w:val="20"/>
          <w:szCs w:val="20"/>
        </w:rPr>
        <w:br w:type="page"/>
      </w:r>
    </w:p>
    <w:p w14:paraId="4B32E7A4" w14:textId="77777777" w:rsidR="00A32732" w:rsidRPr="00A32732" w:rsidRDefault="00000000" w:rsidP="00845853">
      <w:pPr>
        <w:pStyle w:val="Heading3"/>
        <w:rPr>
          <w:sz w:val="20"/>
        </w:rPr>
      </w:pPr>
      <w:bookmarkStart w:id="18" w:name="_Toc427052391"/>
      <w:r w:rsidRPr="00A32732">
        <w:lastRenderedPageBreak/>
        <w:t>E.  NON-APPLICABLE REQUIREMENTS</w:t>
      </w:r>
      <w:bookmarkEnd w:id="15"/>
      <w:bookmarkEnd w:id="18"/>
    </w:p>
    <w:p w14:paraId="00D2B69D" w14:textId="77777777" w:rsidR="00A32732" w:rsidRPr="00A32732" w:rsidRDefault="00000000" w:rsidP="00845853">
      <w:pPr>
        <w:spacing w:before="120"/>
        <w:rPr>
          <w:rFonts w:ascii="Arial" w:eastAsia="Times New Roman" w:hAnsi="Arial" w:cs="Times New Roman"/>
          <w:szCs w:val="20"/>
        </w:rPr>
      </w:pPr>
      <w:bookmarkStart w:id="19" w:name="_Toc366569209"/>
      <w:bookmarkStart w:id="20" w:name="_Toc366642171"/>
      <w:bookmarkStart w:id="21" w:name="_Toc369327740"/>
      <w:r w:rsidRPr="00A32732">
        <w:rPr>
          <w:rFonts w:ascii="Arial" w:eastAsia="Times New Roman" w:hAnsi="Arial" w:cs="Times New Roman"/>
          <w:sz w:val="20"/>
          <w:szCs w:val="20"/>
        </w:rPr>
        <w:t>At the time of the ROP issuance, the AQD has determined that no non-applicable  requirements have been identified for incorporation into the permit shield provisions set forth in the General Conditions in Part A pursuant to Rule 213(6)(a)(ii).</w:t>
      </w:r>
      <w:r w:rsidRPr="00A32732">
        <w:rPr>
          <w:rFonts w:ascii="Arial" w:eastAsia="Times New Roman" w:hAnsi="Arial" w:cs="Arial"/>
          <w:bCs/>
          <w:color w:val="000000"/>
          <w:sz w:val="20"/>
          <w:szCs w:val="20"/>
        </w:rPr>
        <w:t xml:space="preserve">  </w:t>
      </w:r>
      <w:bookmarkEnd w:id="19"/>
      <w:bookmarkEnd w:id="20"/>
      <w:bookmarkEnd w:id="21"/>
    </w:p>
    <w:p w14:paraId="5A59B472" w14:textId="77777777" w:rsidR="00A32732" w:rsidRPr="00A32732" w:rsidRDefault="00000000" w:rsidP="00A32732">
      <w:pPr>
        <w:spacing w:after="0" w:line="240" w:lineRule="auto"/>
        <w:rPr>
          <w:rFonts w:ascii="Arial" w:eastAsia="Times New Roman" w:hAnsi="Arial" w:cs="Times New Roman"/>
          <w:szCs w:val="20"/>
        </w:rPr>
      </w:pPr>
      <w:r w:rsidRPr="00A32732">
        <w:rPr>
          <w:rFonts w:ascii="Times New Roman" w:eastAsia="Times New Roman" w:hAnsi="Times New Roman" w:cs="Times New Roman"/>
          <w:sz w:val="24"/>
          <w:szCs w:val="24"/>
        </w:rPr>
        <w:br w:type="page"/>
      </w:r>
    </w:p>
    <w:p w14:paraId="23C7F3FD" w14:textId="48E7FB80" w:rsidR="00845853" w:rsidRDefault="00000000" w:rsidP="00845853">
      <w:pPr>
        <w:pStyle w:val="Heading3"/>
        <w:rPr>
          <w:sz w:val="22"/>
          <w:szCs w:val="22"/>
        </w:rPr>
      </w:pPr>
      <w:bookmarkStart w:id="22" w:name="_Toc427052392"/>
      <w:bookmarkStart w:id="23" w:name="_Toc367698521"/>
      <w:bookmarkStart w:id="24" w:name="_Toc427052393"/>
      <w:r w:rsidRPr="00A32732">
        <w:lastRenderedPageBreak/>
        <w:t>APPENDICES</w:t>
      </w:r>
      <w:bookmarkEnd w:id="22"/>
      <w:bookmarkEnd w:id="23"/>
    </w:p>
    <w:p w14:paraId="71BF5799" w14:textId="1D676CDC" w:rsidR="00A32732" w:rsidRPr="006874F8" w:rsidRDefault="00000000" w:rsidP="00845853">
      <w:pPr>
        <w:pStyle w:val="Heading4C"/>
      </w:pPr>
      <w:r w:rsidRPr="006874F8">
        <w:t>Appendix 1.  Acronyms and Abbreviations</w:t>
      </w:r>
      <w:bookmarkEnd w:id="24"/>
    </w:p>
    <w:p w14:paraId="48DBAE59" w14:textId="77777777" w:rsidR="00956090" w:rsidRPr="00956090" w:rsidRDefault="00000000" w:rsidP="00845853">
      <w:pPr>
        <w:pStyle w:val="Caption"/>
      </w:pPr>
      <w:bookmarkStart w:id="25" w:name="_Toc159502622"/>
      <w:bookmarkStart w:id="26" w:name="_Hlk210651666"/>
      <w:r w:rsidRPr="00956090">
        <w:t>COMMON ACRONYMS</w:t>
      </w:r>
      <w:bookmarkEnd w:id="25"/>
    </w:p>
    <w:p w14:paraId="0D21323A"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AQD</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Air Quality Division</w:t>
      </w:r>
    </w:p>
    <w:p w14:paraId="4D90A0D4"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BACT</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Best Available Control Technology</w:t>
      </w:r>
    </w:p>
    <w:p w14:paraId="4076C2FA"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CAA</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Clean Air Act</w:t>
      </w:r>
    </w:p>
    <w:p w14:paraId="2722C21F"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CAM</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Compliance Assurance Monitoring</w:t>
      </w:r>
    </w:p>
    <w:p w14:paraId="7B7DD5CE"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Times New Roman" w:hAnsi="Arial" w:cs="Arial"/>
          <w:sz w:val="19"/>
          <w:szCs w:val="19"/>
        </w:rPr>
        <w:t>CEM</w:t>
      </w:r>
      <w:r w:rsidRPr="00956090">
        <w:rPr>
          <w:rFonts w:ascii="Arial" w:eastAsia="Times New Roman" w:hAnsi="Arial" w:cs="Arial"/>
          <w:sz w:val="19"/>
          <w:szCs w:val="19"/>
        </w:rPr>
        <w:tab/>
      </w:r>
      <w:r w:rsidRPr="00956090">
        <w:rPr>
          <w:rFonts w:ascii="Arial" w:eastAsia="Times New Roman" w:hAnsi="Arial" w:cs="Arial"/>
          <w:sz w:val="19"/>
          <w:szCs w:val="19"/>
        </w:rPr>
        <w:tab/>
      </w:r>
      <w:r w:rsidRPr="00956090">
        <w:rPr>
          <w:rFonts w:ascii="Arial" w:eastAsia="Calibri" w:hAnsi="Arial" w:cs="Arial"/>
          <w:color w:val="000000"/>
          <w:sz w:val="20"/>
          <w:szCs w:val="20"/>
        </w:rPr>
        <w:t>Continuous Emission Monitoring</w:t>
      </w:r>
    </w:p>
    <w:p w14:paraId="25804908"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CEMS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Continuous Emission Monitoring System</w:t>
      </w:r>
    </w:p>
    <w:p w14:paraId="457E81DC"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CFR</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Code of Federal Regulations</w:t>
      </w:r>
    </w:p>
    <w:p w14:paraId="2148B97A"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COM</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 xml:space="preserve">Continuous Opacity Monitoring </w:t>
      </w:r>
    </w:p>
    <w:p w14:paraId="7E004E04"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Department/department/EGLE</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Michigan Department of Environment, Great Lakes, and Energy</w:t>
      </w:r>
    </w:p>
    <w:p w14:paraId="6CBDE157"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EU</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Emission Unit</w:t>
      </w:r>
    </w:p>
    <w:p w14:paraId="4B7ACA67"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FG</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Flexible Group</w:t>
      </w:r>
    </w:p>
    <w:p w14:paraId="40B3BEBD"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GACS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Gallons of Applied Coating Solids</w:t>
      </w:r>
    </w:p>
    <w:p w14:paraId="4AA93306"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GC</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General Condition</w:t>
      </w:r>
    </w:p>
    <w:p w14:paraId="58174944"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GHGs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Greenhouse Gases</w:t>
      </w:r>
    </w:p>
    <w:p w14:paraId="1062989D"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HVLP</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High Volume Low Pressure*</w:t>
      </w:r>
    </w:p>
    <w:p w14:paraId="31856985"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ID</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Identification</w:t>
      </w:r>
    </w:p>
    <w:p w14:paraId="662DECC7"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IRSL</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Initial Risk Screening Level</w:t>
      </w:r>
    </w:p>
    <w:p w14:paraId="0AE189DA"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ITSL</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Initial Threshold Screening Level</w:t>
      </w:r>
    </w:p>
    <w:p w14:paraId="097237D5"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LAER</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Lowest Achievable Emission Rate</w:t>
      </w:r>
    </w:p>
    <w:p w14:paraId="7DD48C5D"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MACT</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Maximum Achievable Control Technology</w:t>
      </w:r>
    </w:p>
    <w:p w14:paraId="5E19CF82"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MAP</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Malfunction Abatement Plan</w:t>
      </w:r>
    </w:p>
    <w:p w14:paraId="1F3A94A8"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MSDS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Material Safety Data Sheet</w:t>
      </w:r>
    </w:p>
    <w:p w14:paraId="2565B01F"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NA</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Not Applicable</w:t>
      </w:r>
    </w:p>
    <w:p w14:paraId="49226CDA"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NAAQS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National Ambient Air Quality Standards</w:t>
      </w:r>
    </w:p>
    <w:p w14:paraId="48B6CDFF"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NESHAP</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National Emission Standard for Hazardous Air Pollutants</w:t>
      </w:r>
    </w:p>
    <w:p w14:paraId="28099192"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NSPS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New Source Performance Standards</w:t>
      </w:r>
    </w:p>
    <w:p w14:paraId="12225107"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NSR</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New Source Review</w:t>
      </w:r>
    </w:p>
    <w:p w14:paraId="498B3BDB"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PS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Performance Specification</w:t>
      </w:r>
    </w:p>
    <w:p w14:paraId="7D8410E1"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PSD</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Prevention of Significant Deterioration</w:t>
      </w:r>
    </w:p>
    <w:p w14:paraId="4E887D26"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PTE</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Permanent Total Enclosure</w:t>
      </w:r>
    </w:p>
    <w:p w14:paraId="65360CEB"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PTI</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Permit to Install</w:t>
      </w:r>
    </w:p>
    <w:p w14:paraId="659A85B6"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RACT</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Reasonable Available Control Technology</w:t>
      </w:r>
    </w:p>
    <w:p w14:paraId="740877FF"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ROP</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Renewable Operating Permit</w:t>
      </w:r>
    </w:p>
    <w:p w14:paraId="03F06C86"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SC</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Special Condition</w:t>
      </w:r>
    </w:p>
    <w:p w14:paraId="397FFFF6"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SCR</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Selective Catalytic Reduction</w:t>
      </w:r>
    </w:p>
    <w:p w14:paraId="7E8B4B71"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SLEIS</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State and Local Emissions Inventory System</w:t>
      </w:r>
    </w:p>
    <w:p w14:paraId="40DA2E67"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SNCR</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Selective Non-Catalytic Reduction</w:t>
      </w:r>
    </w:p>
    <w:p w14:paraId="0D33051B"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SRN</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State Registration Number</w:t>
      </w:r>
    </w:p>
    <w:p w14:paraId="79578E8F"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TBD</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To Be Determined</w:t>
      </w:r>
    </w:p>
    <w:p w14:paraId="2F04F52B"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TEQ</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Toxicity Equivalence Quotient</w:t>
      </w:r>
    </w:p>
    <w:p w14:paraId="6C3E37C7"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USEPA/EPA</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United States Environmental Protection Agency</w:t>
      </w:r>
    </w:p>
    <w:p w14:paraId="29EEC03C" w14:textId="77777777" w:rsidR="00956090" w:rsidRPr="00956090" w:rsidRDefault="00000000" w:rsidP="00845853">
      <w:pPr>
        <w:spacing w:after="0"/>
        <w:ind w:left="2880" w:hanging="2880"/>
        <w:rPr>
          <w:rFonts w:ascii="Arial" w:eastAsia="Calibri" w:hAnsi="Arial" w:cs="Arial"/>
          <w:color w:val="000000"/>
          <w:sz w:val="20"/>
          <w:szCs w:val="20"/>
        </w:rPr>
      </w:pPr>
      <w:r w:rsidRPr="00956090">
        <w:rPr>
          <w:rFonts w:ascii="Arial" w:eastAsia="Calibri" w:hAnsi="Arial" w:cs="Arial"/>
          <w:color w:val="000000"/>
          <w:sz w:val="20"/>
          <w:szCs w:val="20"/>
        </w:rPr>
        <w:t>VE</w:t>
      </w:r>
      <w:r w:rsidRPr="00956090">
        <w:rPr>
          <w:rFonts w:ascii="Arial" w:eastAsia="Calibri" w:hAnsi="Arial" w:cs="Arial"/>
          <w:color w:val="000000"/>
          <w:sz w:val="20"/>
          <w:szCs w:val="20"/>
        </w:rPr>
        <w:tab/>
      </w:r>
      <w:r w:rsidRPr="00956090">
        <w:rPr>
          <w:rFonts w:ascii="Arial" w:eastAsia="Calibri" w:hAnsi="Arial" w:cs="Arial"/>
          <w:color w:val="000000"/>
          <w:sz w:val="20"/>
          <w:szCs w:val="20"/>
        </w:rPr>
        <w:tab/>
        <w:t>Visible Emissions</w:t>
      </w:r>
    </w:p>
    <w:p w14:paraId="1E2231AF" w14:textId="77777777" w:rsidR="00956090" w:rsidRPr="00956090" w:rsidRDefault="00000000" w:rsidP="00845853">
      <w:pPr>
        <w:spacing w:before="240"/>
        <w:rPr>
          <w:rFonts w:ascii="Arial" w:eastAsia="Times New Roman" w:hAnsi="Arial" w:cs="Times New Roman"/>
          <w:sz w:val="20"/>
          <w:szCs w:val="20"/>
        </w:rPr>
      </w:pPr>
      <w:r w:rsidRPr="00956090">
        <w:rPr>
          <w:rFonts w:ascii="Arial" w:eastAsia="Times New Roman" w:hAnsi="Arial" w:cs="Arial"/>
          <w:sz w:val="19"/>
          <w:szCs w:val="19"/>
        </w:rPr>
        <w:t>*For HVLP applicators, the pressure measured at the gun air cap shall not exceed 10 psig.</w:t>
      </w:r>
    </w:p>
    <w:bookmarkEnd w:id="26"/>
    <w:p w14:paraId="119F82F2" w14:textId="5FB43211" w:rsidR="00574AB7" w:rsidRDefault="00000000">
      <w:pPr>
        <w:rPr>
          <w:rFonts w:ascii="Arial" w:eastAsia="Times New Roman" w:hAnsi="Arial" w:cs="Arial"/>
          <w:sz w:val="19"/>
          <w:szCs w:val="19"/>
        </w:rPr>
      </w:pPr>
      <w:r>
        <w:rPr>
          <w:rFonts w:ascii="Arial" w:eastAsia="Times New Roman" w:hAnsi="Arial" w:cs="Arial"/>
          <w:sz w:val="19"/>
          <w:szCs w:val="19"/>
        </w:rPr>
        <w:br w:type="page"/>
      </w:r>
    </w:p>
    <w:p w14:paraId="7178D2AC" w14:textId="77777777" w:rsidR="00574AB7" w:rsidRPr="00574AB7" w:rsidRDefault="00000000" w:rsidP="00845853">
      <w:pPr>
        <w:pStyle w:val="Caption"/>
      </w:pPr>
      <w:bookmarkStart w:id="27" w:name="_Toc159502623"/>
      <w:r w:rsidRPr="00574AB7">
        <w:lastRenderedPageBreak/>
        <w:t>POLLUTANT / MEASUREMENT ABBREVIATIONS</w:t>
      </w:r>
      <w:bookmarkEnd w:id="27"/>
    </w:p>
    <w:p w14:paraId="30C795DC" w14:textId="1C689242"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acfm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Actual cubic feet per minute</w:t>
      </w:r>
    </w:p>
    <w:p w14:paraId="73CCEFFC" w14:textId="72BFBDFF"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BTU</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British Thermal Unit</w:t>
      </w:r>
    </w:p>
    <w:p w14:paraId="181F994D" w14:textId="40E8DF8A"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°C</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Degrees Celsius</w:t>
      </w:r>
    </w:p>
    <w:p w14:paraId="0F48D11A" w14:textId="40D48D5F"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CO</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Carbon Monoxide</w:t>
      </w:r>
    </w:p>
    <w:p w14:paraId="778A99C6" w14:textId="35403FFE"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CO</w:t>
      </w:r>
      <w:r w:rsidRPr="00574AB7">
        <w:rPr>
          <w:rFonts w:ascii="Arial" w:eastAsia="Calibri" w:hAnsi="Arial" w:cs="Arial"/>
          <w:color w:val="000000"/>
          <w:sz w:val="20"/>
          <w:szCs w:val="20"/>
          <w:vertAlign w:val="subscript"/>
        </w:rPr>
        <w:t>2</w:t>
      </w:r>
      <w:r w:rsidRPr="00574AB7">
        <w:rPr>
          <w:rFonts w:ascii="Arial" w:eastAsia="Calibri" w:hAnsi="Arial" w:cs="Arial"/>
          <w:color w:val="000000"/>
          <w:sz w:val="20"/>
          <w:szCs w:val="20"/>
        </w:rPr>
        <w:t>e</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Carbon Dioxide Equivalent</w:t>
      </w:r>
    </w:p>
    <w:p w14:paraId="1B3A3E23" w14:textId="7CE3BBE0"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dscf</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Dry standard cubic foot</w:t>
      </w:r>
    </w:p>
    <w:p w14:paraId="246E8C46" w14:textId="47AB80F4"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dscm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Dry standard cubic meter</w:t>
      </w:r>
    </w:p>
    <w:p w14:paraId="40081ED0" w14:textId="197EDECB"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°F</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Degrees Fahrenheit</w:t>
      </w:r>
    </w:p>
    <w:p w14:paraId="1292F30C" w14:textId="3335D688"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gr</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Grains</w:t>
      </w:r>
    </w:p>
    <w:p w14:paraId="2A82D2E6" w14:textId="3373EF81"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HAP</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Hazardous Air Pollutant</w:t>
      </w:r>
    </w:p>
    <w:p w14:paraId="77E19C97" w14:textId="01B80860"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Hg</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Mercury</w:t>
      </w:r>
    </w:p>
    <w:p w14:paraId="2541414C" w14:textId="0C25FC8E"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hr</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Hour</w:t>
      </w:r>
    </w:p>
    <w:p w14:paraId="5372BE93" w14:textId="2856977A"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HP</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Horsepower</w:t>
      </w:r>
    </w:p>
    <w:p w14:paraId="7405EF8E" w14:textId="1CFDDD28"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H</w:t>
      </w:r>
      <w:r w:rsidRPr="00574AB7">
        <w:rPr>
          <w:rFonts w:ascii="Arial" w:eastAsia="Calibri" w:hAnsi="Arial" w:cs="Arial"/>
          <w:color w:val="000000"/>
          <w:sz w:val="20"/>
          <w:szCs w:val="20"/>
          <w:vertAlign w:val="subscript"/>
        </w:rPr>
        <w:t>2</w:t>
      </w:r>
      <w:r w:rsidRPr="00574AB7">
        <w:rPr>
          <w:rFonts w:ascii="Arial" w:eastAsia="Calibri" w:hAnsi="Arial" w:cs="Arial"/>
          <w:color w:val="000000"/>
          <w:sz w:val="20"/>
          <w:szCs w:val="20"/>
        </w:rPr>
        <w:t>S</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Hydrogen Sulfide</w:t>
      </w:r>
    </w:p>
    <w:p w14:paraId="22C418D8" w14:textId="521A1AD0"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kW</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Kilowatt</w:t>
      </w:r>
    </w:p>
    <w:p w14:paraId="57F9CC7E" w14:textId="4E838680"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lb</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Pound</w:t>
      </w:r>
    </w:p>
    <w:p w14:paraId="2526D631" w14:textId="26CBB212"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Meter</w:t>
      </w:r>
    </w:p>
    <w:p w14:paraId="5DF3D62A" w14:textId="6F7B20A5"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mg</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Milligram</w:t>
      </w:r>
    </w:p>
    <w:p w14:paraId="6E6BE438" w14:textId="61A05E6A"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mm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Millimeter</w:t>
      </w:r>
    </w:p>
    <w:p w14:paraId="3C1F25D1" w14:textId="6052E7BD"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MM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Million</w:t>
      </w:r>
    </w:p>
    <w:p w14:paraId="11FA84F1" w14:textId="679138B1"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MW</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Megawatts</w:t>
      </w:r>
    </w:p>
    <w:p w14:paraId="52CAC600" w14:textId="4938C1E1"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NMOC</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Non-Methane Organic Compounds</w:t>
      </w:r>
    </w:p>
    <w:p w14:paraId="481ACD89" w14:textId="2172BDF1"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NO</w:t>
      </w:r>
      <w:r w:rsidRPr="00574AB7">
        <w:rPr>
          <w:rFonts w:ascii="Arial" w:eastAsia="Calibri" w:hAnsi="Arial" w:cs="Arial"/>
          <w:color w:val="000000"/>
          <w:sz w:val="20"/>
          <w:szCs w:val="20"/>
          <w:vertAlign w:val="subscript"/>
        </w:rPr>
        <w:t>x</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Oxides of Nitrogen</w:t>
      </w:r>
    </w:p>
    <w:p w14:paraId="474BCAF3" w14:textId="49ED7AED"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ng</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Nanogram</w:t>
      </w:r>
    </w:p>
    <w:p w14:paraId="41B59F5F" w14:textId="3691AEAA"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Particulate Matter</w:t>
      </w:r>
    </w:p>
    <w:p w14:paraId="6FAFEA35" w14:textId="0DE67E10"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PM10</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Particulate Matter equal to or less than 10 microns in diameter</w:t>
      </w:r>
    </w:p>
    <w:p w14:paraId="4AB8E645" w14:textId="5E7ED82B"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PM2.5</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Particulate Matter equal to or less than 2.5 microns in diameter</w:t>
      </w:r>
    </w:p>
    <w:p w14:paraId="3266B803" w14:textId="4337D7D7"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pph</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Pounds per hour</w:t>
      </w:r>
    </w:p>
    <w:p w14:paraId="29AE27DA" w14:textId="5060345D"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ppm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Parts per million</w:t>
      </w:r>
    </w:p>
    <w:p w14:paraId="193BAB17" w14:textId="15C5A4C9"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ppmv</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Parts per million by volume</w:t>
      </w:r>
    </w:p>
    <w:p w14:paraId="211F637B" w14:textId="5A4F740E"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ppmw</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Parts per million by weight</w:t>
      </w:r>
    </w:p>
    <w:p w14:paraId="4C381C28" w14:textId="35243067"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psia</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Pounds per square inch absolute</w:t>
      </w:r>
    </w:p>
    <w:p w14:paraId="1F9D0665" w14:textId="4861A7CC"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psig</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Pounds per square inch gauge</w:t>
      </w:r>
    </w:p>
    <w:p w14:paraId="660B1EB1" w14:textId="656F28C8"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scf</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Standard cubic feet</w:t>
      </w:r>
    </w:p>
    <w:p w14:paraId="53A54983" w14:textId="747C5B2B"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sec</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Seconds</w:t>
      </w:r>
    </w:p>
    <w:p w14:paraId="0701FEEF" w14:textId="7A8216AD"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SO</w:t>
      </w:r>
      <w:r w:rsidRPr="00574AB7">
        <w:rPr>
          <w:rFonts w:ascii="Arial" w:eastAsia="Calibri" w:hAnsi="Arial" w:cs="Arial"/>
          <w:color w:val="000000"/>
          <w:sz w:val="20"/>
          <w:szCs w:val="20"/>
          <w:vertAlign w:val="subscript"/>
        </w:rPr>
        <w:t>2</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Sulfur Dioxide</w:t>
      </w:r>
    </w:p>
    <w:p w14:paraId="729DD037" w14:textId="61C26AA5"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TAC</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Toxic Air Contaminant</w:t>
      </w:r>
    </w:p>
    <w:p w14:paraId="2B49D36E" w14:textId="6BACE9C6"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Temp</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Temperature</w:t>
      </w:r>
    </w:p>
    <w:p w14:paraId="4A40E9C5" w14:textId="639145BE"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THC</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Total Hydrocarbons</w:t>
      </w:r>
    </w:p>
    <w:p w14:paraId="3754F6FE" w14:textId="572D6AC1"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tpy</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Tons per year</w:t>
      </w:r>
    </w:p>
    <w:p w14:paraId="5194529A" w14:textId="04655B10"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µg</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Microgram</w:t>
      </w:r>
    </w:p>
    <w:p w14:paraId="4231C01A" w14:textId="3F632C56"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µm</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Micrometer or Micron</w:t>
      </w:r>
    </w:p>
    <w:p w14:paraId="09A37D57" w14:textId="5AA8A992"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VOC</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Volatile Organic Compounds</w:t>
      </w:r>
    </w:p>
    <w:p w14:paraId="600C288D" w14:textId="137E2713" w:rsidR="00574AB7" w:rsidRPr="00574AB7" w:rsidRDefault="00000000" w:rsidP="00845853">
      <w:pPr>
        <w:spacing w:after="0"/>
        <w:ind w:left="2880" w:hanging="2880"/>
        <w:rPr>
          <w:rFonts w:ascii="Arial" w:eastAsia="Calibri" w:hAnsi="Arial" w:cs="Arial"/>
          <w:color w:val="000000"/>
          <w:sz w:val="20"/>
          <w:szCs w:val="20"/>
        </w:rPr>
      </w:pPr>
      <w:r w:rsidRPr="00574AB7">
        <w:rPr>
          <w:rFonts w:ascii="Arial" w:eastAsia="Calibri" w:hAnsi="Arial" w:cs="Arial"/>
          <w:color w:val="000000"/>
          <w:sz w:val="20"/>
          <w:szCs w:val="20"/>
        </w:rPr>
        <w:t>yr</w:t>
      </w:r>
      <w:r w:rsidRPr="00574AB7">
        <w:rPr>
          <w:rFonts w:ascii="Arial" w:eastAsia="Calibri" w:hAnsi="Arial" w:cs="Arial"/>
          <w:color w:val="000000"/>
          <w:sz w:val="20"/>
          <w:szCs w:val="20"/>
        </w:rPr>
        <w:tab/>
      </w:r>
      <w:r w:rsidR="00845853">
        <w:rPr>
          <w:rFonts w:ascii="Arial" w:eastAsia="Calibri" w:hAnsi="Arial" w:cs="Arial"/>
          <w:color w:val="000000"/>
          <w:sz w:val="20"/>
          <w:szCs w:val="20"/>
        </w:rPr>
        <w:tab/>
      </w:r>
      <w:r w:rsidRPr="00574AB7">
        <w:rPr>
          <w:rFonts w:ascii="Arial" w:eastAsia="Calibri" w:hAnsi="Arial" w:cs="Arial"/>
          <w:color w:val="000000"/>
          <w:sz w:val="20"/>
          <w:szCs w:val="20"/>
        </w:rPr>
        <w:t>Year</w:t>
      </w:r>
    </w:p>
    <w:p w14:paraId="413A9AC1" w14:textId="77777777" w:rsidR="00574AB7" w:rsidRPr="00574AB7" w:rsidRDefault="00000000" w:rsidP="00574AB7">
      <w:pPr>
        <w:spacing w:after="0" w:line="240" w:lineRule="auto"/>
        <w:rPr>
          <w:rFonts w:ascii="Arial" w:eastAsia="Calibri" w:hAnsi="Arial" w:cs="Arial"/>
          <w:color w:val="000000"/>
          <w:sz w:val="20"/>
          <w:szCs w:val="20"/>
        </w:rPr>
      </w:pPr>
      <w:r w:rsidRPr="00574AB7">
        <w:rPr>
          <w:rFonts w:ascii="Arial" w:eastAsia="Calibri" w:hAnsi="Arial" w:cs="Arial"/>
          <w:color w:val="000000"/>
          <w:sz w:val="20"/>
          <w:szCs w:val="20"/>
        </w:rPr>
        <w:br w:type="page"/>
      </w:r>
    </w:p>
    <w:p w14:paraId="2F6F4A58" w14:textId="77777777" w:rsidR="00A32732" w:rsidRPr="006874F8" w:rsidRDefault="00000000" w:rsidP="00845853">
      <w:pPr>
        <w:pStyle w:val="Heading4C"/>
      </w:pPr>
      <w:bookmarkStart w:id="28" w:name="_Toc427052394"/>
      <w:bookmarkStart w:id="29" w:name="_Toc1453521"/>
      <w:bookmarkStart w:id="30" w:name="_Toc451333041"/>
      <w:bookmarkStart w:id="31" w:name="_Toc437238964"/>
      <w:bookmarkStart w:id="32" w:name="_Toc391182900"/>
      <w:bookmarkStart w:id="33" w:name="_Toc390570166"/>
      <w:bookmarkStart w:id="34" w:name="_Toc390504376"/>
      <w:bookmarkStart w:id="35" w:name="_Toc390500323"/>
      <w:bookmarkStart w:id="36" w:name="_Toc390499894"/>
      <w:r w:rsidRPr="006874F8">
        <w:lastRenderedPageBreak/>
        <w:t>Appendix 2.  Schedule of Compliance</w:t>
      </w:r>
      <w:bookmarkEnd w:id="28"/>
    </w:p>
    <w:p w14:paraId="6ACCE5FA" w14:textId="77777777" w:rsidR="00A32732" w:rsidRPr="00A32732" w:rsidRDefault="00000000" w:rsidP="00845853">
      <w:pPr>
        <w:spacing w:before="120"/>
        <w:rPr>
          <w:rFonts w:ascii="Arial" w:eastAsia="Times New Roman" w:hAnsi="Arial" w:cs="Arial"/>
          <w:sz w:val="20"/>
          <w:szCs w:val="20"/>
        </w:rPr>
      </w:pPr>
      <w:r w:rsidRPr="00766B2A">
        <w:rPr>
          <w:rFonts w:ascii="Arial" w:eastAsia="Times New Roman" w:hAnsi="Arial" w:cs="Arial"/>
          <w:b/>
          <w:color w:val="ED0000"/>
          <w:sz w:val="20"/>
          <w:szCs w:val="20"/>
        </w:rPr>
        <w:t>{CHOOSE ONE}</w:t>
      </w:r>
    </w:p>
    <w:p w14:paraId="74B30349"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The permittee certified in this ROP application that this stationary source is in compliance with all applicable requirements of this ROP except for the following: </w:t>
      </w:r>
      <w:r w:rsidRPr="00766B2A">
        <w:rPr>
          <w:rFonts w:ascii="Arial" w:eastAsia="Times New Roman" w:hAnsi="Arial" w:cs="Arial"/>
          <w:color w:val="ED0000"/>
          <w:sz w:val="20"/>
          <w:szCs w:val="20"/>
        </w:rPr>
        <w:t>{Enter condition number(s)}</w:t>
      </w:r>
      <w:r w:rsidRPr="00A32732">
        <w:rPr>
          <w:rFonts w:ascii="Arial" w:eastAsia="Times New Roman" w:hAnsi="Arial" w:cs="Arial"/>
          <w:sz w:val="20"/>
          <w:szCs w:val="20"/>
        </w:rPr>
        <w:t>.  As a result, the permittee was required to submit a Schedule of Compliance as defined in Rule 119(a), pursuant to Rule 210(2) and Rule 213(4).</w:t>
      </w:r>
    </w:p>
    <w:p w14:paraId="07087857"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A Schedule of Compliance for any applicable requirements that the permittee is not in compliance with at the time of the ROP issuance is supplemental to, and shall not sanction non-compliance with, the underlying applicable requirements on which it is based.</w:t>
      </w:r>
    </w:p>
    <w:p w14:paraId="13E0F65D"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The permittee shall adhere to this schedule of compliance and submit the required certified progress reports accordingly.  </w:t>
      </w:r>
    </w:p>
    <w:p w14:paraId="2562DFED" w14:textId="77777777" w:rsidR="00A32732" w:rsidRPr="00A32732" w:rsidRDefault="00000000" w:rsidP="00845853">
      <w:pPr>
        <w:pStyle w:val="Caption2"/>
      </w:pPr>
      <w:r w:rsidRPr="00A32732">
        <w:t>Compliance Plan</w:t>
      </w:r>
    </w:p>
    <w:p w14:paraId="5EEF613E"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The permittee outlined the details of achieving compliance in a narrative compliance plan.  The details of the compliance plan are outlined below.</w:t>
      </w:r>
    </w:p>
    <w:p w14:paraId="63CB07E1" w14:textId="77777777" w:rsidR="00A32732" w:rsidRPr="00766B2A" w:rsidRDefault="00000000" w:rsidP="00845853">
      <w:pPr>
        <w:spacing w:before="120"/>
        <w:rPr>
          <w:rFonts w:ascii="Arial" w:eastAsia="Times New Roman" w:hAnsi="Arial" w:cs="Arial"/>
          <w:b/>
          <w:color w:val="ED0000"/>
          <w:sz w:val="20"/>
          <w:szCs w:val="20"/>
        </w:rPr>
      </w:pPr>
      <w:r w:rsidRPr="00766B2A">
        <w:rPr>
          <w:rFonts w:ascii="Arial" w:eastAsia="Times New Roman" w:hAnsi="Arial" w:cs="Arial"/>
          <w:b/>
          <w:color w:val="ED0000"/>
          <w:sz w:val="20"/>
          <w:szCs w:val="20"/>
        </w:rPr>
        <w:t>{Insert the narrative details from the Compliance Plan that was submitted}</w:t>
      </w:r>
    </w:p>
    <w:p w14:paraId="5FECFFFB" w14:textId="77777777" w:rsidR="00A32732" w:rsidRPr="00A32732" w:rsidRDefault="00000000" w:rsidP="00845853">
      <w:pPr>
        <w:pStyle w:val="Caption2"/>
      </w:pPr>
      <w:r w:rsidRPr="00A32732">
        <w:t>Schedule of Compliance</w:t>
      </w:r>
    </w:p>
    <w:p w14:paraId="098E6E5E"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The following schedule of compliance conforms with the provisions of Rule 119(a) and Rule 213(4).  </w:t>
      </w:r>
    </w:p>
    <w:tbl>
      <w:tblPr>
        <w:tblW w:w="10631" w:type="dxa"/>
        <w:tblInd w:w="-23"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ayout w:type="fixed"/>
        <w:tblLook w:val="04A0" w:firstRow="1" w:lastRow="0" w:firstColumn="1" w:lastColumn="0" w:noHBand="0" w:noVBand="1"/>
      </w:tblPr>
      <w:tblGrid>
        <w:gridCol w:w="2382"/>
        <w:gridCol w:w="1441"/>
        <w:gridCol w:w="2247"/>
        <w:gridCol w:w="2110"/>
        <w:gridCol w:w="1254"/>
        <w:gridCol w:w="1197"/>
      </w:tblGrid>
      <w:tr w:rsidR="00735572" w14:paraId="436577FE" w14:textId="77777777" w:rsidTr="00845853">
        <w:trPr>
          <w:tblHeader/>
        </w:trPr>
        <w:tc>
          <w:tcPr>
            <w:tcW w:w="2382" w:type="dxa"/>
            <w:shd w:val="pct10" w:color="auto" w:fill="auto"/>
            <w:hideMark/>
          </w:tcPr>
          <w:p w14:paraId="254D8AFE"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Emission Unit/</w:t>
            </w:r>
          </w:p>
          <w:p w14:paraId="2AD9F556"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Flexible Group ID and Condition No.</w:t>
            </w:r>
          </w:p>
        </w:tc>
        <w:tc>
          <w:tcPr>
            <w:tcW w:w="1441" w:type="dxa"/>
            <w:shd w:val="pct10" w:color="auto" w:fill="auto"/>
            <w:hideMark/>
          </w:tcPr>
          <w:p w14:paraId="06A5AD87"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Applicable Requirement</w:t>
            </w:r>
          </w:p>
        </w:tc>
        <w:tc>
          <w:tcPr>
            <w:tcW w:w="2247" w:type="dxa"/>
            <w:shd w:val="pct10" w:color="auto" w:fill="auto"/>
            <w:hideMark/>
          </w:tcPr>
          <w:p w14:paraId="1CFEB9E2"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Remedial Measure</w:t>
            </w:r>
          </w:p>
        </w:tc>
        <w:tc>
          <w:tcPr>
            <w:tcW w:w="2110" w:type="dxa"/>
            <w:shd w:val="pct10" w:color="auto" w:fill="auto"/>
            <w:hideMark/>
          </w:tcPr>
          <w:p w14:paraId="732DE286"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Required Action</w:t>
            </w:r>
          </w:p>
        </w:tc>
        <w:tc>
          <w:tcPr>
            <w:tcW w:w="1254" w:type="dxa"/>
            <w:shd w:val="pct10" w:color="auto" w:fill="auto"/>
            <w:hideMark/>
          </w:tcPr>
          <w:p w14:paraId="42581D33"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Milestone Date</w:t>
            </w:r>
          </w:p>
        </w:tc>
        <w:tc>
          <w:tcPr>
            <w:tcW w:w="1197" w:type="dxa"/>
            <w:shd w:val="pct10" w:color="auto" w:fill="auto"/>
            <w:hideMark/>
          </w:tcPr>
          <w:p w14:paraId="4965045E"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Progress Reports</w:t>
            </w:r>
          </w:p>
        </w:tc>
      </w:tr>
      <w:tr w:rsidR="00735572" w14:paraId="77F5CEA0" w14:textId="77777777" w:rsidTr="00845853">
        <w:tc>
          <w:tcPr>
            <w:tcW w:w="2382" w:type="dxa"/>
          </w:tcPr>
          <w:p w14:paraId="26B9300E"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29754854"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13647DAF"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11365AC6"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6D451A3F"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0F0CC532" w14:textId="77777777" w:rsidR="00A32732" w:rsidRPr="00A32732" w:rsidRDefault="00A32732" w:rsidP="00845853">
            <w:pPr>
              <w:spacing w:before="60" w:after="60"/>
              <w:rPr>
                <w:rFonts w:ascii="Arial" w:eastAsia="Times New Roman" w:hAnsi="Arial" w:cs="Arial"/>
                <w:sz w:val="20"/>
                <w:szCs w:val="20"/>
              </w:rPr>
            </w:pPr>
          </w:p>
        </w:tc>
      </w:tr>
      <w:tr w:rsidR="00735572" w14:paraId="18C25A5F" w14:textId="77777777" w:rsidTr="00845853">
        <w:tc>
          <w:tcPr>
            <w:tcW w:w="2382" w:type="dxa"/>
          </w:tcPr>
          <w:p w14:paraId="2C04CA8F"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4EDBA24B"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5AEE08FC"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78DBA168"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1CCC0845"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5A6611B6" w14:textId="77777777" w:rsidR="00A32732" w:rsidRPr="00A32732" w:rsidRDefault="00A32732" w:rsidP="00845853">
            <w:pPr>
              <w:spacing w:before="60" w:after="60"/>
              <w:rPr>
                <w:rFonts w:ascii="Arial" w:eastAsia="Times New Roman" w:hAnsi="Arial" w:cs="Arial"/>
                <w:sz w:val="20"/>
                <w:szCs w:val="20"/>
              </w:rPr>
            </w:pPr>
          </w:p>
        </w:tc>
      </w:tr>
      <w:tr w:rsidR="00735572" w14:paraId="0B1601BE" w14:textId="77777777" w:rsidTr="00845853">
        <w:tc>
          <w:tcPr>
            <w:tcW w:w="2382" w:type="dxa"/>
          </w:tcPr>
          <w:p w14:paraId="7311AD86"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083AE4AB"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566338AE"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37824CC5"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1CC7E814"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3C1EF7D2" w14:textId="77777777" w:rsidR="00A32732" w:rsidRPr="00A32732" w:rsidRDefault="00A32732" w:rsidP="00845853">
            <w:pPr>
              <w:spacing w:before="60" w:after="60"/>
              <w:rPr>
                <w:rFonts w:ascii="Arial" w:eastAsia="Times New Roman" w:hAnsi="Arial" w:cs="Arial"/>
                <w:sz w:val="20"/>
                <w:szCs w:val="20"/>
              </w:rPr>
            </w:pPr>
          </w:p>
        </w:tc>
      </w:tr>
      <w:tr w:rsidR="00735572" w14:paraId="58FDC3CD" w14:textId="77777777" w:rsidTr="00845853">
        <w:tc>
          <w:tcPr>
            <w:tcW w:w="2382" w:type="dxa"/>
          </w:tcPr>
          <w:p w14:paraId="664D9051"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48A65967"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30C0A66D"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69BD6D8D"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23209EC7"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357808FE" w14:textId="77777777" w:rsidR="00A32732" w:rsidRPr="00A32732" w:rsidRDefault="00A32732" w:rsidP="00845853">
            <w:pPr>
              <w:spacing w:before="60" w:after="60"/>
              <w:rPr>
                <w:rFonts w:ascii="Arial" w:eastAsia="Times New Roman" w:hAnsi="Arial" w:cs="Arial"/>
                <w:sz w:val="20"/>
                <w:szCs w:val="20"/>
              </w:rPr>
            </w:pPr>
          </w:p>
        </w:tc>
      </w:tr>
      <w:tr w:rsidR="00735572" w14:paraId="2D6A3858" w14:textId="77777777" w:rsidTr="00845853">
        <w:tc>
          <w:tcPr>
            <w:tcW w:w="2382" w:type="dxa"/>
          </w:tcPr>
          <w:p w14:paraId="1A4D6CE9"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2757ED87"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7340276F"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7F35D3E4"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4F0EDAB9"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07E9BFA8" w14:textId="77777777" w:rsidR="00A32732" w:rsidRPr="00A32732" w:rsidRDefault="00A32732" w:rsidP="00845853">
            <w:pPr>
              <w:spacing w:before="60" w:after="60"/>
              <w:rPr>
                <w:rFonts w:ascii="Arial" w:eastAsia="Times New Roman" w:hAnsi="Arial" w:cs="Arial"/>
                <w:sz w:val="20"/>
                <w:szCs w:val="20"/>
              </w:rPr>
            </w:pPr>
          </w:p>
        </w:tc>
      </w:tr>
      <w:tr w:rsidR="00735572" w14:paraId="41600F66" w14:textId="77777777" w:rsidTr="00845853">
        <w:tc>
          <w:tcPr>
            <w:tcW w:w="2382" w:type="dxa"/>
          </w:tcPr>
          <w:p w14:paraId="5F00572B"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2B1CE63D"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0EB96EEE"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7AE15FD9"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3326FB4C"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79836900" w14:textId="77777777" w:rsidR="00A32732" w:rsidRPr="00A32732" w:rsidRDefault="00A32732" w:rsidP="00845853">
            <w:pPr>
              <w:spacing w:before="60" w:after="60"/>
              <w:rPr>
                <w:rFonts w:ascii="Arial" w:eastAsia="Times New Roman" w:hAnsi="Arial" w:cs="Arial"/>
                <w:sz w:val="20"/>
                <w:szCs w:val="20"/>
              </w:rPr>
            </w:pPr>
          </w:p>
        </w:tc>
      </w:tr>
      <w:tr w:rsidR="00735572" w14:paraId="7D7CB60C" w14:textId="77777777" w:rsidTr="00845853">
        <w:tc>
          <w:tcPr>
            <w:tcW w:w="2382" w:type="dxa"/>
          </w:tcPr>
          <w:p w14:paraId="1D3B9333"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118AC886"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143B6A9D"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4675C9C6"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2FCA885F"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07DE7D61" w14:textId="77777777" w:rsidR="00A32732" w:rsidRPr="00A32732" w:rsidRDefault="00A32732" w:rsidP="00845853">
            <w:pPr>
              <w:spacing w:before="60" w:after="60"/>
              <w:rPr>
                <w:rFonts w:ascii="Arial" w:eastAsia="Times New Roman" w:hAnsi="Arial" w:cs="Arial"/>
                <w:sz w:val="20"/>
                <w:szCs w:val="20"/>
              </w:rPr>
            </w:pPr>
          </w:p>
        </w:tc>
      </w:tr>
      <w:tr w:rsidR="00735572" w14:paraId="515EFDE8" w14:textId="77777777" w:rsidTr="00845853">
        <w:tc>
          <w:tcPr>
            <w:tcW w:w="2382" w:type="dxa"/>
          </w:tcPr>
          <w:p w14:paraId="3460D2F6" w14:textId="77777777" w:rsidR="00A32732" w:rsidRPr="00A32732" w:rsidRDefault="00A32732" w:rsidP="00845853">
            <w:pPr>
              <w:spacing w:before="60" w:after="60"/>
              <w:rPr>
                <w:rFonts w:ascii="Arial" w:eastAsia="Times New Roman" w:hAnsi="Arial" w:cs="Arial"/>
                <w:sz w:val="20"/>
                <w:szCs w:val="20"/>
              </w:rPr>
            </w:pPr>
          </w:p>
        </w:tc>
        <w:tc>
          <w:tcPr>
            <w:tcW w:w="1441" w:type="dxa"/>
          </w:tcPr>
          <w:p w14:paraId="0189F0BA" w14:textId="77777777" w:rsidR="00A32732" w:rsidRPr="00A32732" w:rsidRDefault="00A32732" w:rsidP="00845853">
            <w:pPr>
              <w:spacing w:before="60" w:after="60"/>
              <w:rPr>
                <w:rFonts w:ascii="Arial" w:eastAsia="Times New Roman" w:hAnsi="Arial" w:cs="Arial"/>
                <w:sz w:val="20"/>
                <w:szCs w:val="20"/>
              </w:rPr>
            </w:pPr>
          </w:p>
        </w:tc>
        <w:tc>
          <w:tcPr>
            <w:tcW w:w="2247" w:type="dxa"/>
          </w:tcPr>
          <w:p w14:paraId="23E4BC61" w14:textId="77777777" w:rsidR="00A32732" w:rsidRPr="00A32732" w:rsidRDefault="00A32732" w:rsidP="00845853">
            <w:pPr>
              <w:spacing w:before="60" w:after="60"/>
              <w:rPr>
                <w:rFonts w:ascii="Arial" w:eastAsia="Times New Roman" w:hAnsi="Arial" w:cs="Arial"/>
                <w:sz w:val="20"/>
                <w:szCs w:val="20"/>
              </w:rPr>
            </w:pPr>
          </w:p>
        </w:tc>
        <w:tc>
          <w:tcPr>
            <w:tcW w:w="2110" w:type="dxa"/>
          </w:tcPr>
          <w:p w14:paraId="191BA08C" w14:textId="77777777" w:rsidR="00A32732" w:rsidRPr="00A32732" w:rsidRDefault="00A32732" w:rsidP="00845853">
            <w:pPr>
              <w:spacing w:before="60" w:after="60"/>
              <w:rPr>
                <w:rFonts w:ascii="Arial" w:eastAsia="Times New Roman" w:hAnsi="Arial" w:cs="Arial"/>
                <w:sz w:val="20"/>
                <w:szCs w:val="20"/>
              </w:rPr>
            </w:pPr>
          </w:p>
        </w:tc>
        <w:tc>
          <w:tcPr>
            <w:tcW w:w="1254" w:type="dxa"/>
          </w:tcPr>
          <w:p w14:paraId="53EAC887" w14:textId="77777777" w:rsidR="00A32732" w:rsidRPr="00A32732" w:rsidRDefault="00A32732" w:rsidP="00845853">
            <w:pPr>
              <w:spacing w:before="60" w:after="60"/>
              <w:rPr>
                <w:rFonts w:ascii="Arial" w:eastAsia="Times New Roman" w:hAnsi="Arial" w:cs="Arial"/>
                <w:sz w:val="20"/>
                <w:szCs w:val="20"/>
              </w:rPr>
            </w:pPr>
          </w:p>
        </w:tc>
        <w:tc>
          <w:tcPr>
            <w:tcW w:w="1197" w:type="dxa"/>
          </w:tcPr>
          <w:p w14:paraId="711BC4EF" w14:textId="77777777" w:rsidR="00A32732" w:rsidRPr="00A32732" w:rsidRDefault="00A32732" w:rsidP="00845853">
            <w:pPr>
              <w:spacing w:before="60" w:after="60"/>
              <w:rPr>
                <w:rFonts w:ascii="Arial" w:eastAsia="Times New Roman" w:hAnsi="Arial" w:cs="Arial"/>
                <w:sz w:val="20"/>
                <w:szCs w:val="20"/>
              </w:rPr>
            </w:pPr>
          </w:p>
        </w:tc>
      </w:tr>
    </w:tbl>
    <w:p w14:paraId="573D5EC1" w14:textId="77777777" w:rsidR="00A32732" w:rsidRPr="00A32732" w:rsidRDefault="00000000" w:rsidP="00845853">
      <w:pPr>
        <w:pStyle w:val="Caption2"/>
      </w:pPr>
      <w:r w:rsidRPr="00A32732">
        <w:t>Progress Reports</w:t>
      </w:r>
    </w:p>
    <w:p w14:paraId="19806687" w14:textId="77777777" w:rsidR="00CC34E1" w:rsidRPr="00CC34E1" w:rsidRDefault="00000000" w:rsidP="00845853">
      <w:pPr>
        <w:spacing w:before="120"/>
        <w:rPr>
          <w:rFonts w:ascii="Arial" w:eastAsia="Times New Roman" w:hAnsi="Arial" w:cs="Arial"/>
          <w:sz w:val="20"/>
          <w:szCs w:val="20"/>
        </w:rPr>
      </w:pPr>
      <w:r w:rsidRPr="00CC34E1">
        <w:rPr>
          <w:rFonts w:ascii="Arial" w:eastAsia="Times New Roman" w:hAnsi="Arial" w:cs="Arial"/>
          <w:sz w:val="20"/>
          <w:szCs w:val="20"/>
        </w:rPr>
        <w:t xml:space="preserve">The permittee shall submit Certified Progress Reports using the MiEnviro form ROP General Compliance Report.  </w:t>
      </w:r>
      <w:r w:rsidRPr="00CC34E1">
        <w:rPr>
          <w:rFonts w:ascii="Arial" w:eastAsia="Times New Roman" w:hAnsi="Arial" w:cs="Arial"/>
          <w:b/>
          <w:sz w:val="20"/>
          <w:szCs w:val="20"/>
        </w:rPr>
        <w:t>(R 336.1213(4)(b))</w:t>
      </w:r>
    </w:p>
    <w:p w14:paraId="561FE741"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Progress reports shall contain the following information:</w:t>
      </w:r>
    </w:p>
    <w:p w14:paraId="55008F08" w14:textId="77777777" w:rsidR="00A32732" w:rsidRPr="00A32732" w:rsidRDefault="00000000" w:rsidP="00845853">
      <w:pPr>
        <w:spacing w:before="120"/>
        <w:rPr>
          <w:rFonts w:ascii="Arial" w:eastAsia="Times New Roman" w:hAnsi="Arial" w:cs="Times New Roman"/>
          <w:b/>
          <w:sz w:val="20"/>
          <w:szCs w:val="20"/>
        </w:rPr>
      </w:pPr>
      <w:r w:rsidRPr="00A32732">
        <w:rPr>
          <w:rFonts w:ascii="Arial" w:eastAsia="Times New Roman" w:hAnsi="Arial" w:cs="Times New Roman"/>
          <w:sz w:val="20"/>
          <w:szCs w:val="20"/>
        </w:rPr>
        <w:t xml:space="preserve">The projected dates for achieving scheduled activities, milestones or compliance as required in the schedule of compliance.  </w:t>
      </w:r>
      <w:r w:rsidRPr="00A32732">
        <w:rPr>
          <w:rFonts w:ascii="Arial" w:eastAsia="Times New Roman" w:hAnsi="Arial" w:cs="Times New Roman"/>
          <w:b/>
          <w:sz w:val="20"/>
          <w:szCs w:val="20"/>
        </w:rPr>
        <w:t>(R 336.1213(4)(b)(i))</w:t>
      </w:r>
    </w:p>
    <w:p w14:paraId="5F7BF81F" w14:textId="77777777" w:rsidR="00A32732" w:rsidRPr="00A32732" w:rsidRDefault="00000000" w:rsidP="00845853">
      <w:pPr>
        <w:spacing w:before="120"/>
        <w:rPr>
          <w:rFonts w:ascii="Arial" w:eastAsia="Times New Roman" w:hAnsi="Arial" w:cs="Times New Roman"/>
          <w:b/>
          <w:sz w:val="20"/>
          <w:szCs w:val="20"/>
        </w:rPr>
      </w:pPr>
      <w:r w:rsidRPr="00A32732">
        <w:rPr>
          <w:rFonts w:ascii="Arial" w:eastAsia="Times New Roman" w:hAnsi="Arial" w:cs="Times New Roman"/>
          <w:sz w:val="20"/>
          <w:szCs w:val="20"/>
        </w:rPr>
        <w:t xml:space="preserve">The actual dates that the activities, milestones, or compliance are achieved.  </w:t>
      </w:r>
      <w:r w:rsidRPr="00A32732">
        <w:rPr>
          <w:rFonts w:ascii="Arial" w:eastAsia="Times New Roman" w:hAnsi="Arial" w:cs="Times New Roman"/>
          <w:b/>
          <w:sz w:val="20"/>
          <w:szCs w:val="20"/>
        </w:rPr>
        <w:t>(R 336.1213(4)(b)(i))</w:t>
      </w:r>
    </w:p>
    <w:p w14:paraId="14371E22"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An explanation of why any dates in the Schedule of Compliance were not or will not be met.  </w:t>
      </w:r>
      <w:r w:rsidRPr="00A32732">
        <w:rPr>
          <w:rFonts w:ascii="Arial" w:eastAsia="Times New Roman" w:hAnsi="Arial" w:cs="Times New Roman"/>
          <w:b/>
          <w:sz w:val="20"/>
          <w:szCs w:val="20"/>
        </w:rPr>
        <w:t>(R 336.1213(4)(b)(ii))</w:t>
      </w:r>
    </w:p>
    <w:p w14:paraId="061270A0" w14:textId="77777777" w:rsidR="00A32732" w:rsidRPr="00A32732" w:rsidRDefault="00000000" w:rsidP="00845853">
      <w:pPr>
        <w:spacing w:before="120"/>
        <w:rPr>
          <w:rFonts w:ascii="Arial" w:eastAsia="Times New Roman" w:hAnsi="Arial" w:cs="Times New Roman"/>
          <w:b/>
          <w:sz w:val="20"/>
          <w:szCs w:val="20"/>
        </w:rPr>
      </w:pPr>
      <w:r w:rsidRPr="00A32732">
        <w:rPr>
          <w:rFonts w:ascii="Arial" w:eastAsia="Times New Roman" w:hAnsi="Arial" w:cs="Times New Roman"/>
          <w:sz w:val="20"/>
          <w:szCs w:val="20"/>
        </w:rPr>
        <w:t xml:space="preserve">A description of any preventative or corrective measures adopted in order to ensure that the schedule of compliance is met.  </w:t>
      </w:r>
      <w:r w:rsidRPr="00A32732">
        <w:rPr>
          <w:rFonts w:ascii="Arial" w:eastAsia="Times New Roman" w:hAnsi="Arial" w:cs="Times New Roman"/>
          <w:b/>
          <w:sz w:val="20"/>
          <w:szCs w:val="20"/>
        </w:rPr>
        <w:t>(R 336.1213(4)(b)(ii))</w:t>
      </w:r>
    </w:p>
    <w:p w14:paraId="58C20077" w14:textId="77777777" w:rsidR="00A32732" w:rsidRPr="00766B2A" w:rsidRDefault="00000000" w:rsidP="00845853">
      <w:pPr>
        <w:spacing w:before="120"/>
        <w:jc w:val="both"/>
        <w:rPr>
          <w:rFonts w:ascii="Arial" w:eastAsia="Times New Roman" w:hAnsi="Arial" w:cs="Times New Roman"/>
          <w:b/>
          <w:color w:val="ED0000"/>
          <w:sz w:val="20"/>
          <w:szCs w:val="20"/>
        </w:rPr>
      </w:pPr>
      <w:r w:rsidRPr="00766B2A">
        <w:rPr>
          <w:rFonts w:ascii="Arial" w:eastAsia="Times New Roman" w:hAnsi="Arial" w:cs="Times New Roman"/>
          <w:b/>
          <w:color w:val="ED0000"/>
          <w:sz w:val="20"/>
          <w:szCs w:val="20"/>
        </w:rPr>
        <w:lastRenderedPageBreak/>
        <w:t>{OR}</w:t>
      </w:r>
    </w:p>
    <w:p w14:paraId="6C6D23A0" w14:textId="77777777" w:rsidR="00A32732" w:rsidRPr="00A32732" w:rsidRDefault="00000000" w:rsidP="00845853">
      <w:pPr>
        <w:spacing w:before="120"/>
        <w:rPr>
          <w:rFonts w:ascii="Arial" w:eastAsia="Times New Roman" w:hAnsi="Arial" w:cs="Times New Roman"/>
          <w:b/>
          <w:sz w:val="20"/>
          <w:szCs w:val="20"/>
        </w:rPr>
      </w:pPr>
      <w:r w:rsidRPr="00A32732">
        <w:rPr>
          <w:rFonts w:ascii="Arial" w:eastAsia="Times New Roman" w:hAnsi="Arial" w:cs="Times New Roman"/>
          <w:sz w:val="20"/>
          <w:szCs w:val="20"/>
        </w:rPr>
        <w:t xml:space="preserve">The permittee certified in the ROP application that this stationary source is in compliance with all applicable requirements and the permittee shall continue to comply with all terms and conditions of this ROP.  A Schedule of Compliance is not required.  </w:t>
      </w:r>
      <w:r w:rsidRPr="00A32732">
        <w:rPr>
          <w:rFonts w:ascii="Arial" w:eastAsia="Times New Roman" w:hAnsi="Arial" w:cs="Times New Roman"/>
          <w:b/>
          <w:sz w:val="20"/>
          <w:szCs w:val="20"/>
        </w:rPr>
        <w:t>(R 336.1213(4)(a), R 336.1119(a)(ii))</w:t>
      </w:r>
    </w:p>
    <w:p w14:paraId="4226A390" w14:textId="77777777" w:rsidR="00A32732" w:rsidRPr="006874F8" w:rsidRDefault="00000000" w:rsidP="00845853">
      <w:pPr>
        <w:pStyle w:val="Heading4C"/>
      </w:pPr>
      <w:bookmarkStart w:id="37" w:name="_Toc427052395"/>
      <w:r w:rsidRPr="006874F8">
        <w:t>Appendix 3.  Monitoring Requirements</w:t>
      </w:r>
      <w:bookmarkEnd w:id="37"/>
    </w:p>
    <w:p w14:paraId="2470938B" w14:textId="77777777" w:rsidR="00A32732" w:rsidRPr="00A32732" w:rsidRDefault="00000000" w:rsidP="00845853">
      <w:pPr>
        <w:spacing w:before="240" w:after="240"/>
        <w:jc w:val="both"/>
        <w:rPr>
          <w:rFonts w:ascii="Arial" w:eastAsia="Times New Roman" w:hAnsi="Arial" w:cs="Times New Roman"/>
          <w:sz w:val="20"/>
          <w:szCs w:val="20"/>
        </w:rPr>
      </w:pPr>
      <w:r w:rsidRPr="00766B2A">
        <w:rPr>
          <w:rFonts w:ascii="Arial" w:eastAsia="Times New Roman" w:hAnsi="Arial" w:cs="Times New Roman"/>
          <w:b/>
          <w:color w:val="ED0000"/>
          <w:sz w:val="20"/>
          <w:szCs w:val="20"/>
        </w:rPr>
        <w:t>{CHOOSE ONE}</w:t>
      </w:r>
    </w:p>
    <w:p w14:paraId="593D16A2" w14:textId="77777777" w:rsidR="00A32732" w:rsidRPr="00A32732" w:rsidRDefault="00000000" w:rsidP="00845853">
      <w:pPr>
        <w:spacing w:before="240" w:after="240"/>
        <w:rPr>
          <w:rFonts w:ascii="Arial" w:eastAsia="Times New Roman" w:hAnsi="Arial" w:cs="Times New Roman"/>
          <w:sz w:val="20"/>
          <w:szCs w:val="20"/>
        </w:rPr>
      </w:pPr>
      <w:r w:rsidRPr="00A32732">
        <w:rPr>
          <w:rFonts w:ascii="Arial" w:eastAsia="Times New Roman" w:hAnsi="Arial" w:cs="Times New Roman"/>
          <w:sz w:val="20"/>
          <w:szCs w:val="20"/>
        </w:rPr>
        <w:t xml:space="preserve">The following monitoring procedures, methods, or specifications are the details to the monitoring requirements identified and referenced in </w:t>
      </w:r>
      <w:r w:rsidRPr="00766B2A">
        <w:rPr>
          <w:rFonts w:ascii="Arial" w:eastAsia="Times New Roman" w:hAnsi="Arial" w:cs="Times New Roman"/>
          <w:color w:val="ED0000"/>
          <w:sz w:val="20"/>
          <w:szCs w:val="20"/>
        </w:rPr>
        <w:t>{Enter emission unit/flexible group}</w:t>
      </w:r>
      <w:r w:rsidRPr="00A32732">
        <w:rPr>
          <w:rFonts w:ascii="Arial" w:eastAsia="Times New Roman" w:hAnsi="Arial" w:cs="Times New Roman"/>
          <w:sz w:val="20"/>
          <w:szCs w:val="20"/>
        </w:rPr>
        <w:t>.</w:t>
      </w:r>
    </w:p>
    <w:p w14:paraId="0F8C92FC" w14:textId="77777777" w:rsidR="00A32732" w:rsidRPr="00A32732" w:rsidRDefault="00000000" w:rsidP="00845853">
      <w:pPr>
        <w:spacing w:before="240" w:after="240"/>
        <w:jc w:val="both"/>
        <w:rPr>
          <w:rFonts w:ascii="Arial" w:eastAsia="Times New Roman" w:hAnsi="Arial" w:cs="Times New Roman"/>
          <w:sz w:val="20"/>
          <w:szCs w:val="20"/>
        </w:rPr>
      </w:pPr>
      <w:r w:rsidRPr="00766B2A">
        <w:rPr>
          <w:rFonts w:ascii="Arial" w:eastAsia="Times New Roman" w:hAnsi="Arial" w:cs="Times New Roman"/>
          <w:b/>
          <w:color w:val="ED0000"/>
          <w:sz w:val="20"/>
          <w:szCs w:val="20"/>
        </w:rPr>
        <w:t>{OR}</w:t>
      </w:r>
    </w:p>
    <w:p w14:paraId="6463BE4A" w14:textId="77777777" w:rsidR="00A32732" w:rsidRPr="00A32732" w:rsidRDefault="00000000" w:rsidP="00845853">
      <w:pPr>
        <w:spacing w:before="240" w:after="240"/>
        <w:rPr>
          <w:rFonts w:ascii="Arial" w:eastAsia="Times New Roman" w:hAnsi="Arial" w:cs="Times New Roman"/>
          <w:sz w:val="20"/>
          <w:szCs w:val="20"/>
        </w:rPr>
      </w:pPr>
      <w:r w:rsidRPr="00A32732">
        <w:rPr>
          <w:rFonts w:ascii="Arial" w:eastAsia="Times New Roman" w:hAnsi="Arial" w:cs="Times New Roman"/>
          <w:sz w:val="20"/>
          <w:szCs w:val="20"/>
        </w:rPr>
        <w:t>Specific monitoring requirement procedures, methods or specifications are detailed in Part A or the appropriate Source-Wide, Emission Unit and/or Flexible Group Special Conditions.  Therefore, this appendix is not applicable.</w:t>
      </w:r>
    </w:p>
    <w:p w14:paraId="3CD691EA" w14:textId="77777777" w:rsidR="00A32732" w:rsidRPr="00A32732" w:rsidRDefault="00000000" w:rsidP="00845853">
      <w:pPr>
        <w:pStyle w:val="Heading4C"/>
      </w:pPr>
      <w:bookmarkStart w:id="38" w:name="_Toc427052396"/>
      <w:r w:rsidRPr="00A32732">
        <w:t>Appendix 4.  Recordkeeping</w:t>
      </w:r>
      <w:bookmarkEnd w:id="38"/>
    </w:p>
    <w:p w14:paraId="76C1BB63" w14:textId="77777777" w:rsidR="00A32732" w:rsidRPr="00A32732" w:rsidRDefault="00000000" w:rsidP="00845853">
      <w:pPr>
        <w:spacing w:before="240" w:after="240"/>
        <w:jc w:val="both"/>
        <w:rPr>
          <w:rFonts w:ascii="Arial" w:eastAsia="Times New Roman" w:hAnsi="Arial" w:cs="Times New Roman"/>
          <w:sz w:val="20"/>
          <w:szCs w:val="20"/>
        </w:rPr>
      </w:pPr>
      <w:r w:rsidRPr="00766B2A">
        <w:rPr>
          <w:rFonts w:ascii="Arial" w:eastAsia="Times New Roman" w:hAnsi="Arial" w:cs="Times New Roman"/>
          <w:b/>
          <w:color w:val="ED0000"/>
          <w:sz w:val="20"/>
          <w:szCs w:val="20"/>
        </w:rPr>
        <w:t>{CHOOSE ONE}</w:t>
      </w:r>
    </w:p>
    <w:p w14:paraId="5DEE4D83" w14:textId="77777777" w:rsidR="00A32732" w:rsidRPr="00A32732" w:rsidRDefault="00000000" w:rsidP="00845853">
      <w:pPr>
        <w:spacing w:before="240" w:after="240"/>
        <w:rPr>
          <w:rFonts w:ascii="Arial" w:eastAsia="Times New Roman" w:hAnsi="Arial" w:cs="Times New Roman"/>
          <w:sz w:val="20"/>
          <w:szCs w:val="20"/>
        </w:rPr>
      </w:pPr>
      <w:r w:rsidRPr="00A32732">
        <w:rPr>
          <w:rFonts w:ascii="Arial" w:eastAsia="Times New Roman" w:hAnsi="Arial" w:cs="Times New Roman"/>
          <w:sz w:val="20"/>
          <w:szCs w:val="20"/>
        </w:rPr>
        <w:t xml:space="preserve">The permittee shall use the following approved formats and procedures for the recordkeeping requirements referenced in </w:t>
      </w:r>
      <w:r w:rsidRPr="00766B2A">
        <w:rPr>
          <w:rFonts w:ascii="Arial" w:eastAsia="Times New Roman" w:hAnsi="Arial" w:cs="Times New Roman"/>
          <w:color w:val="ED0000"/>
          <w:sz w:val="20"/>
          <w:szCs w:val="20"/>
        </w:rPr>
        <w:t>{Enter emission unit/flexible group}</w:t>
      </w:r>
      <w:r w:rsidRPr="00A32732">
        <w:rPr>
          <w:rFonts w:ascii="Arial" w:eastAsia="Times New Roman" w:hAnsi="Arial" w:cs="Times New Roman"/>
          <w:sz w:val="20"/>
          <w:szCs w:val="20"/>
        </w:rPr>
        <w:t>.  Alternative formats must be approved by the AQD District Supervisor.</w:t>
      </w:r>
    </w:p>
    <w:p w14:paraId="69C0A15D" w14:textId="77777777" w:rsidR="00A32732" w:rsidRPr="00A32732" w:rsidRDefault="00000000" w:rsidP="00845853">
      <w:pPr>
        <w:spacing w:before="240" w:after="240"/>
        <w:jc w:val="both"/>
        <w:rPr>
          <w:rFonts w:ascii="Arial" w:eastAsia="Times New Roman" w:hAnsi="Arial" w:cs="Times New Roman"/>
          <w:sz w:val="20"/>
          <w:szCs w:val="20"/>
        </w:rPr>
      </w:pPr>
      <w:r w:rsidRPr="00766B2A">
        <w:rPr>
          <w:rFonts w:ascii="Arial" w:eastAsia="Times New Roman" w:hAnsi="Arial" w:cs="Times New Roman"/>
          <w:b/>
          <w:color w:val="ED0000"/>
          <w:sz w:val="20"/>
          <w:szCs w:val="20"/>
        </w:rPr>
        <w:t>{OR}</w:t>
      </w:r>
    </w:p>
    <w:p w14:paraId="4DAE6454" w14:textId="77777777" w:rsidR="00A32732" w:rsidRPr="00A32732" w:rsidRDefault="00000000" w:rsidP="00845853">
      <w:pPr>
        <w:spacing w:before="240" w:after="240"/>
        <w:rPr>
          <w:rFonts w:ascii="Arial" w:eastAsia="Times New Roman" w:hAnsi="Arial" w:cs="Times New Roman"/>
          <w:sz w:val="20"/>
          <w:szCs w:val="20"/>
        </w:rPr>
      </w:pPr>
      <w:r w:rsidRPr="00A32732">
        <w:rPr>
          <w:rFonts w:ascii="Arial" w:eastAsia="Times New Roman" w:hAnsi="Arial" w:cs="Times New Roman"/>
          <w:sz w:val="20"/>
          <w:szCs w:val="20"/>
        </w:rPr>
        <w:t>Specific recordkeeping requirement formats and procedures are detailed in Part A or the appropriate Source-Wide, Emission Unit and/or Flexible Group Special Conditions.  Therefore, this appendix is not applicable.</w:t>
      </w:r>
    </w:p>
    <w:p w14:paraId="149E9E63" w14:textId="77777777" w:rsidR="00A32732" w:rsidRPr="00A32732" w:rsidRDefault="00000000" w:rsidP="00845853">
      <w:pPr>
        <w:pStyle w:val="Heading4C"/>
      </w:pPr>
      <w:bookmarkStart w:id="39" w:name="_Toc427052397"/>
      <w:r w:rsidRPr="00A32732">
        <w:t>Appendix 5.  Testing Procedures</w:t>
      </w:r>
      <w:bookmarkEnd w:id="39"/>
    </w:p>
    <w:p w14:paraId="39E93999" w14:textId="77777777" w:rsidR="00A32732" w:rsidRPr="00A32732" w:rsidRDefault="00000000" w:rsidP="00845853">
      <w:pPr>
        <w:spacing w:before="240"/>
        <w:rPr>
          <w:rFonts w:ascii="Arial" w:eastAsia="Times New Roman" w:hAnsi="Arial" w:cs="Times New Roman"/>
          <w:sz w:val="20"/>
          <w:szCs w:val="20"/>
        </w:rPr>
      </w:pPr>
      <w:r w:rsidRPr="00A32732">
        <w:rPr>
          <w:rFonts w:ascii="Arial" w:eastAsia="Times New Roman" w:hAnsi="Arial" w:cs="Times New Roman"/>
          <w:sz w:val="20"/>
          <w:szCs w:val="20"/>
        </w:rPr>
        <w:t xml:space="preserve">The permittee shall use the following approved procedures, to measure the pollutant emissions for the applicable requirements referenced in FGLANDFILL-XXX&lt;34.  </w:t>
      </w:r>
    </w:p>
    <w:p w14:paraId="768279C3" w14:textId="77777777" w:rsidR="00A32732" w:rsidRPr="00A32732" w:rsidRDefault="00000000" w:rsidP="00845853">
      <w:pPr>
        <w:pStyle w:val="Caption3"/>
        <w:jc w:val="left"/>
      </w:pPr>
      <w:r w:rsidRPr="00A32732">
        <w:t>Tier 1</w:t>
      </w:r>
    </w:p>
    <w:p w14:paraId="0686317E" w14:textId="5509D168" w:rsidR="00A32732" w:rsidRPr="00A32732" w:rsidRDefault="00000000" w:rsidP="00845853">
      <w:pPr>
        <w:rPr>
          <w:rFonts w:ascii="Arial" w:eastAsia="Times New Roman" w:hAnsi="Arial" w:cs="Times New Roman"/>
          <w:sz w:val="20"/>
          <w:szCs w:val="20"/>
        </w:rPr>
      </w:pPr>
      <w:r w:rsidRPr="00A32732">
        <w:rPr>
          <w:rFonts w:ascii="Arial" w:eastAsia="Times New Roman" w:hAnsi="Arial" w:cs="Times New Roman"/>
          <w:sz w:val="20"/>
          <w:szCs w:val="20"/>
        </w:rPr>
        <w:t xml:space="preserve">The </w:t>
      </w:r>
      <w:r w:rsidR="00173D3D">
        <w:rPr>
          <w:rFonts w:ascii="Arial" w:eastAsia="Times New Roman" w:hAnsi="Arial" w:cs="Times New Roman"/>
          <w:sz w:val="20"/>
          <w:szCs w:val="20"/>
        </w:rPr>
        <w:t>permittee</w:t>
      </w:r>
      <w:r w:rsidRPr="00A32732">
        <w:rPr>
          <w:rFonts w:ascii="Arial" w:eastAsia="Times New Roman" w:hAnsi="Arial" w:cs="Times New Roman"/>
          <w:sz w:val="20"/>
          <w:szCs w:val="20"/>
        </w:rPr>
        <w:t xml:space="preserve"> must calculate NMOC mass emission rate utilizing Equation 1 or 2 in Appendix 7, as applicable, and compare it to the standard of 34 Mg per year.</w:t>
      </w:r>
      <w:r w:rsidRPr="00A32732">
        <w:rPr>
          <w:rFonts w:ascii="Arial" w:eastAsia="Times New Roman" w:hAnsi="Arial" w:cs="Arial"/>
          <w:b/>
          <w:sz w:val="20"/>
          <w:szCs w:val="20"/>
        </w:rPr>
        <w:t xml:space="preserve">  (40 CFR 60.764(a)(2))</w:t>
      </w:r>
    </w:p>
    <w:p w14:paraId="670BB95A" w14:textId="77777777" w:rsidR="00A32732" w:rsidRPr="00A32732" w:rsidRDefault="00000000" w:rsidP="00845853">
      <w:pPr>
        <w:pStyle w:val="Caption3"/>
        <w:jc w:val="left"/>
      </w:pPr>
      <w:r w:rsidRPr="00A32732">
        <w:t>Tier 2</w:t>
      </w:r>
    </w:p>
    <w:p w14:paraId="47D28D08" w14:textId="77777777" w:rsidR="00A32732" w:rsidRPr="00A32732" w:rsidRDefault="00000000" w:rsidP="00845853">
      <w:pPr>
        <w:spacing w:after="120" w:line="240" w:lineRule="auto"/>
        <w:rPr>
          <w:rFonts w:ascii="Arial" w:eastAsia="Times New Roman" w:hAnsi="Arial" w:cs="Arial"/>
          <w:sz w:val="20"/>
          <w:szCs w:val="20"/>
        </w:rPr>
      </w:pPr>
      <w:r w:rsidRPr="00A32732">
        <w:rPr>
          <w:rFonts w:ascii="Arial" w:eastAsia="Times New Roman" w:hAnsi="Arial" w:cs="Arial"/>
          <w:sz w:val="20"/>
          <w:szCs w:val="20"/>
        </w:rPr>
        <w:t>The permittee must determine the NMOC concentration using the following sampling procedure:</w:t>
      </w:r>
    </w:p>
    <w:p w14:paraId="737955DA" w14:textId="77777777" w:rsidR="00A32732" w:rsidRPr="00A32732" w:rsidRDefault="00000000" w:rsidP="00845853">
      <w:pPr>
        <w:spacing w:before="100" w:beforeAutospacing="1" w:after="100" w:afterAutospacing="1" w:line="240" w:lineRule="auto"/>
        <w:rPr>
          <w:rFonts w:ascii="Arial" w:eastAsia="Times New Roman" w:hAnsi="Arial" w:cs="Arial"/>
          <w:sz w:val="20"/>
          <w:szCs w:val="20"/>
        </w:rPr>
      </w:pPr>
      <w:r w:rsidRPr="00A32732">
        <w:rPr>
          <w:rFonts w:ascii="Arial" w:eastAsia="Times New Roman" w:hAnsi="Arial" w:cs="Arial"/>
          <w:sz w:val="20"/>
          <w:szCs w:val="20"/>
        </w:rPr>
        <w:t xml:space="preserve">The permittee must install at least two sample probes per hectare of landfill surface that has retained waste for at least 2 years.  If the landfill is larger than 25 hectares in area, only 50 samples are required.  The sample probes should be located to avoid known areas of nondegradable solid waste.  </w:t>
      </w:r>
    </w:p>
    <w:p w14:paraId="10DF8642" w14:textId="77777777" w:rsidR="00A32732" w:rsidRPr="00A32732" w:rsidRDefault="00000000" w:rsidP="00845853">
      <w:pPr>
        <w:spacing w:before="100" w:beforeAutospacing="1" w:after="100" w:afterAutospacing="1" w:line="240" w:lineRule="auto"/>
        <w:rPr>
          <w:rFonts w:ascii="Arial" w:eastAsia="Times New Roman" w:hAnsi="Arial" w:cs="Arial"/>
          <w:sz w:val="20"/>
          <w:szCs w:val="20"/>
        </w:rPr>
      </w:pPr>
      <w:r w:rsidRPr="00A32732">
        <w:rPr>
          <w:rFonts w:ascii="Arial" w:eastAsia="Times New Roman" w:hAnsi="Arial" w:cs="Arial"/>
          <w:sz w:val="20"/>
          <w:szCs w:val="20"/>
        </w:rPr>
        <w:t xml:space="preserve">The permittee must collect and analyze one sample of landfill gas from each probe to determine the NMOC concentration using 40 CFR Part 60, Appendix A, Methods 25 or 25C.  40 CFR Part 60, Appendix A, Method 18  may be used to analyze the samples collected by Method 25 or 25C sampling procedure.  Taking composite samples from different probes into a single cylinder is allowed; however, equal sample volumes must be taken from each probe.  For each composite, the sampling rate, collection times, beginning and ending cylinder vacuums, or alternative volume measurements must be recorded to verify that composite volumes are equal.  Composite sample volumes should not be less than one liter unless evidence can be provided to substantiate the accuracy of smaller volumes.  Terminate compositing before the cylinder approaches ambient pressure where measurement accuracy diminishes.  </w:t>
      </w:r>
    </w:p>
    <w:p w14:paraId="6A2E4167" w14:textId="77777777" w:rsidR="00A32732" w:rsidRPr="00A32732" w:rsidRDefault="00000000" w:rsidP="00845853">
      <w:pPr>
        <w:spacing w:before="100" w:beforeAutospacing="1" w:after="100" w:afterAutospacing="1" w:line="240" w:lineRule="auto"/>
        <w:rPr>
          <w:rFonts w:ascii="Arial" w:eastAsia="Times New Roman" w:hAnsi="Arial" w:cs="Arial"/>
          <w:sz w:val="20"/>
          <w:szCs w:val="20"/>
        </w:rPr>
      </w:pPr>
      <w:r w:rsidRPr="00A32732">
        <w:rPr>
          <w:rFonts w:ascii="Arial" w:eastAsia="Times New Roman" w:hAnsi="Arial" w:cs="Arial"/>
          <w:sz w:val="20"/>
          <w:szCs w:val="20"/>
        </w:rPr>
        <w:lastRenderedPageBreak/>
        <w:t xml:space="preserve">If using Method 18, the permittee must identify all compounds in the sample and, as a minimum, test for those compounds published in the most recent Compilation of Air Pollutant Emission Factors (AP-42), minus carbon monoxide, hydrogen sulfide, and mercury.  As a minimum, the instrument must be calibrated for each of the compounds on the list.  Convert the concentration of each Method 18 compound to CNMOC as hexane by multiplying by the ratio of its carbon atoms divided by six.  If more than the required number of samples is taken, all samples must be used in the analysis.  </w:t>
      </w:r>
    </w:p>
    <w:p w14:paraId="0B900BCD" w14:textId="77777777" w:rsidR="00A32732" w:rsidRPr="00A32732" w:rsidRDefault="00000000" w:rsidP="00845853">
      <w:pPr>
        <w:spacing w:before="100" w:beforeAutospacing="1" w:after="100" w:afterAutospacing="1" w:line="240" w:lineRule="auto"/>
        <w:rPr>
          <w:rFonts w:ascii="Arial" w:eastAsia="Times New Roman" w:hAnsi="Arial" w:cs="Arial"/>
          <w:sz w:val="20"/>
          <w:szCs w:val="20"/>
        </w:rPr>
      </w:pPr>
      <w:r w:rsidRPr="00A32732">
        <w:rPr>
          <w:rFonts w:ascii="Arial" w:eastAsia="Times New Roman" w:hAnsi="Arial" w:cs="Arial"/>
          <w:sz w:val="20"/>
          <w:szCs w:val="20"/>
        </w:rPr>
        <w:t xml:space="preserve">The permittee must divide the NMOC concentration from 40 CFR Part 60, Method 25 or 25C by six (6) to convert from </w:t>
      </w:r>
      <w:r w:rsidRPr="00A32732">
        <w:rPr>
          <w:rFonts w:ascii="Arial" w:eastAsia="Times New Roman" w:hAnsi="Arial" w:cs="Times New Roman"/>
          <w:sz w:val="20"/>
          <w:szCs w:val="20"/>
        </w:rPr>
        <w:t>C</w:t>
      </w:r>
      <w:r w:rsidRPr="00A32732">
        <w:rPr>
          <w:rFonts w:ascii="Arial" w:eastAsia="Times New Roman" w:hAnsi="Arial" w:cs="Times New Roman"/>
          <w:sz w:val="20"/>
          <w:szCs w:val="20"/>
          <w:vertAlign w:val="subscript"/>
        </w:rPr>
        <w:t>NMOC</w:t>
      </w:r>
      <w:r w:rsidRPr="00A32732">
        <w:rPr>
          <w:rFonts w:ascii="Arial" w:eastAsia="Times New Roman" w:hAnsi="Arial" w:cs="Arial"/>
          <w:sz w:val="20"/>
          <w:szCs w:val="20"/>
        </w:rPr>
        <w:t xml:space="preserve"> as carbon to </w:t>
      </w:r>
      <w:bookmarkStart w:id="40" w:name="_Hlk26515123"/>
      <w:r w:rsidRPr="00A32732">
        <w:rPr>
          <w:rFonts w:ascii="Arial" w:eastAsia="Times New Roman" w:hAnsi="Arial" w:cs="Times New Roman"/>
          <w:sz w:val="20"/>
          <w:szCs w:val="20"/>
        </w:rPr>
        <w:t>C</w:t>
      </w:r>
      <w:r w:rsidRPr="00A32732">
        <w:rPr>
          <w:rFonts w:ascii="Arial" w:eastAsia="Times New Roman" w:hAnsi="Arial" w:cs="Times New Roman"/>
          <w:sz w:val="20"/>
          <w:szCs w:val="20"/>
          <w:vertAlign w:val="subscript"/>
        </w:rPr>
        <w:t>NMOC</w:t>
      </w:r>
      <w:bookmarkEnd w:id="40"/>
      <w:r w:rsidRPr="00A32732">
        <w:rPr>
          <w:rFonts w:ascii="Arial" w:eastAsia="Times New Roman" w:hAnsi="Arial" w:cs="Arial"/>
          <w:sz w:val="20"/>
          <w:szCs w:val="20"/>
        </w:rPr>
        <w:t xml:space="preserve"> as hexane.  If the landfill has an active or passive gas removal system in place, Method 25 or 25C samples may be collected from these systems instead of surface probes provided the removal system can be shown to provide sampling as representative as the two-sampling probe per hectare requirement.  For active collection systems, samples may be collected from the common header pipe before the gas moving or condensate removal equipment.  For these systems, a minimum of three samples must be collected from the header pipe.  </w:t>
      </w:r>
    </w:p>
    <w:p w14:paraId="302162DC" w14:textId="77777777" w:rsidR="00A32732" w:rsidRPr="00A32732" w:rsidRDefault="00000000" w:rsidP="00845853">
      <w:pPr>
        <w:spacing w:before="100" w:beforeAutospacing="1" w:after="100" w:afterAutospacing="1" w:line="240" w:lineRule="auto"/>
        <w:rPr>
          <w:rFonts w:ascii="Arial" w:eastAsia="Times New Roman" w:hAnsi="Arial" w:cs="Times New Roman"/>
          <w:sz w:val="20"/>
          <w:szCs w:val="20"/>
        </w:rPr>
      </w:pPr>
      <w:r w:rsidRPr="00A32732">
        <w:rPr>
          <w:rFonts w:ascii="Arial" w:eastAsia="Times New Roman" w:hAnsi="Arial" w:cs="Arial"/>
          <w:sz w:val="20"/>
          <w:szCs w:val="20"/>
        </w:rPr>
        <w:t>The permittee must recalculate the NMOC mass emission rate using Equation 1 or Equation 2 in Appendix 7 using the average site-specific NMOC concentration from the collected samples.</w:t>
      </w:r>
      <w:r w:rsidRPr="00A32732">
        <w:rPr>
          <w:rFonts w:ascii="Arial" w:eastAsia="Times New Roman" w:hAnsi="Arial" w:cs="Times New Roman"/>
          <w:sz w:val="20"/>
          <w:szCs w:val="20"/>
        </w:rPr>
        <w:t xml:space="preserve">  The </w:t>
      </w:r>
      <w:r w:rsidRPr="00A32732">
        <w:rPr>
          <w:rFonts w:ascii="Arial" w:eastAsia="Times New Roman" w:hAnsi="Arial" w:cs="Arial"/>
          <w:sz w:val="20"/>
          <w:szCs w:val="20"/>
        </w:rPr>
        <w:t>permittee</w:t>
      </w:r>
      <w:r w:rsidRPr="00A32732">
        <w:rPr>
          <w:rFonts w:ascii="Arial" w:eastAsia="Times New Roman" w:hAnsi="Arial" w:cs="Times New Roman"/>
          <w:sz w:val="20"/>
          <w:szCs w:val="20"/>
        </w:rPr>
        <w:t xml:space="preserve"> must compare results to the standard of 34 Mg per year.  </w:t>
      </w:r>
      <w:r w:rsidRPr="00A32732">
        <w:rPr>
          <w:rFonts w:ascii="Arial" w:eastAsia="Times New Roman" w:hAnsi="Arial" w:cs="Arial"/>
          <w:b/>
          <w:sz w:val="20"/>
          <w:szCs w:val="20"/>
        </w:rPr>
        <w:t>(40 CFR 60.764(a)(3))</w:t>
      </w:r>
    </w:p>
    <w:p w14:paraId="0BDA4BEB" w14:textId="77777777" w:rsidR="00A32732" w:rsidRPr="00A32732" w:rsidRDefault="00000000" w:rsidP="00845853">
      <w:pPr>
        <w:pStyle w:val="Caption3"/>
      </w:pPr>
      <w:r w:rsidRPr="00A32732">
        <w:t>Tier 3</w:t>
      </w:r>
    </w:p>
    <w:p w14:paraId="509F4079"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Arial"/>
          <w:sz w:val="20"/>
          <w:szCs w:val="20"/>
        </w:rPr>
        <w:t xml:space="preserve">The site-specific methane generation rate constant must be determined using the procedures provided in 40 CFR Part 60, Appendix A, Method 2E.  The permittee must estimate the NMOC mass emission rate using </w:t>
      </w:r>
      <w:r w:rsidRPr="00A32732">
        <w:rPr>
          <w:rFonts w:ascii="Arial" w:eastAsia="Times New Roman" w:hAnsi="Arial" w:cs="Arial"/>
          <w:b/>
          <w:sz w:val="20"/>
          <w:szCs w:val="20"/>
        </w:rPr>
        <w:t>Equation 1</w:t>
      </w:r>
      <w:r w:rsidRPr="00A32732">
        <w:rPr>
          <w:rFonts w:ascii="Arial" w:eastAsia="Times New Roman" w:hAnsi="Arial" w:cs="Arial"/>
          <w:sz w:val="20"/>
          <w:szCs w:val="20"/>
        </w:rPr>
        <w:t xml:space="preserve"> (40 CFR 60.764(a)(1)(i)) or </w:t>
      </w:r>
      <w:r w:rsidRPr="00A32732">
        <w:rPr>
          <w:rFonts w:ascii="Arial" w:eastAsia="Times New Roman" w:hAnsi="Arial" w:cs="Arial"/>
          <w:b/>
          <w:sz w:val="20"/>
          <w:szCs w:val="20"/>
        </w:rPr>
        <w:t>Equation 2</w:t>
      </w:r>
      <w:r w:rsidRPr="00A32732">
        <w:rPr>
          <w:rFonts w:ascii="Arial" w:eastAsia="Times New Roman" w:hAnsi="Arial" w:cs="Arial"/>
          <w:sz w:val="20"/>
          <w:szCs w:val="20"/>
        </w:rPr>
        <w:t xml:space="preserve"> (40 CFR 60.764(a)(1)(ii)) and using a site-specific methane generation rate constant (k), and the site-specific NMOC concentration as determined in 40 CFR 60.764(a)(3) instead of the default values provided in 40 CFR 60.764(a)(1).  The permittee must compare the resulting NMOC mass emission rate to the standard of 34 Mg per year.  </w:t>
      </w:r>
      <w:r w:rsidRPr="00A32732">
        <w:rPr>
          <w:rFonts w:ascii="Arial" w:eastAsia="Times New Roman" w:hAnsi="Arial" w:cs="Arial"/>
          <w:b/>
          <w:sz w:val="20"/>
          <w:szCs w:val="20"/>
        </w:rPr>
        <w:t>(40 CFR 60.764(a)(4))</w:t>
      </w:r>
    </w:p>
    <w:p w14:paraId="31A9883C" w14:textId="77777777" w:rsidR="00A32732" w:rsidRPr="00A32732" w:rsidRDefault="00000000" w:rsidP="00845853">
      <w:pPr>
        <w:pStyle w:val="Caption3"/>
      </w:pPr>
      <w:bookmarkStart w:id="41" w:name="_Toc427052398"/>
      <w:r w:rsidRPr="00A32732">
        <w:t>Tier 4</w:t>
      </w:r>
    </w:p>
    <w:p w14:paraId="4FDC3213" w14:textId="191C2032"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The </w:t>
      </w:r>
      <w:r w:rsidR="00173D3D">
        <w:rPr>
          <w:rFonts w:ascii="Arial" w:eastAsia="Times New Roman" w:hAnsi="Arial" w:cs="Times New Roman"/>
          <w:sz w:val="20"/>
          <w:szCs w:val="20"/>
        </w:rPr>
        <w:t>permittee</w:t>
      </w:r>
      <w:r w:rsidRPr="00A32732">
        <w:rPr>
          <w:rFonts w:ascii="Arial" w:eastAsia="Times New Roman" w:hAnsi="Arial" w:cs="Times New Roman"/>
          <w:sz w:val="20"/>
          <w:szCs w:val="20"/>
        </w:rPr>
        <w:t xml:space="preserve"> must demonstrate that surface methane emissions are below 500 ppm.  Surface emission monitoring must be conducted on a quarterly basis using the following procedures.  Tier 4 is allowed only if the landfill owner or operator can demonstrate that NMOC emissions are greater than or equal to 34 Mg/yr but less than 50 Mg/yr using Tier 1 or Tier 2.  If both Tier 1 and Tier 2 indicate NMOC emissions are 50 Mg/yr or greater, then Tier 4 cannot be used. </w:t>
      </w:r>
    </w:p>
    <w:p w14:paraId="5691FCA5" w14:textId="75F6AFE1"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The </w:t>
      </w:r>
      <w:r w:rsidR="00173D3D">
        <w:rPr>
          <w:rFonts w:ascii="Arial" w:eastAsia="Times New Roman" w:hAnsi="Arial" w:cs="Times New Roman"/>
          <w:sz w:val="20"/>
          <w:szCs w:val="20"/>
        </w:rPr>
        <w:t>permittee</w:t>
      </w:r>
      <w:r w:rsidRPr="00A32732">
        <w:rPr>
          <w:rFonts w:ascii="Arial" w:eastAsia="Times New Roman" w:hAnsi="Arial" w:cs="Times New Roman"/>
          <w:sz w:val="20"/>
          <w:szCs w:val="20"/>
        </w:rPr>
        <w:t xml:space="preserve"> must measure surface concentrations of methane along the entire perimeter of the landfill and along a pattern that traverses the landfill at no more than 30-meter intervals using an organic vapor analyzer, flame ionization detector, or other portable monitor meeting the specifications provided in 40 CFR 60.765(d).  The background concentration must be determined by moving the probe inlet upwind and downwind at least 30 meters from the waste mass boundary of the landfill.</w:t>
      </w:r>
    </w:p>
    <w:p w14:paraId="4EE691FC" w14:textId="13C64194"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Surface emission monitoring (SEM) must be performed in accordance with 40 CFR Part 60, Appendix A, Section 8.3.1 of Method 21</w:t>
      </w:r>
      <w:r w:rsidR="00173D3D">
        <w:rPr>
          <w:rFonts w:ascii="Arial" w:eastAsia="Times New Roman" w:hAnsi="Arial" w:cs="Times New Roman"/>
          <w:sz w:val="20"/>
          <w:szCs w:val="20"/>
        </w:rPr>
        <w:t xml:space="preserve"> </w:t>
      </w:r>
      <w:r w:rsidRPr="00A32732">
        <w:rPr>
          <w:rFonts w:ascii="Arial" w:eastAsia="Times New Roman" w:hAnsi="Arial" w:cs="Times New Roman"/>
          <w:sz w:val="20"/>
          <w:szCs w:val="20"/>
        </w:rPr>
        <w:t>except that the probe inlet must be placed no more than 5 centimeters above the landfill surface; the constant measurement of distance above the surface should be based on a mechanical device such as with a wheel on a pole, except, the owner or operator must use a wind barrier, similar to a funnel, when onsite average wind speed exceeds 4 miles per hour or 2 meters per second or gust exceeding 10 miles per hour.  Average on-site wind speed must also be determined in an open area at 5-minute intervals using an on-site anemometer with a continuous recorder and data logger for the entire duration of the monitoring event.  The wind barrier must surround the SEM, and must be placed on the ground, to ensure wind turbulence is blocked.  SEM cannot be conducted if average wind speed exceeds 25 miles per hour.</w:t>
      </w:r>
    </w:p>
    <w:p w14:paraId="5A0CD335"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Landfill surface areas where visual observations indicate elevated concentrations of landfill gas, such as distressed vegetation and cracks or seeps in the cover, and all cover penetrations must also be monitored using a device meeting the specifications provided in 40 CFR 60.765(d).</w:t>
      </w:r>
    </w:p>
    <w:p w14:paraId="203CD888"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lastRenderedPageBreak/>
        <w:t>Each owner or operator seeking to comply with the Tier 4 provisions must maintain records of surface emission monitoring as provided in 40 CFR 60.768(g) and submit a Tier 4 surface emissions report as provided in 40 CFR 60.767(c)(4)(iii).</w:t>
      </w:r>
    </w:p>
    <w:p w14:paraId="44DB2F95"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If after four consecutive quarterly monitoring periods at a landfill, other than a closed landfill, there is no measured concentration of methane of 500 ppm or greater from the surface of the landfill, the owner or operator must continue quarterly surface emission monitoring using the methods specified in this section.</w:t>
      </w:r>
    </w:p>
    <w:p w14:paraId="1FF9D838"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If after four consecutive quarterly monitoring periods at a closed landfill there is no measured concentration of methane of 500 ppm or greater from the surface of the landfill, the owner or operator must conduct annual surface emission monitoring.</w:t>
      </w:r>
    </w:p>
    <w:p w14:paraId="4E7453D6" w14:textId="77777777" w:rsidR="00A32732" w:rsidRPr="00A32732" w:rsidRDefault="00000000" w:rsidP="00845853">
      <w:pPr>
        <w:spacing w:after="120"/>
        <w:rPr>
          <w:rFonts w:ascii="Arial" w:eastAsia="Times New Roman" w:hAnsi="Arial" w:cs="Times New Roman"/>
          <w:sz w:val="20"/>
          <w:szCs w:val="20"/>
        </w:rPr>
      </w:pPr>
      <w:r w:rsidRPr="00A32732">
        <w:rPr>
          <w:rFonts w:ascii="Arial" w:eastAsia="Times New Roman" w:hAnsi="Arial" w:cs="Times New Roman"/>
          <w:sz w:val="20"/>
          <w:szCs w:val="20"/>
        </w:rPr>
        <w:t>If a landfill has installed and operates a collection and control system that is not required by this subpart, then the collection and control system must meet the following criteria:</w:t>
      </w:r>
      <w:r w:rsidRPr="00A32732">
        <w:rPr>
          <w:rFonts w:ascii="Arial" w:eastAsia="Times New Roman" w:hAnsi="Arial" w:cs="Arial"/>
          <w:b/>
          <w:sz w:val="20"/>
          <w:szCs w:val="20"/>
        </w:rPr>
        <w:t xml:space="preserve">  (40 CFR 60.764(a)(6)(vii))</w:t>
      </w:r>
    </w:p>
    <w:p w14:paraId="5FC10BFC" w14:textId="77777777" w:rsidR="00A32732" w:rsidRPr="00A32732" w:rsidRDefault="00000000" w:rsidP="00845853">
      <w:pPr>
        <w:spacing w:after="120"/>
        <w:ind w:left="360" w:hanging="360"/>
        <w:rPr>
          <w:rFonts w:ascii="Arial" w:eastAsia="Times New Roman" w:hAnsi="Arial" w:cs="Times New Roman"/>
          <w:sz w:val="20"/>
          <w:szCs w:val="20"/>
        </w:rPr>
      </w:pPr>
      <w:r w:rsidRPr="00A32732">
        <w:rPr>
          <w:rFonts w:ascii="Arial" w:eastAsia="Times New Roman" w:hAnsi="Arial" w:cs="Times New Roman"/>
          <w:sz w:val="20"/>
          <w:szCs w:val="20"/>
        </w:rPr>
        <w:t>(A) The gas collection and control system must have operated for 6,570 out of 8,760 hours preceding the Tier 4 surface emissions monitoring demonstration.</w:t>
      </w:r>
    </w:p>
    <w:p w14:paraId="0BF5BB2F" w14:textId="77777777" w:rsidR="00A32732" w:rsidRDefault="00000000" w:rsidP="00845853">
      <w:pPr>
        <w:ind w:left="360" w:hanging="360"/>
        <w:rPr>
          <w:rFonts w:ascii="Arial" w:eastAsia="Times New Roman" w:hAnsi="Arial" w:cs="Times New Roman"/>
          <w:sz w:val="20"/>
          <w:szCs w:val="20"/>
        </w:rPr>
      </w:pPr>
      <w:r w:rsidRPr="00A32732">
        <w:rPr>
          <w:rFonts w:ascii="Arial" w:eastAsia="Times New Roman" w:hAnsi="Arial" w:cs="Times New Roman"/>
          <w:sz w:val="20"/>
          <w:szCs w:val="20"/>
        </w:rPr>
        <w:t>(B) During the Tier 4 surface emissions monitoring demonstration, the gas collection and control system must operate as it normally would to collect and control as much landfill gas as possible.</w:t>
      </w:r>
    </w:p>
    <w:p w14:paraId="6D1ABE7B" w14:textId="77777777" w:rsidR="00A32732" w:rsidRPr="006874F8" w:rsidRDefault="00000000" w:rsidP="00845853">
      <w:pPr>
        <w:pStyle w:val="Heading4C"/>
      </w:pPr>
      <w:r w:rsidRPr="006874F8">
        <w:t>Appendix 6.  Permits to Install</w:t>
      </w:r>
      <w:bookmarkEnd w:id="41"/>
    </w:p>
    <w:p w14:paraId="494464DF" w14:textId="77777777" w:rsidR="00A32732" w:rsidRPr="00766B2A" w:rsidRDefault="00000000" w:rsidP="00845853">
      <w:pPr>
        <w:spacing w:before="120"/>
        <w:jc w:val="both"/>
        <w:rPr>
          <w:rFonts w:ascii="Arial" w:eastAsia="Times New Roman" w:hAnsi="Arial" w:cs="Times New Roman"/>
          <w:b/>
          <w:color w:val="ED0000"/>
          <w:sz w:val="20"/>
          <w:szCs w:val="20"/>
        </w:rPr>
      </w:pPr>
      <w:r w:rsidRPr="00766B2A">
        <w:rPr>
          <w:rFonts w:ascii="Arial" w:eastAsia="Times New Roman" w:hAnsi="Arial" w:cs="Times New Roman"/>
          <w:b/>
          <w:color w:val="ED0000"/>
          <w:sz w:val="20"/>
          <w:szCs w:val="20"/>
        </w:rPr>
        <w:t>{CHOOSE ONE}</w:t>
      </w:r>
    </w:p>
    <w:p w14:paraId="790DDB33" w14:textId="77777777" w:rsidR="00A32732" w:rsidRPr="00A32732" w:rsidRDefault="00000000" w:rsidP="00845853">
      <w:pPr>
        <w:spacing w:before="120"/>
        <w:rPr>
          <w:rFonts w:ascii="Arial" w:eastAsia="Times New Roman" w:hAnsi="Arial" w:cs="Times New Roman"/>
          <w:szCs w:val="20"/>
        </w:rPr>
      </w:pPr>
      <w:r w:rsidRPr="00A32732">
        <w:rPr>
          <w:rFonts w:ascii="Arial" w:eastAsia="Times New Roman" w:hAnsi="Arial" w:cs="Arial"/>
          <w:sz w:val="20"/>
          <w:szCs w:val="20"/>
        </w:rPr>
        <w:t>At the time of permit issuance, no Permits to Install have been issued to this facility.  Therefore, this appendix is not applicable.</w:t>
      </w:r>
    </w:p>
    <w:p w14:paraId="2F032DEC" w14:textId="77777777" w:rsidR="00A32732" w:rsidRPr="00A32732" w:rsidRDefault="00000000" w:rsidP="00845853">
      <w:pPr>
        <w:spacing w:before="120"/>
        <w:jc w:val="both"/>
        <w:rPr>
          <w:rFonts w:ascii="Arial" w:eastAsia="Times New Roman" w:hAnsi="Arial" w:cs="Times New Roman"/>
          <w:bCs/>
          <w:sz w:val="20"/>
          <w:szCs w:val="20"/>
        </w:rPr>
      </w:pPr>
      <w:r w:rsidRPr="00766B2A">
        <w:rPr>
          <w:rFonts w:ascii="Arial" w:eastAsia="Times New Roman" w:hAnsi="Arial" w:cs="Times New Roman"/>
          <w:b/>
          <w:color w:val="ED0000"/>
          <w:sz w:val="20"/>
          <w:szCs w:val="20"/>
        </w:rPr>
        <w:t>{OR}</w:t>
      </w:r>
    </w:p>
    <w:p w14:paraId="7948C068" w14:textId="77777777" w:rsidR="00A32732" w:rsidRPr="00A32732" w:rsidRDefault="00000000" w:rsidP="00845853">
      <w:pPr>
        <w:spacing w:before="120"/>
        <w:jc w:val="both"/>
        <w:rPr>
          <w:rFonts w:ascii="Arial" w:eastAsia="Times New Roman" w:hAnsi="Arial" w:cs="Times New Roman"/>
          <w:bCs/>
          <w:sz w:val="20"/>
          <w:szCs w:val="20"/>
        </w:rPr>
      </w:pPr>
      <w:r w:rsidRPr="00766B2A">
        <w:rPr>
          <w:rFonts w:ascii="Arial" w:eastAsia="Times New Roman" w:hAnsi="Arial" w:cs="Times New Roman"/>
          <w:b/>
          <w:color w:val="ED0000"/>
          <w:sz w:val="20"/>
          <w:szCs w:val="20"/>
        </w:rPr>
        <w:t>{For Initial ROP Issuance}</w:t>
      </w:r>
    </w:p>
    <w:p w14:paraId="770A4DF7" w14:textId="4DEA1EBC"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The following table lists any Permit to Install and/or Operate, that relate to the identified emission units or flexible groups as of the effective date of this ROP.  This includes all Permits to Install and/or Operate that are hereby incorporated into Source-Wide PTI No.</w:t>
      </w:r>
      <w:r w:rsidR="00A53924">
        <w:rPr>
          <w:rFonts w:ascii="Arial" w:eastAsia="Times New Roman" w:hAnsi="Arial" w:cs="Times New Roman"/>
          <w:sz w:val="20"/>
          <w:szCs w:val="20"/>
        </w:rPr>
        <w:t xml:space="preserve"> SW</w:t>
      </w:r>
      <w:r w:rsidRPr="00A32732">
        <w:rPr>
          <w:rFonts w:ascii="Arial" w:eastAsia="Times New Roman" w:hAnsi="Arial" w:cs="Times New Roman"/>
          <w:sz w:val="20"/>
          <w:szCs w:val="20"/>
        </w:rPr>
        <w:t>PTI</w:t>
      </w:r>
      <w:r w:rsidR="00A53924" w:rsidRPr="00766B2A">
        <w:rPr>
          <w:rFonts w:ascii="Arial" w:eastAsia="Times New Roman" w:hAnsi="Arial" w:cs="Times New Roman"/>
          <w:color w:val="ED0000"/>
          <w:sz w:val="20"/>
          <w:szCs w:val="20"/>
        </w:rPr>
        <w:t>####### v#.#</w:t>
      </w:r>
      <w:r w:rsidRPr="00A32732">
        <w:rPr>
          <w:rFonts w:ascii="Arial" w:eastAsia="Times New Roman" w:hAnsi="Arial" w:cs="Times New Roman"/>
          <w:sz w:val="20"/>
          <w:szCs w:val="20"/>
        </w:rPr>
        <w:t xml:space="preserve">.  PTIs issued after the effective date of this ROP, including amendments or modifications, will be identified in Appendix 6 upon renewal.  </w:t>
      </w:r>
    </w:p>
    <w:tbl>
      <w:tblPr>
        <w:tblW w:w="10178" w:type="dxa"/>
        <w:jc w:val="center"/>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ayout w:type="fixed"/>
        <w:tblLook w:val="04A0" w:firstRow="1" w:lastRow="0" w:firstColumn="1" w:lastColumn="0" w:noHBand="0" w:noVBand="1"/>
      </w:tblPr>
      <w:tblGrid>
        <w:gridCol w:w="2922"/>
        <w:gridCol w:w="4321"/>
        <w:gridCol w:w="2935"/>
      </w:tblGrid>
      <w:tr w:rsidR="00735572" w14:paraId="38F42BB2" w14:textId="77777777" w:rsidTr="00845853">
        <w:trPr>
          <w:tblHeader/>
          <w:jc w:val="center"/>
        </w:trPr>
        <w:tc>
          <w:tcPr>
            <w:tcW w:w="2922" w:type="dxa"/>
            <w:shd w:val="pct10" w:color="auto" w:fill="auto"/>
          </w:tcPr>
          <w:p w14:paraId="0A5F23B3"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 xml:space="preserve">Permit to Install Number </w:t>
            </w:r>
          </w:p>
        </w:tc>
        <w:tc>
          <w:tcPr>
            <w:tcW w:w="4321" w:type="dxa"/>
            <w:shd w:val="pct10" w:color="auto" w:fill="auto"/>
          </w:tcPr>
          <w:p w14:paraId="56E8F884"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Description of Equipment</w:t>
            </w:r>
          </w:p>
        </w:tc>
        <w:tc>
          <w:tcPr>
            <w:tcW w:w="2935" w:type="dxa"/>
            <w:shd w:val="pct10" w:color="auto" w:fill="auto"/>
            <w:hideMark/>
          </w:tcPr>
          <w:p w14:paraId="4292B4B2" w14:textId="77777777" w:rsidR="00A32732" w:rsidRPr="00A32732" w:rsidRDefault="00000000" w:rsidP="00845853">
            <w:pPr>
              <w:spacing w:before="60" w:after="60"/>
              <w:jc w:val="center"/>
              <w:rPr>
                <w:rFonts w:ascii="Arial" w:eastAsia="Times New Roman" w:hAnsi="Arial" w:cs="Arial"/>
                <w:sz w:val="20"/>
                <w:szCs w:val="20"/>
              </w:rPr>
            </w:pPr>
            <w:r w:rsidRPr="00A32732">
              <w:rPr>
                <w:rFonts w:ascii="Arial" w:eastAsia="Times New Roman" w:hAnsi="Arial" w:cs="Arial"/>
                <w:b/>
                <w:sz w:val="20"/>
                <w:szCs w:val="20"/>
              </w:rPr>
              <w:t>Corresponding Emission Unit(s) or</w:t>
            </w:r>
          </w:p>
          <w:p w14:paraId="112AFB37"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Flexible Group(s)</w:t>
            </w:r>
          </w:p>
        </w:tc>
      </w:tr>
      <w:tr w:rsidR="00735572" w14:paraId="7C101290" w14:textId="77777777" w:rsidTr="00845853">
        <w:trPr>
          <w:jc w:val="center"/>
        </w:trPr>
        <w:tc>
          <w:tcPr>
            <w:tcW w:w="2922" w:type="dxa"/>
          </w:tcPr>
          <w:p w14:paraId="0A3D26C8"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67057556"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5773444D" w14:textId="77777777" w:rsidR="00A32732" w:rsidRPr="00A32732" w:rsidRDefault="00A32732" w:rsidP="00845853">
            <w:pPr>
              <w:spacing w:before="60" w:after="60"/>
              <w:rPr>
                <w:rFonts w:ascii="Arial" w:eastAsia="Times New Roman" w:hAnsi="Arial" w:cs="Arial"/>
                <w:sz w:val="20"/>
                <w:szCs w:val="20"/>
              </w:rPr>
            </w:pPr>
          </w:p>
        </w:tc>
      </w:tr>
      <w:tr w:rsidR="00735572" w14:paraId="75118BAD" w14:textId="77777777" w:rsidTr="00845853">
        <w:trPr>
          <w:jc w:val="center"/>
        </w:trPr>
        <w:tc>
          <w:tcPr>
            <w:tcW w:w="2922" w:type="dxa"/>
          </w:tcPr>
          <w:p w14:paraId="0FA5214A"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4CFADAD7"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4EAA4478" w14:textId="77777777" w:rsidR="00A32732" w:rsidRPr="00A32732" w:rsidRDefault="00A32732" w:rsidP="00845853">
            <w:pPr>
              <w:spacing w:before="60" w:after="60"/>
              <w:rPr>
                <w:rFonts w:ascii="Arial" w:eastAsia="Times New Roman" w:hAnsi="Arial" w:cs="Arial"/>
                <w:sz w:val="20"/>
                <w:szCs w:val="20"/>
              </w:rPr>
            </w:pPr>
          </w:p>
        </w:tc>
      </w:tr>
      <w:tr w:rsidR="00735572" w14:paraId="562A6863" w14:textId="77777777" w:rsidTr="00845853">
        <w:trPr>
          <w:jc w:val="center"/>
        </w:trPr>
        <w:tc>
          <w:tcPr>
            <w:tcW w:w="2922" w:type="dxa"/>
          </w:tcPr>
          <w:p w14:paraId="3D28751E"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5421D0BF"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305208DA" w14:textId="77777777" w:rsidR="00A32732" w:rsidRPr="00A32732" w:rsidRDefault="00A32732" w:rsidP="00845853">
            <w:pPr>
              <w:spacing w:before="60" w:after="60"/>
              <w:rPr>
                <w:rFonts w:ascii="Arial" w:eastAsia="Times New Roman" w:hAnsi="Arial" w:cs="Arial"/>
                <w:sz w:val="20"/>
                <w:szCs w:val="20"/>
              </w:rPr>
            </w:pPr>
          </w:p>
        </w:tc>
      </w:tr>
      <w:tr w:rsidR="00735572" w14:paraId="6D81C92A" w14:textId="77777777" w:rsidTr="00845853">
        <w:trPr>
          <w:jc w:val="center"/>
        </w:trPr>
        <w:tc>
          <w:tcPr>
            <w:tcW w:w="2922" w:type="dxa"/>
          </w:tcPr>
          <w:p w14:paraId="33F38BF6"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214D28B9"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281FF835" w14:textId="77777777" w:rsidR="00A32732" w:rsidRPr="00A32732" w:rsidRDefault="00A32732" w:rsidP="00845853">
            <w:pPr>
              <w:spacing w:before="60" w:after="60"/>
              <w:rPr>
                <w:rFonts w:ascii="Arial" w:eastAsia="Times New Roman" w:hAnsi="Arial" w:cs="Arial"/>
                <w:sz w:val="20"/>
                <w:szCs w:val="20"/>
              </w:rPr>
            </w:pPr>
          </w:p>
        </w:tc>
      </w:tr>
      <w:tr w:rsidR="00735572" w14:paraId="035A47A0" w14:textId="77777777" w:rsidTr="00845853">
        <w:trPr>
          <w:jc w:val="center"/>
        </w:trPr>
        <w:tc>
          <w:tcPr>
            <w:tcW w:w="2922" w:type="dxa"/>
          </w:tcPr>
          <w:p w14:paraId="270F4E24"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1135748D"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4AC504E9" w14:textId="77777777" w:rsidR="00A32732" w:rsidRPr="00A32732" w:rsidRDefault="00A32732" w:rsidP="00845853">
            <w:pPr>
              <w:spacing w:before="60" w:after="60"/>
              <w:rPr>
                <w:rFonts w:ascii="Arial" w:eastAsia="Times New Roman" w:hAnsi="Arial" w:cs="Arial"/>
                <w:sz w:val="20"/>
                <w:szCs w:val="20"/>
              </w:rPr>
            </w:pPr>
          </w:p>
        </w:tc>
      </w:tr>
      <w:tr w:rsidR="00735572" w14:paraId="52204078" w14:textId="77777777" w:rsidTr="00845853">
        <w:trPr>
          <w:jc w:val="center"/>
        </w:trPr>
        <w:tc>
          <w:tcPr>
            <w:tcW w:w="2922" w:type="dxa"/>
          </w:tcPr>
          <w:p w14:paraId="397A6498"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27720026"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5B7C7EFB" w14:textId="77777777" w:rsidR="00A32732" w:rsidRPr="00A32732" w:rsidRDefault="00A32732" w:rsidP="00845853">
            <w:pPr>
              <w:spacing w:before="60" w:after="60"/>
              <w:rPr>
                <w:rFonts w:ascii="Arial" w:eastAsia="Times New Roman" w:hAnsi="Arial" w:cs="Arial"/>
                <w:sz w:val="20"/>
                <w:szCs w:val="20"/>
              </w:rPr>
            </w:pPr>
          </w:p>
        </w:tc>
      </w:tr>
      <w:tr w:rsidR="00735572" w14:paraId="09DA3D93" w14:textId="77777777" w:rsidTr="00845853">
        <w:trPr>
          <w:jc w:val="center"/>
        </w:trPr>
        <w:tc>
          <w:tcPr>
            <w:tcW w:w="2922" w:type="dxa"/>
          </w:tcPr>
          <w:p w14:paraId="3A561AE7"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1452EB8F"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4C23860B" w14:textId="77777777" w:rsidR="00A32732" w:rsidRPr="00A32732" w:rsidRDefault="00A32732" w:rsidP="00845853">
            <w:pPr>
              <w:spacing w:before="60" w:after="60"/>
              <w:rPr>
                <w:rFonts w:ascii="Arial" w:eastAsia="Times New Roman" w:hAnsi="Arial" w:cs="Arial"/>
                <w:sz w:val="20"/>
                <w:szCs w:val="20"/>
              </w:rPr>
            </w:pPr>
          </w:p>
        </w:tc>
      </w:tr>
      <w:tr w:rsidR="00735572" w14:paraId="1995800D" w14:textId="77777777" w:rsidTr="00845853">
        <w:trPr>
          <w:jc w:val="center"/>
        </w:trPr>
        <w:tc>
          <w:tcPr>
            <w:tcW w:w="2922" w:type="dxa"/>
          </w:tcPr>
          <w:p w14:paraId="1478E142"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7C6664EF"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7F3B1B5B" w14:textId="77777777" w:rsidR="00A32732" w:rsidRPr="00A32732" w:rsidRDefault="00A32732" w:rsidP="00845853">
            <w:pPr>
              <w:spacing w:before="60" w:after="60"/>
              <w:rPr>
                <w:rFonts w:ascii="Arial" w:eastAsia="Times New Roman" w:hAnsi="Arial" w:cs="Arial"/>
                <w:sz w:val="20"/>
                <w:szCs w:val="20"/>
              </w:rPr>
            </w:pPr>
          </w:p>
        </w:tc>
      </w:tr>
      <w:tr w:rsidR="00735572" w14:paraId="1D16A87F" w14:textId="77777777" w:rsidTr="00845853">
        <w:trPr>
          <w:jc w:val="center"/>
        </w:trPr>
        <w:tc>
          <w:tcPr>
            <w:tcW w:w="2922" w:type="dxa"/>
          </w:tcPr>
          <w:p w14:paraId="175E2E4B"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1322B63C"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35B5DE1C" w14:textId="77777777" w:rsidR="00A32732" w:rsidRPr="00A32732" w:rsidRDefault="00A32732" w:rsidP="00845853">
            <w:pPr>
              <w:spacing w:before="60" w:after="60"/>
              <w:rPr>
                <w:rFonts w:ascii="Arial" w:eastAsia="Times New Roman" w:hAnsi="Arial" w:cs="Arial"/>
                <w:sz w:val="20"/>
                <w:szCs w:val="20"/>
              </w:rPr>
            </w:pPr>
          </w:p>
        </w:tc>
      </w:tr>
      <w:tr w:rsidR="00735572" w14:paraId="41900049" w14:textId="77777777" w:rsidTr="00845853">
        <w:trPr>
          <w:jc w:val="center"/>
        </w:trPr>
        <w:tc>
          <w:tcPr>
            <w:tcW w:w="2922" w:type="dxa"/>
          </w:tcPr>
          <w:p w14:paraId="094ADF31"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1861001E"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5C4E43E8" w14:textId="77777777" w:rsidR="00A32732" w:rsidRPr="00A32732" w:rsidRDefault="00A32732" w:rsidP="00845853">
            <w:pPr>
              <w:spacing w:before="60" w:after="60"/>
              <w:rPr>
                <w:rFonts w:ascii="Arial" w:eastAsia="Times New Roman" w:hAnsi="Arial" w:cs="Arial"/>
                <w:sz w:val="20"/>
                <w:szCs w:val="20"/>
              </w:rPr>
            </w:pPr>
          </w:p>
        </w:tc>
      </w:tr>
      <w:tr w:rsidR="00735572" w14:paraId="09783FFE" w14:textId="77777777" w:rsidTr="00845853">
        <w:trPr>
          <w:jc w:val="center"/>
        </w:trPr>
        <w:tc>
          <w:tcPr>
            <w:tcW w:w="2922" w:type="dxa"/>
          </w:tcPr>
          <w:p w14:paraId="4C67C4AA" w14:textId="77777777" w:rsidR="00A32732" w:rsidRPr="00A32732" w:rsidRDefault="00A32732" w:rsidP="00845853">
            <w:pPr>
              <w:spacing w:before="60" w:after="60"/>
              <w:rPr>
                <w:rFonts w:ascii="Arial" w:eastAsia="Times New Roman" w:hAnsi="Arial" w:cs="Arial"/>
                <w:sz w:val="20"/>
                <w:szCs w:val="20"/>
              </w:rPr>
            </w:pPr>
          </w:p>
        </w:tc>
        <w:tc>
          <w:tcPr>
            <w:tcW w:w="4321" w:type="dxa"/>
          </w:tcPr>
          <w:p w14:paraId="43F086EC" w14:textId="77777777" w:rsidR="00A32732" w:rsidRPr="00A32732" w:rsidRDefault="00A32732" w:rsidP="00845853">
            <w:pPr>
              <w:spacing w:before="60" w:after="60"/>
              <w:jc w:val="both"/>
              <w:rPr>
                <w:rFonts w:ascii="Arial" w:eastAsia="Times New Roman" w:hAnsi="Arial" w:cs="Arial"/>
                <w:sz w:val="20"/>
                <w:szCs w:val="20"/>
              </w:rPr>
            </w:pPr>
          </w:p>
        </w:tc>
        <w:tc>
          <w:tcPr>
            <w:tcW w:w="2935" w:type="dxa"/>
          </w:tcPr>
          <w:p w14:paraId="7D74EB6A" w14:textId="77777777" w:rsidR="00A32732" w:rsidRPr="00A32732" w:rsidRDefault="00A32732" w:rsidP="00845853">
            <w:pPr>
              <w:spacing w:before="60" w:after="60"/>
              <w:rPr>
                <w:rFonts w:ascii="Arial" w:eastAsia="Times New Roman" w:hAnsi="Arial" w:cs="Arial"/>
                <w:sz w:val="20"/>
                <w:szCs w:val="20"/>
              </w:rPr>
            </w:pPr>
          </w:p>
        </w:tc>
      </w:tr>
    </w:tbl>
    <w:p w14:paraId="653B97C3" w14:textId="77777777" w:rsidR="00A32732" w:rsidRPr="00A32732" w:rsidRDefault="00A32732" w:rsidP="00845853">
      <w:pPr>
        <w:spacing w:before="120"/>
        <w:rPr>
          <w:rFonts w:ascii="Arial" w:eastAsia="Times New Roman" w:hAnsi="Arial" w:cs="Times New Roman"/>
          <w:sz w:val="20"/>
          <w:szCs w:val="20"/>
        </w:rPr>
      </w:pPr>
    </w:p>
    <w:p w14:paraId="3A39FF4A" w14:textId="77777777" w:rsidR="00A32732" w:rsidRPr="00766B2A" w:rsidRDefault="00000000" w:rsidP="00845853">
      <w:pPr>
        <w:spacing w:before="120"/>
        <w:rPr>
          <w:rFonts w:ascii="Arial" w:eastAsia="Times New Roman" w:hAnsi="Arial" w:cs="Times New Roman"/>
          <w:b/>
          <w:color w:val="ED0000"/>
          <w:sz w:val="20"/>
          <w:szCs w:val="20"/>
        </w:rPr>
      </w:pPr>
      <w:r w:rsidRPr="00766B2A">
        <w:rPr>
          <w:rFonts w:ascii="Arial" w:eastAsia="Times New Roman" w:hAnsi="Arial" w:cs="Times New Roman"/>
          <w:b/>
          <w:color w:val="ED0000"/>
          <w:sz w:val="20"/>
          <w:szCs w:val="20"/>
        </w:rPr>
        <w:lastRenderedPageBreak/>
        <w:t>{OR}</w:t>
      </w:r>
    </w:p>
    <w:p w14:paraId="473ED4CC" w14:textId="77777777" w:rsidR="00A32732" w:rsidRPr="00766B2A" w:rsidRDefault="00000000" w:rsidP="00845853">
      <w:pPr>
        <w:spacing w:before="120"/>
        <w:rPr>
          <w:rFonts w:ascii="Arial" w:eastAsia="Times New Roman" w:hAnsi="Arial" w:cs="Times New Roman"/>
          <w:b/>
          <w:color w:val="ED0000"/>
          <w:sz w:val="20"/>
          <w:szCs w:val="20"/>
        </w:rPr>
      </w:pPr>
      <w:r w:rsidRPr="00766B2A">
        <w:rPr>
          <w:rFonts w:ascii="Arial" w:eastAsia="Times New Roman" w:hAnsi="Arial" w:cs="Times New Roman"/>
          <w:b/>
          <w:color w:val="ED0000"/>
          <w:sz w:val="20"/>
          <w:szCs w:val="20"/>
        </w:rPr>
        <w:t>{For ROP Renewals}</w:t>
      </w:r>
    </w:p>
    <w:p w14:paraId="50766FA6" w14:textId="77777777" w:rsidR="00A32732" w:rsidRPr="00A32732" w:rsidRDefault="00000000" w:rsidP="00845853">
      <w:pPr>
        <w:spacing w:before="120"/>
        <w:rPr>
          <w:rFonts w:ascii="Arial" w:eastAsia="Times New Roman" w:hAnsi="Arial" w:cs="Arial"/>
          <w:color w:val="FF0000"/>
          <w:sz w:val="20"/>
          <w:szCs w:val="20"/>
        </w:rPr>
      </w:pPr>
      <w:r w:rsidRPr="00A32732">
        <w:rPr>
          <w:rFonts w:ascii="Arial" w:eastAsia="Times New Roman" w:hAnsi="Arial" w:cs="Arial"/>
          <w:sz w:val="20"/>
          <w:szCs w:val="20"/>
        </w:rPr>
        <w:t>The following table lists any PTIs issued or ROP revision applications received since the effective date of the previously issued ROP No. MI-ROP-</w:t>
      </w:r>
      <w:r w:rsidRPr="00766B2A">
        <w:rPr>
          <w:rFonts w:ascii="Arial" w:eastAsia="Times New Roman" w:hAnsi="Arial" w:cs="Arial"/>
          <w:color w:val="ED0000"/>
          <w:sz w:val="20"/>
          <w:szCs w:val="20"/>
        </w:rPr>
        <w:t>{SRN}</w:t>
      </w:r>
      <w:r w:rsidRPr="00A32732">
        <w:rPr>
          <w:rFonts w:ascii="Arial" w:eastAsia="Times New Roman" w:hAnsi="Arial" w:cs="Arial"/>
          <w:sz w:val="20"/>
          <w:szCs w:val="20"/>
        </w:rPr>
        <w:t>-</w:t>
      </w:r>
      <w:r w:rsidRPr="00766B2A">
        <w:rPr>
          <w:rFonts w:ascii="Arial" w:eastAsia="Times New Roman" w:hAnsi="Arial" w:cs="Arial"/>
          <w:color w:val="ED0000"/>
          <w:sz w:val="20"/>
          <w:szCs w:val="20"/>
        </w:rPr>
        <w:t>{YEAR}. {Note: this should be the most recently issued ROP, not a revision.  If any revisions have been done since ROP issuance, do not include the “a, b, c” sequential number here.}</w:t>
      </w:r>
      <w:r w:rsidRPr="00A32732">
        <w:rPr>
          <w:rFonts w:ascii="Arial" w:eastAsia="Times New Roman" w:hAnsi="Arial" w:cs="Times New Roman"/>
          <w:szCs w:val="20"/>
        </w:rPr>
        <w:t xml:space="preserve">  </w:t>
      </w:r>
      <w:r w:rsidRPr="00A32732">
        <w:rPr>
          <w:rFonts w:ascii="Arial" w:eastAsia="Times New Roman" w:hAnsi="Arial" w:cs="Arial"/>
          <w:sz w:val="20"/>
          <w:szCs w:val="20"/>
        </w:rPr>
        <w:t>Those ROP revision applications that are being issued concurrently with this ROP renewal are identified by an asterisk (*).  Those revision applications not listed with an asterisk were processed prior to this renewal.</w:t>
      </w:r>
    </w:p>
    <w:p w14:paraId="7FAC321A" w14:textId="5EA5B0D4"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Source-Wide PTI No MI-PTI-</w:t>
      </w:r>
      <w:r w:rsidRPr="00766B2A">
        <w:rPr>
          <w:rFonts w:ascii="Arial" w:eastAsia="Times New Roman" w:hAnsi="Arial" w:cs="Arial"/>
          <w:color w:val="ED0000"/>
          <w:sz w:val="20"/>
          <w:szCs w:val="20"/>
        </w:rPr>
        <w:t>{SRN}</w:t>
      </w:r>
      <w:r w:rsidRPr="00A32732">
        <w:rPr>
          <w:rFonts w:ascii="Arial" w:eastAsia="Times New Roman" w:hAnsi="Arial" w:cs="Arial"/>
          <w:sz w:val="20"/>
          <w:szCs w:val="20"/>
        </w:rPr>
        <w:t>-</w:t>
      </w:r>
      <w:r w:rsidRPr="00766B2A">
        <w:rPr>
          <w:rFonts w:ascii="Arial" w:eastAsia="Times New Roman" w:hAnsi="Arial" w:cs="Arial"/>
          <w:color w:val="ED0000"/>
          <w:sz w:val="20"/>
          <w:szCs w:val="20"/>
        </w:rPr>
        <w:t xml:space="preserve">{YEAR} {Note: this should be the most recent version of the Source-Wide PTI. Include the latest sequential letter after the number if there was a revision.} </w:t>
      </w:r>
      <w:r w:rsidRPr="00A32732">
        <w:rPr>
          <w:rFonts w:ascii="Arial" w:eastAsia="Times New Roman" w:hAnsi="Arial" w:cs="Arial"/>
          <w:sz w:val="20"/>
          <w:szCs w:val="20"/>
        </w:rPr>
        <w:t xml:space="preserve">is being reissued as Source-Wide PTI No. </w:t>
      </w:r>
      <w:r w:rsidR="00A53924">
        <w:rPr>
          <w:rFonts w:ascii="Arial" w:eastAsia="Times New Roman" w:hAnsi="Arial" w:cs="Arial"/>
          <w:sz w:val="20"/>
          <w:szCs w:val="20"/>
        </w:rPr>
        <w:t>SW</w:t>
      </w:r>
      <w:r w:rsidRPr="00A32732">
        <w:rPr>
          <w:rFonts w:ascii="Arial" w:eastAsia="Times New Roman" w:hAnsi="Arial" w:cs="Arial"/>
          <w:sz w:val="20"/>
          <w:szCs w:val="20"/>
        </w:rPr>
        <w:t>PTI</w:t>
      </w:r>
      <w:r w:rsidR="00A53924" w:rsidRPr="00766B2A">
        <w:rPr>
          <w:rFonts w:ascii="Arial" w:eastAsia="Times New Roman" w:hAnsi="Arial" w:cs="Arial"/>
          <w:color w:val="ED0000"/>
          <w:sz w:val="20"/>
          <w:szCs w:val="20"/>
        </w:rPr>
        <w:t>####### v#.#</w:t>
      </w:r>
      <w:r w:rsidRPr="00766B2A">
        <w:rPr>
          <w:rFonts w:ascii="Arial" w:eastAsia="Times New Roman" w:hAnsi="Arial" w:cs="Arial"/>
          <w:color w:val="ED0000"/>
          <w:sz w:val="20"/>
          <w:szCs w:val="20"/>
        </w:rPr>
        <w:t>.</w:t>
      </w:r>
    </w:p>
    <w:p w14:paraId="1D6D1B9C" w14:textId="77777777" w:rsidR="00A32732" w:rsidRPr="00766B2A" w:rsidRDefault="00000000" w:rsidP="00845853">
      <w:pPr>
        <w:spacing w:before="120"/>
        <w:rPr>
          <w:rFonts w:ascii="Arial" w:eastAsia="Times New Roman" w:hAnsi="Arial" w:cs="Arial"/>
          <w:color w:val="ED0000"/>
          <w:sz w:val="20"/>
          <w:szCs w:val="20"/>
        </w:rPr>
      </w:pPr>
      <w:r w:rsidRPr="00766B2A">
        <w:rPr>
          <w:rFonts w:ascii="Arial" w:eastAsia="Times New Roman" w:hAnsi="Arial" w:cs="Arial"/>
          <w:color w:val="ED0000"/>
          <w:sz w:val="20"/>
          <w:szCs w:val="20"/>
        </w:rPr>
        <w:t>{For a PTI that does not have an associated ROP revision application or an ROP revision application that does not have an associated PTI, enter NA in the appropriate column in the table below.}</w:t>
      </w:r>
    </w:p>
    <w:tbl>
      <w:tblPr>
        <w:tblW w:w="5000" w:type="pct"/>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2543"/>
        <w:gridCol w:w="3943"/>
        <w:gridCol w:w="2192"/>
      </w:tblGrid>
      <w:tr w:rsidR="00735572" w14:paraId="73DE8034" w14:textId="77777777" w:rsidTr="00845853">
        <w:tc>
          <w:tcPr>
            <w:tcW w:w="752" w:type="pct"/>
            <w:shd w:val="clear" w:color="auto" w:fill="E0E0E0"/>
            <w:hideMark/>
          </w:tcPr>
          <w:p w14:paraId="2345665C"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Permit to Install Number</w:t>
            </w:r>
          </w:p>
        </w:tc>
        <w:tc>
          <w:tcPr>
            <w:tcW w:w="1245" w:type="pct"/>
            <w:shd w:val="clear" w:color="auto" w:fill="E0E0E0"/>
            <w:hideMark/>
          </w:tcPr>
          <w:p w14:paraId="3874A5B9" w14:textId="77777777" w:rsidR="00A32732" w:rsidRPr="00A32732" w:rsidRDefault="00000000" w:rsidP="00845853">
            <w:pPr>
              <w:spacing w:before="60" w:after="60"/>
              <w:jc w:val="center"/>
              <w:rPr>
                <w:rFonts w:ascii="Arial" w:eastAsia="Times New Roman" w:hAnsi="Arial" w:cs="Arial"/>
                <w:sz w:val="20"/>
                <w:szCs w:val="20"/>
              </w:rPr>
            </w:pPr>
            <w:r w:rsidRPr="00A32732">
              <w:rPr>
                <w:rFonts w:ascii="Arial" w:eastAsia="Times New Roman" w:hAnsi="Arial" w:cs="Arial"/>
                <w:b/>
                <w:sz w:val="20"/>
                <w:szCs w:val="20"/>
              </w:rPr>
              <w:t>ROP Revision</w:t>
            </w:r>
          </w:p>
          <w:p w14:paraId="6E067CED"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Application Number</w:t>
            </w:r>
          </w:p>
        </w:tc>
        <w:tc>
          <w:tcPr>
            <w:tcW w:w="1930" w:type="pct"/>
            <w:shd w:val="clear" w:color="auto" w:fill="E0E0E0"/>
          </w:tcPr>
          <w:p w14:paraId="5D41CAC2"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Description of Equipment</w:t>
            </w:r>
            <w:r w:rsidRPr="00A32732">
              <w:rPr>
                <w:rFonts w:ascii="Arial" w:eastAsia="Times New Roman" w:hAnsi="Arial" w:cs="Arial"/>
                <w:b/>
                <w:color w:val="000080"/>
                <w:sz w:val="20"/>
                <w:szCs w:val="20"/>
              </w:rPr>
              <w:t xml:space="preserve"> </w:t>
            </w:r>
            <w:r w:rsidRPr="00A32732">
              <w:rPr>
                <w:rFonts w:ascii="Arial" w:eastAsia="Times New Roman" w:hAnsi="Arial" w:cs="Arial"/>
                <w:b/>
                <w:sz w:val="20"/>
                <w:szCs w:val="20"/>
              </w:rPr>
              <w:t>or Change</w:t>
            </w:r>
          </w:p>
        </w:tc>
        <w:tc>
          <w:tcPr>
            <w:tcW w:w="1073" w:type="pct"/>
            <w:shd w:val="clear" w:color="auto" w:fill="E0E0E0"/>
            <w:hideMark/>
          </w:tcPr>
          <w:p w14:paraId="400C4C71" w14:textId="77777777" w:rsidR="00A32732" w:rsidRPr="00A32732" w:rsidRDefault="00000000" w:rsidP="00845853">
            <w:pPr>
              <w:spacing w:before="60" w:after="60"/>
              <w:jc w:val="center"/>
              <w:rPr>
                <w:rFonts w:ascii="Arial" w:eastAsia="Times New Roman" w:hAnsi="Arial" w:cs="Arial"/>
                <w:sz w:val="20"/>
                <w:szCs w:val="20"/>
              </w:rPr>
            </w:pPr>
            <w:r w:rsidRPr="00A32732">
              <w:rPr>
                <w:rFonts w:ascii="Arial" w:eastAsia="Times New Roman" w:hAnsi="Arial" w:cs="Arial"/>
                <w:b/>
                <w:sz w:val="20"/>
                <w:szCs w:val="20"/>
              </w:rPr>
              <w:t>Corresponding Emission Unit(s) or</w:t>
            </w:r>
          </w:p>
          <w:p w14:paraId="32DD6E55" w14:textId="77777777" w:rsidR="00A32732" w:rsidRPr="00A32732" w:rsidRDefault="00000000" w:rsidP="00845853">
            <w:pPr>
              <w:spacing w:before="60" w:after="60"/>
              <w:jc w:val="center"/>
              <w:rPr>
                <w:rFonts w:ascii="Arial" w:eastAsia="Times New Roman" w:hAnsi="Arial" w:cs="Arial"/>
                <w:b/>
                <w:sz w:val="20"/>
                <w:szCs w:val="20"/>
              </w:rPr>
            </w:pPr>
            <w:r w:rsidRPr="00A32732">
              <w:rPr>
                <w:rFonts w:ascii="Arial" w:eastAsia="Times New Roman" w:hAnsi="Arial" w:cs="Arial"/>
                <w:b/>
                <w:sz w:val="20"/>
                <w:szCs w:val="20"/>
              </w:rPr>
              <w:t>Flexible Group(s)</w:t>
            </w:r>
          </w:p>
        </w:tc>
      </w:tr>
      <w:tr w:rsidR="00735572" w14:paraId="37620640" w14:textId="77777777" w:rsidTr="00845853">
        <w:tc>
          <w:tcPr>
            <w:tcW w:w="752" w:type="pct"/>
          </w:tcPr>
          <w:p w14:paraId="39E9361D" w14:textId="77777777" w:rsidR="00A32732" w:rsidRPr="00A32732" w:rsidRDefault="00A32732" w:rsidP="00845853">
            <w:pPr>
              <w:spacing w:before="60" w:after="60"/>
              <w:rPr>
                <w:rFonts w:ascii="Arial" w:eastAsia="Times New Roman" w:hAnsi="Arial" w:cs="Arial"/>
                <w:sz w:val="20"/>
                <w:szCs w:val="20"/>
              </w:rPr>
            </w:pPr>
          </w:p>
        </w:tc>
        <w:tc>
          <w:tcPr>
            <w:tcW w:w="1245" w:type="pct"/>
          </w:tcPr>
          <w:p w14:paraId="42CDCDAD" w14:textId="77777777" w:rsidR="00A32732" w:rsidRPr="00A32732" w:rsidRDefault="00A32732" w:rsidP="00845853">
            <w:pPr>
              <w:spacing w:before="60" w:after="60"/>
              <w:rPr>
                <w:rFonts w:ascii="Arial" w:eastAsia="Times New Roman" w:hAnsi="Arial" w:cs="Arial"/>
                <w:sz w:val="20"/>
                <w:szCs w:val="20"/>
              </w:rPr>
            </w:pPr>
          </w:p>
        </w:tc>
        <w:tc>
          <w:tcPr>
            <w:tcW w:w="1930" w:type="pct"/>
          </w:tcPr>
          <w:p w14:paraId="6C584933" w14:textId="77777777" w:rsidR="00A32732" w:rsidRPr="00A32732" w:rsidRDefault="00A32732" w:rsidP="00845853">
            <w:pPr>
              <w:spacing w:before="60" w:after="60"/>
              <w:jc w:val="both"/>
              <w:rPr>
                <w:rFonts w:ascii="Arial" w:eastAsia="Times New Roman" w:hAnsi="Arial" w:cs="Arial"/>
                <w:sz w:val="20"/>
                <w:szCs w:val="20"/>
              </w:rPr>
            </w:pPr>
          </w:p>
        </w:tc>
        <w:tc>
          <w:tcPr>
            <w:tcW w:w="1073" w:type="pct"/>
          </w:tcPr>
          <w:p w14:paraId="11FD2430" w14:textId="77777777" w:rsidR="00A32732" w:rsidRPr="00A32732" w:rsidRDefault="00A32732" w:rsidP="00845853">
            <w:pPr>
              <w:spacing w:before="60" w:after="60"/>
              <w:rPr>
                <w:rFonts w:ascii="Arial" w:eastAsia="Times New Roman" w:hAnsi="Arial" w:cs="Arial"/>
                <w:sz w:val="20"/>
                <w:szCs w:val="20"/>
              </w:rPr>
            </w:pPr>
          </w:p>
        </w:tc>
      </w:tr>
      <w:tr w:rsidR="00735572" w14:paraId="0601C2FD" w14:textId="77777777" w:rsidTr="00845853">
        <w:tc>
          <w:tcPr>
            <w:tcW w:w="752" w:type="pct"/>
          </w:tcPr>
          <w:p w14:paraId="4696A3A9" w14:textId="77777777" w:rsidR="00A32732" w:rsidRPr="00A32732" w:rsidRDefault="00A32732" w:rsidP="00845853">
            <w:pPr>
              <w:spacing w:before="60" w:after="60"/>
              <w:rPr>
                <w:rFonts w:ascii="Arial" w:eastAsia="Times New Roman" w:hAnsi="Arial" w:cs="Arial"/>
                <w:sz w:val="20"/>
                <w:szCs w:val="20"/>
              </w:rPr>
            </w:pPr>
          </w:p>
        </w:tc>
        <w:tc>
          <w:tcPr>
            <w:tcW w:w="1245" w:type="pct"/>
          </w:tcPr>
          <w:p w14:paraId="1C115F24" w14:textId="77777777" w:rsidR="00A32732" w:rsidRPr="00A32732" w:rsidRDefault="00A32732" w:rsidP="00845853">
            <w:pPr>
              <w:spacing w:before="60" w:after="60"/>
              <w:rPr>
                <w:rFonts w:ascii="Arial" w:eastAsia="Times New Roman" w:hAnsi="Arial" w:cs="Arial"/>
                <w:sz w:val="20"/>
                <w:szCs w:val="20"/>
              </w:rPr>
            </w:pPr>
          </w:p>
        </w:tc>
        <w:tc>
          <w:tcPr>
            <w:tcW w:w="1930" w:type="pct"/>
          </w:tcPr>
          <w:p w14:paraId="617BAC43" w14:textId="77777777" w:rsidR="00A32732" w:rsidRPr="00A32732" w:rsidRDefault="00A32732" w:rsidP="00845853">
            <w:pPr>
              <w:spacing w:before="60" w:after="60"/>
              <w:jc w:val="both"/>
              <w:rPr>
                <w:rFonts w:ascii="Arial" w:eastAsia="Times New Roman" w:hAnsi="Arial" w:cs="Arial"/>
                <w:sz w:val="20"/>
                <w:szCs w:val="20"/>
              </w:rPr>
            </w:pPr>
          </w:p>
        </w:tc>
        <w:tc>
          <w:tcPr>
            <w:tcW w:w="1073" w:type="pct"/>
          </w:tcPr>
          <w:p w14:paraId="608C6B6B" w14:textId="77777777" w:rsidR="00A32732" w:rsidRPr="00A32732" w:rsidRDefault="00A32732" w:rsidP="00845853">
            <w:pPr>
              <w:spacing w:before="60" w:after="60"/>
              <w:rPr>
                <w:rFonts w:ascii="Arial" w:eastAsia="Times New Roman" w:hAnsi="Arial" w:cs="Arial"/>
                <w:sz w:val="20"/>
                <w:szCs w:val="20"/>
              </w:rPr>
            </w:pPr>
          </w:p>
        </w:tc>
      </w:tr>
      <w:tr w:rsidR="00735572" w14:paraId="65BC63E8" w14:textId="77777777" w:rsidTr="00845853">
        <w:tc>
          <w:tcPr>
            <w:tcW w:w="752" w:type="pct"/>
          </w:tcPr>
          <w:p w14:paraId="0CA21298" w14:textId="77777777" w:rsidR="00A32732" w:rsidRPr="00A32732" w:rsidRDefault="00A32732" w:rsidP="00845853">
            <w:pPr>
              <w:spacing w:before="60" w:after="60"/>
              <w:rPr>
                <w:rFonts w:ascii="Arial" w:eastAsia="Times New Roman" w:hAnsi="Arial" w:cs="Arial"/>
                <w:sz w:val="20"/>
                <w:szCs w:val="20"/>
              </w:rPr>
            </w:pPr>
          </w:p>
        </w:tc>
        <w:tc>
          <w:tcPr>
            <w:tcW w:w="1245" w:type="pct"/>
          </w:tcPr>
          <w:p w14:paraId="40B00AEA" w14:textId="77777777" w:rsidR="00A32732" w:rsidRPr="00A32732" w:rsidRDefault="00A32732" w:rsidP="00845853">
            <w:pPr>
              <w:spacing w:before="60" w:after="60"/>
              <w:rPr>
                <w:rFonts w:ascii="Arial" w:eastAsia="Times New Roman" w:hAnsi="Arial" w:cs="Arial"/>
                <w:sz w:val="20"/>
                <w:szCs w:val="20"/>
              </w:rPr>
            </w:pPr>
          </w:p>
        </w:tc>
        <w:tc>
          <w:tcPr>
            <w:tcW w:w="1930" w:type="pct"/>
          </w:tcPr>
          <w:p w14:paraId="3C9F879A" w14:textId="77777777" w:rsidR="00A32732" w:rsidRPr="00A32732" w:rsidRDefault="00A32732" w:rsidP="00845853">
            <w:pPr>
              <w:spacing w:before="60" w:after="60"/>
              <w:jc w:val="both"/>
              <w:rPr>
                <w:rFonts w:ascii="Arial" w:eastAsia="Times New Roman" w:hAnsi="Arial" w:cs="Arial"/>
                <w:sz w:val="20"/>
                <w:szCs w:val="20"/>
              </w:rPr>
            </w:pPr>
          </w:p>
        </w:tc>
        <w:tc>
          <w:tcPr>
            <w:tcW w:w="1073" w:type="pct"/>
          </w:tcPr>
          <w:p w14:paraId="4F21FB8E" w14:textId="77777777" w:rsidR="00A32732" w:rsidRPr="00A32732" w:rsidRDefault="00A32732" w:rsidP="00845853">
            <w:pPr>
              <w:spacing w:before="60" w:after="60"/>
              <w:rPr>
                <w:rFonts w:ascii="Arial" w:eastAsia="Times New Roman" w:hAnsi="Arial" w:cs="Arial"/>
                <w:sz w:val="20"/>
                <w:szCs w:val="20"/>
              </w:rPr>
            </w:pPr>
          </w:p>
        </w:tc>
      </w:tr>
      <w:tr w:rsidR="00735572" w14:paraId="36B46997" w14:textId="77777777" w:rsidTr="00845853">
        <w:tc>
          <w:tcPr>
            <w:tcW w:w="752" w:type="pct"/>
          </w:tcPr>
          <w:p w14:paraId="075195A6" w14:textId="77777777" w:rsidR="00A32732" w:rsidRPr="00A32732" w:rsidRDefault="00A32732" w:rsidP="00845853">
            <w:pPr>
              <w:spacing w:before="60" w:after="60"/>
              <w:rPr>
                <w:rFonts w:ascii="Arial" w:eastAsia="Times New Roman" w:hAnsi="Arial" w:cs="Arial"/>
                <w:sz w:val="20"/>
                <w:szCs w:val="20"/>
              </w:rPr>
            </w:pPr>
          </w:p>
        </w:tc>
        <w:tc>
          <w:tcPr>
            <w:tcW w:w="1245" w:type="pct"/>
          </w:tcPr>
          <w:p w14:paraId="5FE6B707" w14:textId="77777777" w:rsidR="00A32732" w:rsidRPr="00A32732" w:rsidRDefault="00A32732" w:rsidP="00845853">
            <w:pPr>
              <w:spacing w:before="60" w:after="60"/>
              <w:rPr>
                <w:rFonts w:ascii="Arial" w:eastAsia="Times New Roman" w:hAnsi="Arial" w:cs="Arial"/>
                <w:sz w:val="20"/>
                <w:szCs w:val="20"/>
              </w:rPr>
            </w:pPr>
          </w:p>
        </w:tc>
        <w:tc>
          <w:tcPr>
            <w:tcW w:w="1930" w:type="pct"/>
          </w:tcPr>
          <w:p w14:paraId="31086A73" w14:textId="77777777" w:rsidR="00A32732" w:rsidRPr="00A32732" w:rsidRDefault="00A32732" w:rsidP="00845853">
            <w:pPr>
              <w:spacing w:before="60" w:after="60"/>
              <w:jc w:val="both"/>
              <w:rPr>
                <w:rFonts w:ascii="Arial" w:eastAsia="Times New Roman" w:hAnsi="Arial" w:cs="Arial"/>
                <w:sz w:val="20"/>
                <w:szCs w:val="20"/>
              </w:rPr>
            </w:pPr>
          </w:p>
        </w:tc>
        <w:tc>
          <w:tcPr>
            <w:tcW w:w="1073" w:type="pct"/>
          </w:tcPr>
          <w:p w14:paraId="2AE88EA0" w14:textId="77777777" w:rsidR="00A32732" w:rsidRPr="00A32732" w:rsidRDefault="00A32732" w:rsidP="00845853">
            <w:pPr>
              <w:spacing w:before="60" w:after="60"/>
              <w:rPr>
                <w:rFonts w:ascii="Arial" w:eastAsia="Times New Roman" w:hAnsi="Arial" w:cs="Arial"/>
                <w:sz w:val="20"/>
                <w:szCs w:val="20"/>
              </w:rPr>
            </w:pPr>
          </w:p>
        </w:tc>
      </w:tr>
      <w:tr w:rsidR="00735572" w14:paraId="53162424" w14:textId="77777777" w:rsidTr="00845853">
        <w:tc>
          <w:tcPr>
            <w:tcW w:w="752" w:type="pct"/>
          </w:tcPr>
          <w:p w14:paraId="42439B0D" w14:textId="77777777" w:rsidR="00A32732" w:rsidRPr="00A32732" w:rsidRDefault="00A32732" w:rsidP="00845853">
            <w:pPr>
              <w:spacing w:before="60" w:after="60"/>
              <w:rPr>
                <w:rFonts w:ascii="Arial" w:eastAsia="Times New Roman" w:hAnsi="Arial" w:cs="Arial"/>
                <w:sz w:val="20"/>
                <w:szCs w:val="20"/>
              </w:rPr>
            </w:pPr>
          </w:p>
        </w:tc>
        <w:tc>
          <w:tcPr>
            <w:tcW w:w="1245" w:type="pct"/>
          </w:tcPr>
          <w:p w14:paraId="36A0095B" w14:textId="77777777" w:rsidR="00A32732" w:rsidRPr="00A32732" w:rsidRDefault="00A32732" w:rsidP="00845853">
            <w:pPr>
              <w:spacing w:before="60" w:after="60"/>
              <w:rPr>
                <w:rFonts w:ascii="Arial" w:eastAsia="Times New Roman" w:hAnsi="Arial" w:cs="Arial"/>
                <w:sz w:val="20"/>
                <w:szCs w:val="20"/>
              </w:rPr>
            </w:pPr>
          </w:p>
        </w:tc>
        <w:tc>
          <w:tcPr>
            <w:tcW w:w="1930" w:type="pct"/>
          </w:tcPr>
          <w:p w14:paraId="3493B469" w14:textId="77777777" w:rsidR="00A32732" w:rsidRPr="00A32732" w:rsidRDefault="00A32732" w:rsidP="00845853">
            <w:pPr>
              <w:spacing w:before="60" w:after="60"/>
              <w:jc w:val="both"/>
              <w:rPr>
                <w:rFonts w:ascii="Arial" w:eastAsia="Times New Roman" w:hAnsi="Arial" w:cs="Arial"/>
                <w:sz w:val="20"/>
                <w:szCs w:val="20"/>
              </w:rPr>
            </w:pPr>
          </w:p>
        </w:tc>
        <w:tc>
          <w:tcPr>
            <w:tcW w:w="1073" w:type="pct"/>
          </w:tcPr>
          <w:p w14:paraId="217CFD82" w14:textId="77777777" w:rsidR="00A32732" w:rsidRPr="00A32732" w:rsidRDefault="00A32732" w:rsidP="00845853">
            <w:pPr>
              <w:spacing w:before="60" w:after="60"/>
              <w:rPr>
                <w:rFonts w:ascii="Arial" w:eastAsia="Times New Roman" w:hAnsi="Arial" w:cs="Arial"/>
                <w:sz w:val="20"/>
                <w:szCs w:val="20"/>
              </w:rPr>
            </w:pPr>
          </w:p>
        </w:tc>
      </w:tr>
      <w:tr w:rsidR="00735572" w14:paraId="44DF791D" w14:textId="77777777" w:rsidTr="00845853">
        <w:tc>
          <w:tcPr>
            <w:tcW w:w="752" w:type="pct"/>
          </w:tcPr>
          <w:p w14:paraId="13755099" w14:textId="77777777" w:rsidR="00A32732" w:rsidRPr="00A32732" w:rsidRDefault="00A32732" w:rsidP="00845853">
            <w:pPr>
              <w:spacing w:before="60" w:after="60"/>
              <w:rPr>
                <w:rFonts w:ascii="Arial" w:eastAsia="Times New Roman" w:hAnsi="Arial" w:cs="Arial"/>
                <w:sz w:val="20"/>
                <w:szCs w:val="20"/>
              </w:rPr>
            </w:pPr>
          </w:p>
        </w:tc>
        <w:tc>
          <w:tcPr>
            <w:tcW w:w="1245" w:type="pct"/>
          </w:tcPr>
          <w:p w14:paraId="16A1B70E" w14:textId="77777777" w:rsidR="00A32732" w:rsidRPr="00A32732" w:rsidRDefault="00A32732" w:rsidP="00845853">
            <w:pPr>
              <w:spacing w:before="60" w:after="60"/>
              <w:rPr>
                <w:rFonts w:ascii="Arial" w:eastAsia="Times New Roman" w:hAnsi="Arial" w:cs="Arial"/>
                <w:sz w:val="20"/>
                <w:szCs w:val="20"/>
              </w:rPr>
            </w:pPr>
          </w:p>
        </w:tc>
        <w:tc>
          <w:tcPr>
            <w:tcW w:w="1930" w:type="pct"/>
          </w:tcPr>
          <w:p w14:paraId="54F853C6" w14:textId="77777777" w:rsidR="00A32732" w:rsidRPr="00A32732" w:rsidRDefault="00A32732" w:rsidP="00845853">
            <w:pPr>
              <w:spacing w:before="60" w:after="60"/>
              <w:jc w:val="both"/>
              <w:rPr>
                <w:rFonts w:ascii="Arial" w:eastAsia="Times New Roman" w:hAnsi="Arial" w:cs="Arial"/>
                <w:sz w:val="20"/>
                <w:szCs w:val="20"/>
              </w:rPr>
            </w:pPr>
          </w:p>
        </w:tc>
        <w:tc>
          <w:tcPr>
            <w:tcW w:w="1073" w:type="pct"/>
          </w:tcPr>
          <w:p w14:paraId="55B2BBE7" w14:textId="77777777" w:rsidR="00A32732" w:rsidRPr="00A32732" w:rsidRDefault="00A32732" w:rsidP="00845853">
            <w:pPr>
              <w:spacing w:before="60" w:after="60"/>
              <w:rPr>
                <w:rFonts w:ascii="Arial" w:eastAsia="Times New Roman" w:hAnsi="Arial" w:cs="Arial"/>
                <w:sz w:val="20"/>
                <w:szCs w:val="20"/>
              </w:rPr>
            </w:pPr>
          </w:p>
        </w:tc>
      </w:tr>
      <w:tr w:rsidR="00735572" w14:paraId="135E96B0" w14:textId="77777777" w:rsidTr="00845853">
        <w:tc>
          <w:tcPr>
            <w:tcW w:w="752" w:type="pct"/>
          </w:tcPr>
          <w:p w14:paraId="4C363277" w14:textId="77777777" w:rsidR="00A32732" w:rsidRPr="00A32732" w:rsidRDefault="00A32732" w:rsidP="00845853">
            <w:pPr>
              <w:spacing w:before="60" w:after="60"/>
              <w:rPr>
                <w:rFonts w:ascii="Arial" w:eastAsia="Times New Roman" w:hAnsi="Arial" w:cs="Arial"/>
                <w:sz w:val="20"/>
                <w:szCs w:val="20"/>
              </w:rPr>
            </w:pPr>
          </w:p>
        </w:tc>
        <w:tc>
          <w:tcPr>
            <w:tcW w:w="1245" w:type="pct"/>
          </w:tcPr>
          <w:p w14:paraId="563ACC68" w14:textId="77777777" w:rsidR="00A32732" w:rsidRPr="00A32732" w:rsidRDefault="00A32732" w:rsidP="00845853">
            <w:pPr>
              <w:spacing w:before="60" w:after="60"/>
              <w:rPr>
                <w:rFonts w:ascii="Arial" w:eastAsia="Times New Roman" w:hAnsi="Arial" w:cs="Arial"/>
                <w:sz w:val="20"/>
                <w:szCs w:val="20"/>
              </w:rPr>
            </w:pPr>
          </w:p>
        </w:tc>
        <w:tc>
          <w:tcPr>
            <w:tcW w:w="1930" w:type="pct"/>
          </w:tcPr>
          <w:p w14:paraId="28C08F12" w14:textId="77777777" w:rsidR="00A32732" w:rsidRPr="00A32732" w:rsidRDefault="00A32732" w:rsidP="00845853">
            <w:pPr>
              <w:spacing w:before="60" w:after="60"/>
              <w:jc w:val="both"/>
              <w:rPr>
                <w:rFonts w:ascii="Arial" w:eastAsia="Times New Roman" w:hAnsi="Arial" w:cs="Arial"/>
                <w:sz w:val="20"/>
                <w:szCs w:val="20"/>
              </w:rPr>
            </w:pPr>
          </w:p>
        </w:tc>
        <w:tc>
          <w:tcPr>
            <w:tcW w:w="1073" w:type="pct"/>
          </w:tcPr>
          <w:p w14:paraId="7E3D5E7B" w14:textId="77777777" w:rsidR="00A32732" w:rsidRPr="00A32732" w:rsidRDefault="00A32732" w:rsidP="00845853">
            <w:pPr>
              <w:spacing w:before="60" w:after="60"/>
              <w:rPr>
                <w:rFonts w:ascii="Arial" w:eastAsia="Times New Roman" w:hAnsi="Arial" w:cs="Arial"/>
                <w:sz w:val="20"/>
                <w:szCs w:val="20"/>
              </w:rPr>
            </w:pPr>
          </w:p>
        </w:tc>
      </w:tr>
    </w:tbl>
    <w:p w14:paraId="2EC7971C" w14:textId="34CA5CA1" w:rsidR="00A32732" w:rsidRPr="006874F8" w:rsidRDefault="00000000" w:rsidP="00845853">
      <w:pPr>
        <w:pStyle w:val="Heading4C"/>
      </w:pPr>
      <w:bookmarkStart w:id="42" w:name="_Toc427052399"/>
      <w:r w:rsidRPr="006874F8">
        <w:t>Appendix 7.  Emission Calculations</w:t>
      </w:r>
      <w:bookmarkEnd w:id="42"/>
      <w:r w:rsidRPr="006874F8">
        <w:t xml:space="preserve"> </w:t>
      </w:r>
    </w:p>
    <w:p w14:paraId="33DE6ACB" w14:textId="77777777" w:rsidR="00A32732" w:rsidRPr="00A32732" w:rsidRDefault="00000000" w:rsidP="00845853">
      <w:pPr>
        <w:spacing w:before="120"/>
        <w:rPr>
          <w:rFonts w:ascii="Arial" w:eastAsia="Times New Roman" w:hAnsi="Arial" w:cs="Times New Roman"/>
          <w:sz w:val="20"/>
          <w:szCs w:val="20"/>
        </w:rPr>
      </w:pPr>
      <w:bookmarkStart w:id="43" w:name="_Toc377276143"/>
      <w:bookmarkStart w:id="44" w:name="_Toc377877183"/>
      <w:r w:rsidRPr="00A32732">
        <w:rPr>
          <w:rFonts w:ascii="Arial" w:eastAsia="Times New Roman" w:hAnsi="Arial" w:cs="Times New Roman"/>
          <w:sz w:val="20"/>
          <w:szCs w:val="20"/>
        </w:rPr>
        <w:t>The permittee must use the following calculations in conjunction with monitoring, testing or recordkeeping data to determine compliance with the applicable requirements referenced in FGLANDFILL-XXX&lt;34.</w:t>
      </w:r>
    </w:p>
    <w:p w14:paraId="66C39C47" w14:textId="77777777" w:rsidR="00A32732" w:rsidRPr="00A32732" w:rsidRDefault="00000000" w:rsidP="00845853">
      <w:pPr>
        <w:pStyle w:val="Caption3"/>
      </w:pPr>
      <w:r w:rsidRPr="00A32732">
        <w:t>Default Values</w:t>
      </w:r>
    </w:p>
    <w:p w14:paraId="794F4919"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The permittee must calculate the NMOC emission rate using either </w:t>
      </w:r>
      <w:r w:rsidRPr="00A32732">
        <w:rPr>
          <w:rFonts w:ascii="Arial" w:eastAsia="Times New Roman" w:hAnsi="Arial" w:cs="Arial"/>
          <w:b/>
          <w:sz w:val="20"/>
          <w:szCs w:val="20"/>
        </w:rPr>
        <w:t>Equation 1</w:t>
      </w:r>
      <w:r w:rsidRPr="00A32732">
        <w:rPr>
          <w:rFonts w:ascii="Arial" w:eastAsia="Times New Roman" w:hAnsi="Arial" w:cs="Arial"/>
          <w:sz w:val="20"/>
          <w:szCs w:val="20"/>
        </w:rPr>
        <w:t xml:space="preserve"> (the equation provided in 40 CFR 60.764(a)(1)(i)) or </w:t>
      </w:r>
      <w:r w:rsidRPr="00A32732">
        <w:rPr>
          <w:rFonts w:ascii="Arial" w:eastAsia="Times New Roman" w:hAnsi="Arial" w:cs="Arial"/>
          <w:b/>
          <w:sz w:val="20"/>
          <w:szCs w:val="20"/>
        </w:rPr>
        <w:t>Equation 2</w:t>
      </w:r>
      <w:r w:rsidRPr="00A32732">
        <w:rPr>
          <w:rFonts w:ascii="Arial" w:eastAsia="Times New Roman" w:hAnsi="Arial" w:cs="Arial"/>
          <w:sz w:val="20"/>
          <w:szCs w:val="20"/>
        </w:rPr>
        <w:t xml:space="preserve"> (the equation provided in 40 CFR 60.764(a)(1)(ii)).  Both equations may be used if the actual year-to-year solid waste acceptance rate is known, as specified in </w:t>
      </w:r>
      <w:r w:rsidRPr="00A32732">
        <w:rPr>
          <w:rFonts w:ascii="Arial" w:eastAsia="Times New Roman" w:hAnsi="Arial" w:cs="Arial"/>
          <w:b/>
          <w:sz w:val="20"/>
          <w:szCs w:val="20"/>
        </w:rPr>
        <w:t>Equation 1</w:t>
      </w:r>
      <w:r w:rsidRPr="00A32732">
        <w:rPr>
          <w:rFonts w:ascii="Arial" w:eastAsia="Times New Roman" w:hAnsi="Arial" w:cs="Arial"/>
          <w:sz w:val="20"/>
          <w:szCs w:val="20"/>
        </w:rPr>
        <w:t xml:space="preserve"> (40 CFR 60.764(a)(1)(i)), for part of the life of the landfill and the actual year-to-year solid waste acceptance rate is unknown, as specified in </w:t>
      </w:r>
      <w:r w:rsidRPr="00A32732">
        <w:rPr>
          <w:rFonts w:ascii="Arial" w:eastAsia="Times New Roman" w:hAnsi="Arial" w:cs="Arial"/>
          <w:b/>
          <w:sz w:val="20"/>
          <w:szCs w:val="20"/>
        </w:rPr>
        <w:t>Equation 2</w:t>
      </w:r>
      <w:r w:rsidRPr="00A32732">
        <w:rPr>
          <w:rFonts w:ascii="Arial" w:eastAsia="Times New Roman" w:hAnsi="Arial" w:cs="Arial"/>
          <w:sz w:val="20"/>
          <w:szCs w:val="20"/>
        </w:rPr>
        <w:t xml:space="preserve"> (the equation provided in 40 CFR 60.764(a)(1)(ii)), for part of the life of the landfill.  The values to be used in both equations are 0.05 per year for k, 170 cubic meters per Mg for L</w:t>
      </w:r>
      <w:r w:rsidRPr="00A32732">
        <w:rPr>
          <w:rFonts w:ascii="Arial" w:eastAsia="Times New Roman" w:hAnsi="Arial" w:cs="Arial"/>
          <w:sz w:val="20"/>
          <w:szCs w:val="20"/>
          <w:vertAlign w:val="subscript"/>
        </w:rPr>
        <w:t>o</w:t>
      </w:r>
      <w:r w:rsidRPr="00A32732">
        <w:rPr>
          <w:rFonts w:ascii="Arial" w:eastAsia="Times New Roman" w:hAnsi="Arial" w:cs="Arial"/>
          <w:sz w:val="20"/>
          <w:szCs w:val="20"/>
        </w:rPr>
        <w:t>, and 4,000 ppm by volume as hexane for the C</w:t>
      </w:r>
      <w:r w:rsidRPr="00A32732">
        <w:rPr>
          <w:rFonts w:ascii="Arial" w:eastAsia="Times New Roman" w:hAnsi="Arial" w:cs="Arial"/>
          <w:sz w:val="20"/>
          <w:szCs w:val="20"/>
          <w:vertAlign w:val="subscript"/>
        </w:rPr>
        <w:t>NMOC</w:t>
      </w:r>
      <w:r w:rsidRPr="00A32732">
        <w:rPr>
          <w:rFonts w:ascii="Arial" w:eastAsia="Times New Roman" w:hAnsi="Arial" w:cs="Arial"/>
          <w:sz w:val="20"/>
          <w:szCs w:val="20"/>
        </w:rPr>
        <w:t xml:space="preserve">.  For landfills located in geographical areas with a thirty-year annual average precipitation of less than 25 inches, as measured at the nearest representative official meteorological site, the k value to be used is 0.02 per year.  </w:t>
      </w:r>
      <w:r w:rsidRPr="00A32732">
        <w:rPr>
          <w:rFonts w:ascii="Arial" w:eastAsia="Times New Roman" w:hAnsi="Arial" w:cs="Arial"/>
          <w:b/>
          <w:sz w:val="20"/>
          <w:szCs w:val="20"/>
        </w:rPr>
        <w:t>(40 CFR 60.764(a)(1))</w:t>
      </w:r>
    </w:p>
    <w:p w14:paraId="71B44734" w14:textId="77777777" w:rsidR="00A32732" w:rsidRPr="00A32732" w:rsidRDefault="00000000" w:rsidP="00845853">
      <w:pPr>
        <w:pStyle w:val="Caption3"/>
      </w:pPr>
      <w:r w:rsidRPr="00A32732">
        <w:t>Equation 1</w:t>
      </w:r>
    </w:p>
    <w:p w14:paraId="2C1C914D"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The following equation must be used if the actual year-to-year solid waste acceptance rate is known.  </w:t>
      </w:r>
      <w:r w:rsidRPr="00A32732">
        <w:rPr>
          <w:rFonts w:ascii="Arial" w:eastAsia="Times New Roman" w:hAnsi="Arial" w:cs="Arial"/>
          <w:sz w:val="20"/>
          <w:szCs w:val="20"/>
        </w:rPr>
        <w:br/>
      </w:r>
      <w:r w:rsidRPr="00A32732">
        <w:rPr>
          <w:rFonts w:ascii="Arial" w:eastAsia="Times New Roman" w:hAnsi="Arial" w:cs="Arial"/>
          <w:b/>
          <w:sz w:val="20"/>
          <w:szCs w:val="20"/>
        </w:rPr>
        <w:t>(40 CFR 60.764(a)(1)(i))</w:t>
      </w:r>
    </w:p>
    <w:bookmarkStart w:id="45" w:name="_Hlk101434396"/>
    <w:bookmarkStart w:id="46" w:name="_Hlk101434444"/>
    <w:bookmarkStart w:id="47" w:name="_Hlk101432886"/>
    <w:p w14:paraId="5EFEF0BE" w14:textId="77777777" w:rsidR="00A32732" w:rsidRPr="00A32732" w:rsidRDefault="00000000" w:rsidP="00A32732">
      <w:pPr>
        <w:spacing w:after="0" w:line="240" w:lineRule="auto"/>
        <w:ind w:left="1260"/>
        <w:rPr>
          <w:rFonts w:ascii="Times New Roman" w:eastAsia="Times New Roman" w:hAnsi="Times New Roman" w:cs="Times New Roman"/>
          <w:sz w:val="24"/>
          <w:szCs w:val="24"/>
        </w:rPr>
      </w:pPr>
      <m:oMathPara>
        <m:oMath>
          <m:sSub>
            <m:sSubPr>
              <m:ctrlPr>
                <w:rPr>
                  <w:rFonts w:ascii="Cambria Math" w:eastAsia="Cambria Math" w:hAnsi="Cambria Math" w:cs="Cambria Math"/>
                  <w:i/>
                  <w:sz w:val="24"/>
                  <w:szCs w:val="24"/>
                </w:rPr>
              </m:ctrlPr>
            </m:sSubPr>
            <m:e>
              <m:r>
                <w:rPr>
                  <w:rFonts w:ascii="Cambria Math" w:eastAsia="Cambria Math" w:hAnsi="Cambria Math" w:cs="Cambria Math"/>
                  <w:sz w:val="24"/>
                  <w:szCs w:val="24"/>
                </w:rPr>
                <m:t>M</m:t>
              </m:r>
            </m:e>
            <m:sub>
              <m:r>
                <w:rPr>
                  <w:rFonts w:ascii="Cambria Math" w:eastAsia="Cambria Math" w:hAnsi="Cambria Math" w:cs="Cambria Math"/>
                  <w:sz w:val="24"/>
                  <w:szCs w:val="24"/>
                </w:rPr>
                <m:t>NMOC</m:t>
              </m:r>
            </m:sub>
          </m:sSub>
          <m:r>
            <w:rPr>
              <w:rFonts w:ascii="Cambria Math" w:eastAsia="Cambria Math" w:hAnsi="Cambria Math" w:cs="Cambria Math"/>
              <w:sz w:val="24"/>
              <w:szCs w:val="24"/>
            </w:rPr>
            <m:t>=</m:t>
          </m:r>
          <m:nary>
            <m:naryPr>
              <m:chr m:val="∑"/>
              <m:grow m:val="1"/>
              <m:ctrlPr>
                <w:rPr>
                  <w:rFonts w:ascii="Cambria Math" w:eastAsia="Times New Roman" w:hAnsi="Cambria Math" w:cs="Times New Roman"/>
                  <w:sz w:val="24"/>
                  <w:szCs w:val="24"/>
                </w:rPr>
              </m:ctrlPr>
            </m:naryPr>
            <m:sub>
              <m:r>
                <w:rPr>
                  <w:rFonts w:ascii="Cambria Math" w:eastAsia="Cambria Math" w:hAnsi="Cambria Math" w:cs="Cambria Math"/>
                  <w:sz w:val="24"/>
                  <w:szCs w:val="24"/>
                </w:rPr>
                <m:t>i=l</m:t>
              </m:r>
            </m:sub>
            <m:sup>
              <m:r>
                <w:rPr>
                  <w:rFonts w:ascii="Cambria Math" w:eastAsia="Cambria Math" w:hAnsi="Cambria Math" w:cs="Cambria Math"/>
                  <w:sz w:val="24"/>
                  <w:szCs w:val="24"/>
                </w:rPr>
                <m:t>n</m:t>
              </m:r>
            </m:sup>
            <m:e>
              <m:r>
                <w:rPr>
                  <w:rFonts w:ascii="Cambria Math" w:eastAsia="Times New Roman" w:hAnsi="Cambria Math" w:cs="Times New Roman"/>
                  <w:sz w:val="24"/>
                  <w:szCs w:val="24"/>
                </w:rPr>
                <m:t>2 k</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o</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i</m:t>
                  </m:r>
                </m:sub>
              </m:sSub>
              <m:d>
                <m:dPr>
                  <m:ctrlPr>
                    <w:rPr>
                      <w:rFonts w:ascii="Cambria Math" w:eastAsia="Times New Roman" w:hAnsi="Cambria Math" w:cs="Times New Roman"/>
                      <w:sz w:val="24"/>
                      <w:szCs w:val="24"/>
                    </w:rPr>
                  </m:ctrlPr>
                </m:dPr>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-kt</m:t>
                      </m:r>
                      <m:r>
                        <w:rPr>
                          <w:rFonts w:ascii="Cambria Math" w:eastAsia="Times New Roman" w:hAnsi="Cambria Math" w:cs="Times New Roman"/>
                          <w:position w:val="-6"/>
                          <w:sz w:val="24"/>
                          <w:szCs w:val="24"/>
                        </w:rPr>
                        <m:t>i</m:t>
                      </m:r>
                    </m:sup>
                  </m:sSup>
                </m:e>
              </m:d>
              <m:r>
                <m:rPr>
                  <m:sty m:val="p"/>
                </m:rP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NMOC</m:t>
                  </m:r>
                </m:sub>
              </m:sSub>
            </m:e>
          </m:nary>
          <m:r>
            <w:rPr>
              <w:rFonts w:ascii="Cambria Math" w:eastAsia="Times New Roman" w:hAnsi="Cambria Math" w:cs="Times New Roman"/>
              <w:sz w:val="24"/>
              <w:szCs w:val="24"/>
            </w:rPr>
            <m:t xml:space="preserve">)(3.6 x </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10</m:t>
              </m:r>
            </m:e>
            <m:sup>
              <m:r>
                <w:rPr>
                  <w:rFonts w:ascii="Cambria Math" w:eastAsia="Times New Roman" w:hAnsi="Cambria Math" w:cs="Times New Roman"/>
                  <w:sz w:val="24"/>
                  <w:szCs w:val="24"/>
                </w:rPr>
                <m:t>-9</m:t>
              </m:r>
            </m:sup>
          </m:sSup>
          <w:bookmarkEnd w:id="45"/>
          <m:r>
            <w:rPr>
              <w:rFonts w:ascii="Cambria Math" w:eastAsia="Times New Roman" w:hAnsi="Cambria Math" w:cs="Times New Roman"/>
              <w:sz w:val="24"/>
              <w:szCs w:val="24"/>
            </w:rPr>
            <m:t>)</m:t>
          </m:r>
        </m:oMath>
      </m:oMathPara>
      <w:bookmarkEnd w:id="46"/>
    </w:p>
    <w:bookmarkEnd w:id="47"/>
    <w:p w14:paraId="75668495" w14:textId="77777777" w:rsidR="00A32732" w:rsidRPr="00A32732" w:rsidRDefault="00000000" w:rsidP="00845853">
      <w:pPr>
        <w:spacing w:before="100" w:beforeAutospacing="1" w:after="100" w:afterAutospacing="1"/>
        <w:jc w:val="both"/>
        <w:rPr>
          <w:rFonts w:ascii="Arial" w:eastAsia="Times New Roman" w:hAnsi="Arial" w:cs="Arial"/>
          <w:sz w:val="20"/>
          <w:szCs w:val="20"/>
        </w:rPr>
      </w:pPr>
      <w:r w:rsidRPr="00A32732">
        <w:rPr>
          <w:rFonts w:ascii="Arial" w:eastAsia="Times New Roman" w:hAnsi="Arial" w:cs="Arial"/>
          <w:sz w:val="20"/>
          <w:szCs w:val="20"/>
        </w:rPr>
        <w:lastRenderedPageBreak/>
        <w:t>Where:</w:t>
      </w:r>
    </w:p>
    <w:p w14:paraId="78F946FB"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M</w:t>
      </w:r>
      <w:r w:rsidRPr="00A32732">
        <w:rPr>
          <w:rFonts w:ascii="Arial" w:eastAsia="Times New Roman" w:hAnsi="Arial" w:cs="Arial"/>
          <w:sz w:val="20"/>
          <w:szCs w:val="20"/>
          <w:vertAlign w:val="subscript"/>
        </w:rPr>
        <w:t>NMOC</w:t>
      </w:r>
      <w:r w:rsidRPr="00A32732">
        <w:rPr>
          <w:rFonts w:ascii="Arial" w:eastAsia="Times New Roman" w:hAnsi="Arial" w:cs="Arial"/>
          <w:sz w:val="20"/>
          <w:szCs w:val="20"/>
        </w:rPr>
        <w:t xml:space="preserve"> = Total NMOC emission rate from the landfill, Mg per year </w:t>
      </w:r>
    </w:p>
    <w:p w14:paraId="0E24F8F5"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k = methane generation rate constant, year</w:t>
      </w:r>
      <w:r w:rsidRPr="00A32732">
        <w:rPr>
          <w:rFonts w:ascii="Arial" w:eastAsia="Times New Roman" w:hAnsi="Arial" w:cs="Arial"/>
          <w:sz w:val="20"/>
          <w:szCs w:val="20"/>
          <w:vertAlign w:val="superscript"/>
        </w:rPr>
        <w:t>−1</w:t>
      </w:r>
      <w:r w:rsidRPr="00A32732">
        <w:rPr>
          <w:rFonts w:ascii="Arial" w:eastAsia="Times New Roman" w:hAnsi="Arial" w:cs="Arial"/>
          <w:sz w:val="20"/>
          <w:szCs w:val="20"/>
        </w:rPr>
        <w:t xml:space="preserve"> </w:t>
      </w:r>
    </w:p>
    <w:p w14:paraId="3B6F8687"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L</w:t>
      </w:r>
      <w:r w:rsidRPr="00A32732">
        <w:rPr>
          <w:rFonts w:ascii="Arial" w:eastAsia="Times New Roman" w:hAnsi="Arial" w:cs="Arial"/>
          <w:sz w:val="20"/>
          <w:szCs w:val="20"/>
          <w:vertAlign w:val="subscript"/>
        </w:rPr>
        <w:t>o</w:t>
      </w:r>
      <w:r w:rsidRPr="00A32732">
        <w:rPr>
          <w:rFonts w:ascii="Arial" w:eastAsia="Times New Roman" w:hAnsi="Arial" w:cs="Arial"/>
          <w:sz w:val="20"/>
          <w:szCs w:val="20"/>
        </w:rPr>
        <w:t xml:space="preserve"> = methane generation potential, cubic meters per Mg solid waste </w:t>
      </w:r>
    </w:p>
    <w:p w14:paraId="4088B35F"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M</w:t>
      </w:r>
      <w:r w:rsidRPr="00A32732">
        <w:rPr>
          <w:rFonts w:ascii="Arial" w:eastAsia="Times New Roman" w:hAnsi="Arial" w:cs="Arial"/>
          <w:sz w:val="20"/>
          <w:szCs w:val="20"/>
          <w:vertAlign w:val="subscript"/>
        </w:rPr>
        <w:t>i</w:t>
      </w:r>
      <w:r w:rsidRPr="00A32732">
        <w:rPr>
          <w:rFonts w:ascii="Arial" w:eastAsia="Times New Roman" w:hAnsi="Arial" w:cs="Arial"/>
          <w:sz w:val="20"/>
          <w:szCs w:val="20"/>
        </w:rPr>
        <w:t xml:space="preserve"> = mass of solid waste in the ith section, Mg </w:t>
      </w:r>
    </w:p>
    <w:p w14:paraId="5756248B"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t</w:t>
      </w:r>
      <w:r w:rsidRPr="00A32732">
        <w:rPr>
          <w:rFonts w:ascii="Arial" w:eastAsia="Times New Roman" w:hAnsi="Arial" w:cs="Arial"/>
          <w:sz w:val="20"/>
          <w:szCs w:val="20"/>
          <w:vertAlign w:val="subscript"/>
        </w:rPr>
        <w:t>i</w:t>
      </w:r>
      <w:r w:rsidRPr="00A32732">
        <w:rPr>
          <w:rFonts w:ascii="Arial" w:eastAsia="Times New Roman" w:hAnsi="Arial" w:cs="Arial"/>
          <w:sz w:val="20"/>
          <w:szCs w:val="20"/>
        </w:rPr>
        <w:t xml:space="preserve"> = age of the i</w:t>
      </w:r>
      <w:r w:rsidRPr="00A32732">
        <w:rPr>
          <w:rFonts w:ascii="Arial" w:eastAsia="Times New Roman" w:hAnsi="Arial" w:cs="Arial"/>
          <w:sz w:val="20"/>
          <w:szCs w:val="20"/>
          <w:vertAlign w:val="superscript"/>
        </w:rPr>
        <w:t>th</w:t>
      </w:r>
      <w:r w:rsidRPr="00A32732">
        <w:rPr>
          <w:rFonts w:ascii="Arial" w:eastAsia="Times New Roman" w:hAnsi="Arial" w:cs="Arial"/>
          <w:sz w:val="20"/>
          <w:szCs w:val="20"/>
        </w:rPr>
        <w:t xml:space="preserve"> section, years </w:t>
      </w:r>
    </w:p>
    <w:p w14:paraId="1EC4CAF4"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C</w:t>
      </w:r>
      <w:r w:rsidRPr="00A32732">
        <w:rPr>
          <w:rFonts w:ascii="Arial" w:eastAsia="Times New Roman" w:hAnsi="Arial" w:cs="Arial"/>
          <w:sz w:val="20"/>
          <w:szCs w:val="20"/>
          <w:vertAlign w:val="subscript"/>
        </w:rPr>
        <w:t>NMOC</w:t>
      </w:r>
      <w:r w:rsidRPr="00A32732">
        <w:rPr>
          <w:rFonts w:ascii="Arial" w:eastAsia="Times New Roman" w:hAnsi="Arial" w:cs="Arial"/>
          <w:sz w:val="20"/>
          <w:szCs w:val="20"/>
        </w:rPr>
        <w:t xml:space="preserve"> = concentration of NMOC, ppmv as hexane </w:t>
      </w:r>
    </w:p>
    <w:p w14:paraId="7EAAC00A" w14:textId="77777777" w:rsidR="00A32732" w:rsidRPr="00A32732" w:rsidRDefault="00000000" w:rsidP="00845853">
      <w:pPr>
        <w:spacing w:after="0"/>
        <w:jc w:val="both"/>
        <w:rPr>
          <w:rFonts w:ascii="Arial" w:eastAsia="Times New Roman" w:hAnsi="Arial" w:cs="Arial"/>
          <w:sz w:val="20"/>
          <w:szCs w:val="20"/>
        </w:rPr>
      </w:pPr>
      <w:r w:rsidRPr="00A32732">
        <w:rPr>
          <w:rFonts w:ascii="Arial" w:eastAsia="Times New Roman" w:hAnsi="Arial" w:cs="Arial"/>
          <w:sz w:val="20"/>
          <w:szCs w:val="20"/>
        </w:rPr>
        <w:t>3.6 × 10</w:t>
      </w:r>
      <w:r w:rsidRPr="00A32732">
        <w:rPr>
          <w:rFonts w:ascii="Arial" w:eastAsia="Times New Roman" w:hAnsi="Arial" w:cs="Arial"/>
          <w:sz w:val="20"/>
          <w:szCs w:val="20"/>
          <w:vertAlign w:val="superscript"/>
        </w:rPr>
        <w:t>−9</w:t>
      </w:r>
      <w:r w:rsidRPr="00A32732">
        <w:rPr>
          <w:rFonts w:ascii="Arial" w:eastAsia="Times New Roman" w:hAnsi="Arial" w:cs="Arial"/>
          <w:sz w:val="20"/>
          <w:szCs w:val="20"/>
        </w:rPr>
        <w:t xml:space="preserve"> = conversion factor </w:t>
      </w:r>
    </w:p>
    <w:p w14:paraId="779631D2" w14:textId="77777777" w:rsidR="00A32732" w:rsidRPr="00A32732" w:rsidRDefault="00000000" w:rsidP="00845853">
      <w:pPr>
        <w:spacing w:before="100" w:beforeAutospacing="1"/>
        <w:rPr>
          <w:rFonts w:ascii="Arial" w:eastAsia="Times New Roman" w:hAnsi="Arial" w:cs="Arial"/>
          <w:sz w:val="20"/>
          <w:szCs w:val="20"/>
        </w:rPr>
      </w:pPr>
      <w:r w:rsidRPr="00A32732">
        <w:rPr>
          <w:rFonts w:ascii="Arial" w:eastAsia="Times New Roman" w:hAnsi="Arial" w:cs="Arial"/>
          <w:sz w:val="20"/>
          <w:szCs w:val="20"/>
        </w:rPr>
        <w:t>The mass of nondegradable solid waste may be subtracted from the total mass of solid waste in a particular section of the landfill when calculating the value for Mi if documentation of the nature and amount of such wastes is maintained.</w:t>
      </w:r>
    </w:p>
    <w:p w14:paraId="58023E99" w14:textId="77777777" w:rsidR="00A32732" w:rsidRPr="00A32732" w:rsidRDefault="00000000" w:rsidP="00845853">
      <w:pPr>
        <w:pStyle w:val="Caption3"/>
      </w:pPr>
      <w:r w:rsidRPr="00A32732">
        <w:t>Equation 2</w:t>
      </w:r>
    </w:p>
    <w:p w14:paraId="4AA1F4BC" w14:textId="7A0AC724" w:rsidR="00A32732" w:rsidRPr="00A32732" w:rsidRDefault="00000000" w:rsidP="00845853">
      <w:pPr>
        <w:spacing w:after="0" w:line="240" w:lineRule="auto"/>
        <w:rPr>
          <w:rFonts w:ascii="Arial" w:eastAsia="Times New Roman" w:hAnsi="Arial" w:cs="Arial"/>
          <w:sz w:val="20"/>
          <w:szCs w:val="20"/>
        </w:rPr>
      </w:pPr>
      <w:r w:rsidRPr="00A32732">
        <w:rPr>
          <w:rFonts w:ascii="Arial" w:eastAsia="Times New Roman" w:hAnsi="Arial" w:cs="Arial"/>
          <w:sz w:val="20"/>
          <w:szCs w:val="20"/>
        </w:rPr>
        <w:t xml:space="preserve">The following equation must be used if the actual year-to-year solid waste acceptance rate is unknown.  </w:t>
      </w:r>
      <w:r w:rsidRPr="00A32732">
        <w:rPr>
          <w:rFonts w:ascii="Arial" w:eastAsia="Times New Roman" w:hAnsi="Arial" w:cs="Arial"/>
          <w:b/>
          <w:sz w:val="20"/>
          <w:szCs w:val="20"/>
        </w:rPr>
        <w:t>(40 CFR 60.764(a)(1)(ii))</w:t>
      </w:r>
    </w:p>
    <w:p w14:paraId="42369E4C" w14:textId="77777777" w:rsidR="00A32732" w:rsidRPr="00A32732" w:rsidRDefault="00000000" w:rsidP="00A32732">
      <w:pPr>
        <w:spacing w:before="100" w:beforeAutospacing="1" w:after="100" w:afterAutospacing="1" w:line="240" w:lineRule="auto"/>
        <w:ind w:left="1350"/>
        <w:rPr>
          <w:rFonts w:ascii="Times New Roman" w:eastAsia="Times New Roman" w:hAnsi="Times New Roman" w:cs="Times New Roman"/>
          <w:sz w:val="24"/>
          <w:szCs w:val="24"/>
        </w:rPr>
      </w:pPr>
      <w:r w:rsidRPr="00A32732">
        <w:rPr>
          <w:rFonts w:ascii="Times New Roman" w:eastAsia="Times New Roman" w:hAnsi="Times New Roman" w:cs="Times New Roman"/>
          <w:i/>
          <w:sz w:val="24"/>
          <w:szCs w:val="24"/>
        </w:rPr>
        <w:t>M</w:t>
      </w:r>
      <w:r w:rsidRPr="00A32732">
        <w:rPr>
          <w:rFonts w:ascii="Times New Roman" w:eastAsia="Times New Roman" w:hAnsi="Times New Roman" w:cs="Times New Roman"/>
          <w:i/>
          <w:sz w:val="24"/>
          <w:szCs w:val="24"/>
          <w:vertAlign w:val="subscript"/>
        </w:rPr>
        <w:t>NMOC</w:t>
      </w:r>
      <w:r w:rsidRPr="00A32732">
        <w:rPr>
          <w:rFonts w:ascii="Times New Roman" w:eastAsia="Times New Roman" w:hAnsi="Times New Roman" w:cs="Times New Roman"/>
          <w:sz w:val="24"/>
          <w:szCs w:val="24"/>
        </w:rPr>
        <w:t xml:space="preserve"> = 2L</w:t>
      </w:r>
      <w:r w:rsidRPr="00A32732">
        <w:rPr>
          <w:rFonts w:ascii="Times New Roman" w:eastAsia="Times New Roman" w:hAnsi="Times New Roman" w:cs="Times New Roman"/>
          <w:sz w:val="24"/>
          <w:szCs w:val="24"/>
          <w:vertAlign w:val="subscript"/>
        </w:rPr>
        <w:t>o</w:t>
      </w:r>
      <w:r w:rsidRPr="00A32732">
        <w:rPr>
          <w:rFonts w:ascii="Times New Roman" w:eastAsia="Times New Roman" w:hAnsi="Times New Roman" w:cs="Times New Roman"/>
          <w:sz w:val="24"/>
          <w:szCs w:val="24"/>
        </w:rPr>
        <w:t xml:space="preserve"> R (e</w:t>
      </w:r>
      <w:r w:rsidRPr="00A32732">
        <w:rPr>
          <w:rFonts w:ascii="Times New Roman" w:eastAsia="Times New Roman" w:hAnsi="Times New Roman" w:cs="Times New Roman"/>
          <w:sz w:val="24"/>
          <w:szCs w:val="24"/>
          <w:vertAlign w:val="superscript"/>
        </w:rPr>
        <w:t>−kc</w:t>
      </w:r>
      <w:r w:rsidRPr="00A32732">
        <w:rPr>
          <w:rFonts w:ascii="Times New Roman" w:eastAsia="Times New Roman" w:hAnsi="Times New Roman" w:cs="Times New Roman"/>
          <w:sz w:val="24"/>
          <w:szCs w:val="24"/>
        </w:rPr>
        <w:t xml:space="preserve"> − e</w:t>
      </w:r>
      <w:r w:rsidRPr="00A32732">
        <w:rPr>
          <w:rFonts w:ascii="Times New Roman" w:eastAsia="Times New Roman" w:hAnsi="Times New Roman" w:cs="Times New Roman"/>
          <w:sz w:val="24"/>
          <w:szCs w:val="24"/>
          <w:vertAlign w:val="superscript"/>
        </w:rPr>
        <w:t>−kt</w:t>
      </w:r>
      <w:r w:rsidRPr="00A32732">
        <w:rPr>
          <w:rFonts w:ascii="Times New Roman" w:eastAsia="Times New Roman" w:hAnsi="Times New Roman" w:cs="Times New Roman"/>
          <w:sz w:val="24"/>
          <w:szCs w:val="24"/>
        </w:rPr>
        <w:t>) (</w:t>
      </w:r>
      <w:r w:rsidRPr="00A32732">
        <w:rPr>
          <w:rFonts w:ascii="Times New Roman" w:eastAsia="Times New Roman" w:hAnsi="Times New Roman" w:cs="Times New Roman"/>
          <w:i/>
          <w:sz w:val="24"/>
          <w:szCs w:val="24"/>
        </w:rPr>
        <w:t>C</w:t>
      </w:r>
      <w:r w:rsidRPr="00A32732">
        <w:rPr>
          <w:rFonts w:ascii="Times New Roman" w:eastAsia="Times New Roman" w:hAnsi="Times New Roman" w:cs="Times New Roman"/>
          <w:i/>
          <w:sz w:val="24"/>
          <w:szCs w:val="24"/>
          <w:vertAlign w:val="subscript"/>
        </w:rPr>
        <w:t>NMOC</w:t>
      </w:r>
      <w:r w:rsidRPr="00A32732">
        <w:rPr>
          <w:rFonts w:ascii="Times New Roman" w:eastAsia="Times New Roman" w:hAnsi="Times New Roman" w:cs="Times New Roman"/>
          <w:i/>
          <w:sz w:val="24"/>
          <w:szCs w:val="24"/>
        </w:rPr>
        <w:t>)</w:t>
      </w:r>
      <w:r w:rsidRPr="00A32732">
        <w:rPr>
          <w:rFonts w:ascii="Times New Roman" w:eastAsia="Times New Roman" w:hAnsi="Times New Roman" w:cs="Times New Roman"/>
          <w:sz w:val="24"/>
          <w:szCs w:val="24"/>
        </w:rPr>
        <w:t xml:space="preserve"> (3.6 × 10</w:t>
      </w:r>
      <w:r w:rsidRPr="00A32732">
        <w:rPr>
          <w:rFonts w:ascii="Times New Roman" w:eastAsia="Times New Roman" w:hAnsi="Times New Roman" w:cs="Times New Roman"/>
          <w:sz w:val="24"/>
          <w:szCs w:val="24"/>
          <w:vertAlign w:val="superscript"/>
        </w:rPr>
        <w:t>−9</w:t>
      </w:r>
      <w:r w:rsidRPr="00A32732">
        <w:rPr>
          <w:rFonts w:ascii="Times New Roman" w:eastAsia="Times New Roman" w:hAnsi="Times New Roman" w:cs="Times New Roman"/>
          <w:sz w:val="24"/>
          <w:szCs w:val="24"/>
        </w:rPr>
        <w:t>)</w:t>
      </w:r>
    </w:p>
    <w:p w14:paraId="4463A6D2" w14:textId="77777777" w:rsidR="00A32732" w:rsidRPr="00A32732" w:rsidRDefault="00000000" w:rsidP="00845853">
      <w:pPr>
        <w:spacing w:before="100" w:beforeAutospacing="1" w:after="100" w:afterAutospacing="1"/>
        <w:jc w:val="both"/>
        <w:rPr>
          <w:rFonts w:ascii="Arial" w:eastAsia="Times New Roman" w:hAnsi="Arial" w:cs="Arial"/>
          <w:sz w:val="20"/>
          <w:szCs w:val="20"/>
        </w:rPr>
      </w:pPr>
      <w:r w:rsidRPr="00A32732">
        <w:rPr>
          <w:rFonts w:ascii="Arial" w:eastAsia="Times New Roman" w:hAnsi="Arial" w:cs="Arial"/>
          <w:sz w:val="20"/>
          <w:szCs w:val="20"/>
        </w:rPr>
        <w:t>Where:</w:t>
      </w:r>
    </w:p>
    <w:p w14:paraId="3E039EA1"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M</w:t>
      </w:r>
      <w:r w:rsidRPr="00A32732">
        <w:rPr>
          <w:rFonts w:ascii="Arial" w:eastAsia="Times New Roman" w:hAnsi="Arial" w:cs="Arial"/>
          <w:sz w:val="20"/>
          <w:szCs w:val="20"/>
          <w:vertAlign w:val="subscript"/>
        </w:rPr>
        <w:t>NMOC</w:t>
      </w:r>
      <w:r w:rsidRPr="00A32732">
        <w:rPr>
          <w:rFonts w:ascii="Arial" w:eastAsia="Times New Roman" w:hAnsi="Arial" w:cs="Arial"/>
          <w:sz w:val="20"/>
          <w:szCs w:val="20"/>
        </w:rPr>
        <w:t xml:space="preserve"> = mass emission rate of NMOC, Mg per year </w:t>
      </w:r>
    </w:p>
    <w:p w14:paraId="2BE96640"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L</w:t>
      </w:r>
      <w:r w:rsidRPr="00A32732">
        <w:rPr>
          <w:rFonts w:ascii="Arial" w:eastAsia="Times New Roman" w:hAnsi="Arial" w:cs="Arial"/>
          <w:sz w:val="20"/>
          <w:szCs w:val="20"/>
          <w:vertAlign w:val="subscript"/>
        </w:rPr>
        <w:t>o</w:t>
      </w:r>
      <w:r w:rsidRPr="00A32732">
        <w:rPr>
          <w:rFonts w:ascii="Arial" w:eastAsia="Times New Roman" w:hAnsi="Arial" w:cs="Arial"/>
          <w:sz w:val="20"/>
          <w:szCs w:val="20"/>
        </w:rPr>
        <w:t xml:space="preserve"> = methane generation potential, cubic meters per Mg solid waste </w:t>
      </w:r>
    </w:p>
    <w:p w14:paraId="34045DF9"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 xml:space="preserve">R = average annual acceptance rate, Mg per year </w:t>
      </w:r>
    </w:p>
    <w:p w14:paraId="2695E031"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k = methane generation rate constant, year</w:t>
      </w:r>
      <w:r w:rsidRPr="00A32732">
        <w:rPr>
          <w:rFonts w:ascii="Arial" w:eastAsia="Times New Roman" w:hAnsi="Arial" w:cs="Arial"/>
          <w:sz w:val="20"/>
          <w:szCs w:val="20"/>
          <w:vertAlign w:val="superscript"/>
        </w:rPr>
        <w:t>−1</w:t>
      </w:r>
      <w:r w:rsidRPr="00A32732">
        <w:rPr>
          <w:rFonts w:ascii="Arial" w:eastAsia="Times New Roman" w:hAnsi="Arial" w:cs="Arial"/>
          <w:sz w:val="20"/>
          <w:szCs w:val="20"/>
        </w:rPr>
        <w:t xml:space="preserve"> </w:t>
      </w:r>
    </w:p>
    <w:p w14:paraId="5EC67D42"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 xml:space="preserve">t = age of landfill, years </w:t>
      </w:r>
    </w:p>
    <w:p w14:paraId="7FC0356C"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C</w:t>
      </w:r>
      <w:r w:rsidRPr="00A32732">
        <w:rPr>
          <w:rFonts w:ascii="Arial" w:eastAsia="Times New Roman" w:hAnsi="Arial" w:cs="Arial"/>
          <w:sz w:val="20"/>
          <w:szCs w:val="20"/>
          <w:vertAlign w:val="subscript"/>
        </w:rPr>
        <w:t>NMOC</w:t>
      </w:r>
      <w:r w:rsidRPr="00A32732">
        <w:rPr>
          <w:rFonts w:ascii="Arial" w:eastAsia="Times New Roman" w:hAnsi="Arial" w:cs="Arial"/>
          <w:sz w:val="20"/>
          <w:szCs w:val="20"/>
        </w:rPr>
        <w:t xml:space="preserve"> = concentration of NMOC, ppmv as hexane </w:t>
      </w:r>
    </w:p>
    <w:p w14:paraId="0BCE7862" w14:textId="77777777" w:rsidR="00A32732" w:rsidRPr="00A32732" w:rsidRDefault="00000000" w:rsidP="00845853">
      <w:pPr>
        <w:spacing w:after="120"/>
        <w:jc w:val="both"/>
        <w:rPr>
          <w:rFonts w:ascii="Arial" w:eastAsia="Times New Roman" w:hAnsi="Arial" w:cs="Arial"/>
          <w:sz w:val="20"/>
          <w:szCs w:val="20"/>
        </w:rPr>
      </w:pPr>
      <w:r w:rsidRPr="00A32732">
        <w:rPr>
          <w:rFonts w:ascii="Arial" w:eastAsia="Times New Roman" w:hAnsi="Arial" w:cs="Arial"/>
          <w:sz w:val="20"/>
          <w:szCs w:val="20"/>
        </w:rPr>
        <w:t>c = time since closure, years; for active landfill c = 0 and e</w:t>
      </w:r>
      <w:r w:rsidRPr="00A32732">
        <w:rPr>
          <w:rFonts w:ascii="Arial" w:eastAsia="Times New Roman" w:hAnsi="Arial" w:cs="Arial"/>
          <w:sz w:val="20"/>
          <w:szCs w:val="20"/>
          <w:vertAlign w:val="superscript"/>
        </w:rPr>
        <w:t>−kc</w:t>
      </w:r>
      <w:r w:rsidRPr="00A32732">
        <w:rPr>
          <w:rFonts w:ascii="Arial" w:eastAsia="Times New Roman" w:hAnsi="Arial" w:cs="Arial"/>
          <w:sz w:val="20"/>
          <w:szCs w:val="20"/>
        </w:rPr>
        <w:t xml:space="preserve"> = 1</w:t>
      </w:r>
    </w:p>
    <w:p w14:paraId="0AECFCBB" w14:textId="77777777" w:rsidR="00A32732" w:rsidRPr="00A32732" w:rsidRDefault="00000000" w:rsidP="00845853">
      <w:pPr>
        <w:spacing w:after="0"/>
        <w:jc w:val="both"/>
        <w:rPr>
          <w:rFonts w:ascii="Arial" w:eastAsia="Times New Roman" w:hAnsi="Arial" w:cs="Arial"/>
          <w:sz w:val="20"/>
          <w:szCs w:val="20"/>
        </w:rPr>
      </w:pPr>
      <w:r w:rsidRPr="00A32732">
        <w:rPr>
          <w:rFonts w:ascii="Arial" w:eastAsia="Times New Roman" w:hAnsi="Arial" w:cs="Arial"/>
          <w:sz w:val="20"/>
          <w:szCs w:val="20"/>
        </w:rPr>
        <w:t>3.6×10</w:t>
      </w:r>
      <w:r w:rsidRPr="00A32732">
        <w:rPr>
          <w:rFonts w:ascii="Arial" w:eastAsia="Times New Roman" w:hAnsi="Arial" w:cs="Arial"/>
          <w:sz w:val="20"/>
          <w:szCs w:val="20"/>
          <w:vertAlign w:val="superscript"/>
        </w:rPr>
        <w:t>−9</w:t>
      </w:r>
      <w:r w:rsidRPr="00A32732">
        <w:rPr>
          <w:rFonts w:ascii="Arial" w:eastAsia="Times New Roman" w:hAnsi="Arial" w:cs="Arial"/>
          <w:sz w:val="20"/>
          <w:szCs w:val="20"/>
        </w:rPr>
        <w:t xml:space="preserve"> = conversion factor </w:t>
      </w:r>
    </w:p>
    <w:p w14:paraId="40A83D18" w14:textId="77777777" w:rsidR="00A32732" w:rsidRPr="00A32732" w:rsidRDefault="00000000" w:rsidP="00845853">
      <w:pPr>
        <w:spacing w:before="100" w:beforeAutospacing="1" w:after="100" w:afterAutospacing="1" w:line="240" w:lineRule="auto"/>
        <w:rPr>
          <w:rFonts w:ascii="Arial" w:eastAsia="Times New Roman" w:hAnsi="Arial" w:cs="Arial"/>
          <w:sz w:val="20"/>
          <w:szCs w:val="20"/>
        </w:rPr>
      </w:pPr>
      <w:r w:rsidRPr="00A32732">
        <w:rPr>
          <w:rFonts w:ascii="Arial" w:eastAsia="Times New Roman" w:hAnsi="Arial" w:cs="Arial"/>
          <w:sz w:val="20"/>
          <w:szCs w:val="20"/>
        </w:rPr>
        <w:t xml:space="preserve">The mass of nondegradable solid waste may be subtracted from the total mass of solid waste in a particular section of the landfill when calculating the value of R, if documentation of the nature and amount of such wastes is maintained. </w:t>
      </w:r>
    </w:p>
    <w:p w14:paraId="113C8D2D" w14:textId="77777777" w:rsidR="00A32732" w:rsidRPr="00A32732" w:rsidRDefault="00000000" w:rsidP="00845853">
      <w:pPr>
        <w:pStyle w:val="Caption3"/>
      </w:pPr>
      <w:r w:rsidRPr="00A32732">
        <w:t>Tier 1</w:t>
      </w:r>
    </w:p>
    <w:p w14:paraId="4324D825" w14:textId="77777777" w:rsidR="00A32732" w:rsidRPr="00A32732" w:rsidRDefault="00000000" w:rsidP="00845853">
      <w:pPr>
        <w:spacing w:before="120"/>
        <w:rPr>
          <w:rFonts w:ascii="Arial" w:eastAsia="Times New Roman" w:hAnsi="Arial" w:cs="Times New Roman"/>
          <w:sz w:val="20"/>
          <w:szCs w:val="20"/>
        </w:rPr>
      </w:pPr>
      <w:r w:rsidRPr="00A32732">
        <w:rPr>
          <w:rFonts w:ascii="Arial" w:eastAsia="Times New Roman" w:hAnsi="Arial" w:cs="Times New Roman"/>
          <w:sz w:val="20"/>
          <w:szCs w:val="20"/>
        </w:rPr>
        <w:t xml:space="preserve">The owner or operator must calculate NMOC mass emission rate utilizing Equation 1 or 2 in </w:t>
      </w:r>
      <w:r w:rsidRPr="00A32732">
        <w:rPr>
          <w:rFonts w:ascii="Arial" w:eastAsia="Times New Roman" w:hAnsi="Arial" w:cs="Times New Roman"/>
          <w:b/>
          <w:sz w:val="20"/>
          <w:szCs w:val="20"/>
        </w:rPr>
        <w:t>Appendix 7</w:t>
      </w:r>
      <w:r w:rsidRPr="00A32732">
        <w:rPr>
          <w:rFonts w:ascii="Arial" w:eastAsia="Times New Roman" w:hAnsi="Arial" w:cs="Times New Roman"/>
          <w:sz w:val="20"/>
          <w:szCs w:val="20"/>
        </w:rPr>
        <w:t xml:space="preserve">, as applicable, and compare it to the standard of 34 </w:t>
      </w:r>
      <w:r w:rsidRPr="00A32732">
        <w:rPr>
          <w:rFonts w:ascii="Arial" w:eastAsia="Times New Roman" w:hAnsi="Arial" w:cs="Arial"/>
          <w:sz w:val="20"/>
          <w:szCs w:val="20"/>
        </w:rPr>
        <w:t>Mg</w:t>
      </w:r>
      <w:r w:rsidRPr="00A32732">
        <w:rPr>
          <w:rFonts w:ascii="Arial" w:eastAsia="Times New Roman" w:hAnsi="Arial" w:cs="Times New Roman"/>
          <w:sz w:val="20"/>
          <w:szCs w:val="20"/>
        </w:rPr>
        <w:t xml:space="preserve"> per year. </w:t>
      </w:r>
      <w:r w:rsidRPr="00A32732">
        <w:rPr>
          <w:rFonts w:ascii="Arial" w:eastAsia="Times New Roman" w:hAnsi="Arial" w:cs="Times New Roman"/>
          <w:b/>
          <w:sz w:val="20"/>
          <w:szCs w:val="20"/>
        </w:rPr>
        <w:t xml:space="preserve"> (40 CFR 60.764(a)(2))</w:t>
      </w:r>
    </w:p>
    <w:p w14:paraId="3E245099" w14:textId="77777777" w:rsidR="00A32732" w:rsidRPr="00A32732" w:rsidRDefault="00000000" w:rsidP="00845853">
      <w:pPr>
        <w:pStyle w:val="Caption3"/>
      </w:pPr>
      <w:r w:rsidRPr="00A32732">
        <w:t>Tier 2</w:t>
      </w:r>
    </w:p>
    <w:p w14:paraId="0EE02B6E"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The permittee must recalculate the NMOC mass emission rate using the </w:t>
      </w:r>
      <w:r w:rsidRPr="00A32732">
        <w:rPr>
          <w:rFonts w:ascii="Arial" w:eastAsia="Times New Roman" w:hAnsi="Arial" w:cs="Arial"/>
          <w:b/>
          <w:sz w:val="20"/>
          <w:szCs w:val="20"/>
        </w:rPr>
        <w:t>Equation 1</w:t>
      </w:r>
      <w:r w:rsidRPr="00A32732">
        <w:rPr>
          <w:rFonts w:ascii="Arial" w:eastAsia="Times New Roman" w:hAnsi="Arial" w:cs="Arial"/>
          <w:sz w:val="20"/>
          <w:szCs w:val="20"/>
        </w:rPr>
        <w:t xml:space="preserve"> or </w:t>
      </w:r>
      <w:r w:rsidRPr="00A32732">
        <w:rPr>
          <w:rFonts w:ascii="Arial" w:eastAsia="Times New Roman" w:hAnsi="Arial" w:cs="Arial"/>
          <w:b/>
          <w:sz w:val="20"/>
          <w:szCs w:val="20"/>
        </w:rPr>
        <w:t>Equation 2</w:t>
      </w:r>
      <w:r w:rsidRPr="00A32732">
        <w:rPr>
          <w:rFonts w:ascii="Arial" w:eastAsia="Times New Roman" w:hAnsi="Arial" w:cs="Arial"/>
          <w:sz w:val="20"/>
          <w:szCs w:val="20"/>
        </w:rPr>
        <w:t xml:space="preserve"> in </w:t>
      </w:r>
      <w:r w:rsidRPr="00A32732">
        <w:rPr>
          <w:rFonts w:ascii="Arial" w:eastAsia="Times New Roman" w:hAnsi="Arial" w:cs="Arial"/>
          <w:b/>
          <w:sz w:val="20"/>
          <w:szCs w:val="20"/>
        </w:rPr>
        <w:t>Appendix 7</w:t>
      </w:r>
      <w:r w:rsidRPr="00A32732">
        <w:rPr>
          <w:rFonts w:ascii="Arial" w:eastAsia="Times New Roman" w:hAnsi="Arial" w:cs="Arial"/>
          <w:sz w:val="20"/>
          <w:szCs w:val="20"/>
        </w:rPr>
        <w:t xml:space="preserve"> and using the average NMOC concentration from the collected samples (</w:t>
      </w:r>
      <w:r w:rsidRPr="00A32732">
        <w:rPr>
          <w:rFonts w:ascii="Arial" w:eastAsia="Times New Roman" w:hAnsi="Arial" w:cs="Arial"/>
          <w:b/>
          <w:sz w:val="20"/>
          <w:szCs w:val="20"/>
        </w:rPr>
        <w:t xml:space="preserve">Tier 2 </w:t>
      </w:r>
      <w:r w:rsidRPr="00A32732">
        <w:rPr>
          <w:rFonts w:ascii="Arial" w:eastAsia="Times New Roman" w:hAnsi="Arial" w:cs="Arial"/>
          <w:sz w:val="20"/>
          <w:szCs w:val="20"/>
        </w:rPr>
        <w:t xml:space="preserve">testing in </w:t>
      </w:r>
      <w:r w:rsidRPr="00A32732">
        <w:rPr>
          <w:rFonts w:ascii="Arial" w:eastAsia="Times New Roman" w:hAnsi="Arial" w:cs="Arial"/>
          <w:b/>
          <w:sz w:val="20"/>
          <w:szCs w:val="20"/>
        </w:rPr>
        <w:t>Appendix 5</w:t>
      </w:r>
      <w:r w:rsidRPr="00A32732">
        <w:rPr>
          <w:rFonts w:ascii="Arial" w:eastAsia="Times New Roman" w:hAnsi="Arial" w:cs="Arial"/>
          <w:sz w:val="20"/>
          <w:szCs w:val="20"/>
        </w:rPr>
        <w:t xml:space="preserve">) instead of the default value in the equation provided in 40 CFR 60.764(a)(1).  </w:t>
      </w:r>
      <w:r w:rsidRPr="00A32732">
        <w:rPr>
          <w:rFonts w:ascii="Arial" w:eastAsia="Times New Roman" w:hAnsi="Arial" w:cs="Arial"/>
          <w:b/>
          <w:sz w:val="20"/>
          <w:szCs w:val="20"/>
        </w:rPr>
        <w:t>(40 CFR 60.764(a)(3)(i))</w:t>
      </w:r>
    </w:p>
    <w:p w14:paraId="48EEC9CA" w14:textId="77777777"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If the resulting </w:t>
      </w:r>
      <w:r w:rsidRPr="00A32732">
        <w:rPr>
          <w:rFonts w:ascii="Arial" w:eastAsia="Times New Roman" w:hAnsi="Arial" w:cs="Arial"/>
          <w:b/>
          <w:sz w:val="20"/>
          <w:szCs w:val="20"/>
        </w:rPr>
        <w:t>Tier 2</w:t>
      </w:r>
      <w:r w:rsidRPr="00A32732">
        <w:rPr>
          <w:rFonts w:ascii="Arial" w:eastAsia="Times New Roman" w:hAnsi="Arial" w:cs="Arial"/>
          <w:sz w:val="20"/>
          <w:szCs w:val="20"/>
        </w:rPr>
        <w:t xml:space="preserve"> NMOC mass emission rate is less than 34 Mg per year, the permittee must submit a periodic estimate of NMOC emissions in an NMOC emission rate report as provided in 40 CFR 60.767(b)(1) and must </w:t>
      </w:r>
      <w:r w:rsidRPr="00A32732">
        <w:rPr>
          <w:rFonts w:ascii="Arial" w:eastAsia="Times New Roman" w:hAnsi="Arial" w:cs="Arial"/>
          <w:sz w:val="20"/>
          <w:szCs w:val="20"/>
        </w:rPr>
        <w:lastRenderedPageBreak/>
        <w:t xml:space="preserve">recalculate the NMOC mass emission rate annually as required under 40 CFR 60.762(b).  The site-specific NMOC concentration must be retested every 5 years.  </w:t>
      </w:r>
      <w:r w:rsidRPr="00A32732">
        <w:rPr>
          <w:rFonts w:ascii="Arial" w:eastAsia="Times New Roman" w:hAnsi="Arial" w:cs="Arial"/>
          <w:b/>
          <w:bCs/>
          <w:sz w:val="20"/>
          <w:szCs w:val="20"/>
        </w:rPr>
        <w:t>(</w:t>
      </w:r>
      <w:r w:rsidRPr="00A32732">
        <w:rPr>
          <w:rFonts w:ascii="Arial" w:eastAsia="Times New Roman" w:hAnsi="Arial" w:cs="Arial"/>
          <w:b/>
          <w:bCs/>
          <w:color w:val="333333"/>
          <w:sz w:val="20"/>
          <w:szCs w:val="20"/>
          <w:shd w:val="clear" w:color="auto" w:fill="FFFFFF"/>
        </w:rPr>
        <w:t>40 CFR 60.764(a)(3)(iii)</w:t>
      </w:r>
      <w:r w:rsidRPr="00A32732">
        <w:rPr>
          <w:rFonts w:ascii="Arial" w:eastAsia="Times New Roman" w:hAnsi="Arial" w:cs="Arial"/>
          <w:b/>
          <w:bCs/>
          <w:sz w:val="20"/>
          <w:szCs w:val="20"/>
        </w:rPr>
        <w:t>)</w:t>
      </w:r>
    </w:p>
    <w:p w14:paraId="0BC03862" w14:textId="0CB7FD0A" w:rsidR="00A32732" w:rsidRPr="00A32732" w:rsidRDefault="00000000" w:rsidP="00845853">
      <w:pPr>
        <w:spacing w:before="120" w:after="120"/>
        <w:rPr>
          <w:rFonts w:ascii="Arial" w:eastAsia="Times New Roman" w:hAnsi="Arial" w:cs="Arial"/>
          <w:sz w:val="20"/>
          <w:szCs w:val="20"/>
        </w:rPr>
      </w:pPr>
      <w:r w:rsidRPr="00A32732">
        <w:rPr>
          <w:rFonts w:ascii="Arial" w:eastAsia="Times New Roman" w:hAnsi="Arial" w:cs="Arial"/>
          <w:sz w:val="20"/>
          <w:szCs w:val="20"/>
        </w:rPr>
        <w:t>If the NMOC mass emission rate as calculated using the Tier 2 site-specific NMOC concentration is equal to or greater than 34 Mg per year, then the permittee must either:</w:t>
      </w:r>
    </w:p>
    <w:p w14:paraId="683FAD97" w14:textId="77777777" w:rsidR="00A32732" w:rsidRPr="00A32732" w:rsidRDefault="00000000" w:rsidP="00845853">
      <w:pPr>
        <w:numPr>
          <w:ilvl w:val="0"/>
          <w:numId w:val="10"/>
        </w:numPr>
        <w:spacing w:before="120" w:after="120"/>
        <w:rPr>
          <w:rFonts w:ascii="Arial" w:eastAsia="Calibri" w:hAnsi="Arial" w:cs="Arial"/>
          <w:b/>
          <w:sz w:val="20"/>
        </w:rPr>
      </w:pPr>
      <w:r w:rsidRPr="00A32732">
        <w:rPr>
          <w:rFonts w:ascii="Arial" w:eastAsia="Calibri" w:hAnsi="Arial" w:cs="Arial"/>
          <w:sz w:val="20"/>
        </w:rPr>
        <w:t xml:space="preserve">Comply with 40 CFR 60.767(c) (submit a gas collection and control system design plan prepared by a professional engineer within 1 year); </w:t>
      </w:r>
      <w:r w:rsidRPr="00A32732">
        <w:rPr>
          <w:rFonts w:ascii="Arial" w:eastAsia="Calibri" w:hAnsi="Arial" w:cs="Arial"/>
          <w:bCs/>
          <w:sz w:val="20"/>
        </w:rPr>
        <w:t xml:space="preserve"> </w:t>
      </w:r>
      <w:r w:rsidRPr="00A32732">
        <w:rPr>
          <w:rFonts w:ascii="Arial" w:eastAsia="Calibri" w:hAnsi="Arial" w:cs="Arial"/>
          <w:b/>
          <w:sz w:val="20"/>
        </w:rPr>
        <w:t>(</w:t>
      </w:r>
      <w:r w:rsidRPr="00A32732">
        <w:rPr>
          <w:rFonts w:ascii="Arial" w:eastAsia="Calibri" w:hAnsi="Arial" w:cs="Arial"/>
          <w:b/>
          <w:sz w:val="20"/>
          <w:shd w:val="clear" w:color="auto" w:fill="FFFFFF"/>
        </w:rPr>
        <w:t>40 CFR 60.764(a)(3)(iv)(A))</w:t>
      </w:r>
      <w:r w:rsidRPr="00A32732">
        <w:rPr>
          <w:rFonts w:ascii="Arial" w:eastAsia="Calibri" w:hAnsi="Arial" w:cs="Arial"/>
          <w:sz w:val="20"/>
        </w:rPr>
        <w:t xml:space="preserve"> or </w:t>
      </w:r>
    </w:p>
    <w:p w14:paraId="6DF35737" w14:textId="77777777" w:rsidR="00A32732" w:rsidRPr="00A32732" w:rsidRDefault="00000000" w:rsidP="00845853">
      <w:pPr>
        <w:numPr>
          <w:ilvl w:val="0"/>
          <w:numId w:val="10"/>
        </w:numPr>
        <w:spacing w:before="120" w:after="120"/>
        <w:rPr>
          <w:rFonts w:ascii="Arial" w:eastAsia="Calibri" w:hAnsi="Arial" w:cs="Arial"/>
          <w:b/>
          <w:sz w:val="20"/>
        </w:rPr>
      </w:pPr>
      <w:r w:rsidRPr="00A32732">
        <w:rPr>
          <w:rFonts w:ascii="Arial" w:eastAsia="Calibri" w:hAnsi="Arial" w:cs="Arial"/>
          <w:sz w:val="20"/>
        </w:rPr>
        <w:t xml:space="preserve">Determine the site-specific methane generation rate constant and recalculate the NMOC emission rate using the site-specific methane generation rate using the procedure specified in </w:t>
      </w:r>
      <w:r w:rsidRPr="00A32732">
        <w:rPr>
          <w:rFonts w:ascii="Arial" w:eastAsia="Calibri" w:hAnsi="Arial" w:cs="Arial"/>
          <w:b/>
          <w:sz w:val="20"/>
        </w:rPr>
        <w:t>Tier 3</w:t>
      </w:r>
      <w:r w:rsidRPr="00A32732">
        <w:rPr>
          <w:rFonts w:ascii="Arial" w:eastAsia="Calibri" w:hAnsi="Arial" w:cs="Arial"/>
          <w:sz w:val="20"/>
        </w:rPr>
        <w:t xml:space="preserve"> (</w:t>
      </w:r>
      <w:r w:rsidRPr="00A32732">
        <w:rPr>
          <w:rFonts w:ascii="Arial" w:eastAsia="Calibri" w:hAnsi="Arial" w:cs="Arial"/>
          <w:sz w:val="20"/>
          <w:shd w:val="clear" w:color="auto" w:fill="FFFFFF"/>
        </w:rPr>
        <w:t>40 CFR 60.764(a)(4);</w:t>
      </w:r>
      <w:r w:rsidRPr="00A32732">
        <w:rPr>
          <w:rFonts w:ascii="Arial" w:eastAsia="Calibri" w:hAnsi="Arial" w:cs="Arial"/>
          <w:sz w:val="20"/>
        </w:rPr>
        <w:t xml:space="preserve">  </w:t>
      </w:r>
      <w:r w:rsidRPr="00A32732">
        <w:rPr>
          <w:rFonts w:ascii="Arial" w:eastAsia="Calibri" w:hAnsi="Arial" w:cs="Arial"/>
          <w:b/>
          <w:sz w:val="20"/>
        </w:rPr>
        <w:t>(</w:t>
      </w:r>
      <w:r w:rsidRPr="00A32732">
        <w:rPr>
          <w:rFonts w:ascii="Arial" w:eastAsia="Calibri" w:hAnsi="Arial" w:cs="Arial"/>
          <w:b/>
          <w:bCs/>
          <w:sz w:val="20"/>
          <w:shd w:val="clear" w:color="auto" w:fill="FFFFFF"/>
        </w:rPr>
        <w:t>40 CFR 60.764(a)(3)(iv)(B)</w:t>
      </w:r>
      <w:r w:rsidRPr="00A32732">
        <w:rPr>
          <w:rFonts w:ascii="Arial" w:eastAsia="Calibri" w:hAnsi="Arial" w:cs="Arial"/>
          <w:b/>
          <w:bCs/>
          <w:sz w:val="20"/>
        </w:rPr>
        <w:t xml:space="preserve">) </w:t>
      </w:r>
      <w:r w:rsidRPr="00A32732">
        <w:rPr>
          <w:rFonts w:ascii="Arial" w:eastAsia="Calibri" w:hAnsi="Arial" w:cs="Arial"/>
          <w:sz w:val="20"/>
        </w:rPr>
        <w:t>or</w:t>
      </w:r>
    </w:p>
    <w:p w14:paraId="2B65BF42" w14:textId="77777777" w:rsidR="00A32732" w:rsidRPr="00A32732" w:rsidRDefault="00000000" w:rsidP="00845853">
      <w:pPr>
        <w:numPr>
          <w:ilvl w:val="0"/>
          <w:numId w:val="10"/>
        </w:numPr>
        <w:spacing w:before="120"/>
        <w:ind w:left="778"/>
        <w:rPr>
          <w:rFonts w:ascii="Arial" w:eastAsia="Calibri" w:hAnsi="Arial" w:cs="Arial"/>
          <w:b/>
          <w:sz w:val="20"/>
        </w:rPr>
      </w:pPr>
      <w:r w:rsidRPr="00A32732">
        <w:rPr>
          <w:rFonts w:ascii="Arial" w:eastAsia="Calibri" w:hAnsi="Arial" w:cs="Arial"/>
          <w:sz w:val="20"/>
        </w:rPr>
        <w:t xml:space="preserve">Conduct a surface emission monitoring demonstration using the Tier 4 procedures specified in </w:t>
      </w:r>
      <w:r w:rsidRPr="00A32732">
        <w:rPr>
          <w:rFonts w:ascii="Arial" w:eastAsia="Calibri" w:hAnsi="Arial" w:cs="Arial"/>
          <w:sz w:val="20"/>
          <w:shd w:val="clear" w:color="auto" w:fill="FFFFFF"/>
        </w:rPr>
        <w:t>40 CFR 60.764(a)(6)</w:t>
      </w:r>
      <w:r w:rsidRPr="00A32732">
        <w:rPr>
          <w:rFonts w:ascii="Arial" w:eastAsia="Calibri" w:hAnsi="Arial" w:cs="Arial"/>
          <w:sz w:val="20"/>
        </w:rPr>
        <w:t xml:space="preserve">. </w:t>
      </w:r>
      <w:r w:rsidRPr="00A32732">
        <w:rPr>
          <w:rFonts w:ascii="Arial" w:eastAsia="Calibri" w:hAnsi="Arial" w:cs="Arial"/>
          <w:b/>
          <w:bCs/>
          <w:sz w:val="20"/>
        </w:rPr>
        <w:t xml:space="preserve"> </w:t>
      </w:r>
      <w:bookmarkStart w:id="48" w:name="_Hlk101250602"/>
      <w:r w:rsidRPr="00A32732">
        <w:rPr>
          <w:rFonts w:ascii="Arial" w:eastAsia="Calibri" w:hAnsi="Arial" w:cs="Arial"/>
          <w:b/>
          <w:sz w:val="20"/>
        </w:rPr>
        <w:t>(</w:t>
      </w:r>
      <w:r w:rsidRPr="00A32732">
        <w:rPr>
          <w:rFonts w:ascii="Arial" w:eastAsia="Calibri" w:hAnsi="Arial" w:cs="Arial"/>
          <w:b/>
          <w:sz w:val="20"/>
          <w:shd w:val="clear" w:color="auto" w:fill="FFFFFF"/>
        </w:rPr>
        <w:t>40 CFR 60.764(a)(3)(iv)(C)</w:t>
      </w:r>
      <w:r w:rsidRPr="00A32732">
        <w:rPr>
          <w:rFonts w:ascii="Arial" w:eastAsia="Calibri" w:hAnsi="Arial" w:cs="Arial"/>
          <w:b/>
          <w:sz w:val="20"/>
        </w:rPr>
        <w:t>)</w:t>
      </w:r>
      <w:bookmarkEnd w:id="48"/>
    </w:p>
    <w:p w14:paraId="040C877B" w14:textId="77777777" w:rsidR="00A32732" w:rsidRPr="00A32732" w:rsidRDefault="00000000" w:rsidP="00845853">
      <w:pPr>
        <w:pStyle w:val="Caption3"/>
      </w:pPr>
      <w:r w:rsidRPr="00A32732">
        <w:t>Tier 3</w:t>
      </w:r>
    </w:p>
    <w:p w14:paraId="3C25C19A" w14:textId="460DEBBC"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If the NMOC mass emission rate is less than 34 Mg per year, then the permittee must submit a periodic emission rate report as provided in 40 CFR 60.7</w:t>
      </w:r>
      <w:r w:rsidR="00173D3D">
        <w:rPr>
          <w:rFonts w:ascii="Arial" w:eastAsia="Times New Roman" w:hAnsi="Arial" w:cs="Arial"/>
          <w:sz w:val="20"/>
          <w:szCs w:val="20"/>
        </w:rPr>
        <w:t>6</w:t>
      </w:r>
      <w:r w:rsidRPr="00A32732">
        <w:rPr>
          <w:rFonts w:ascii="Arial" w:eastAsia="Times New Roman" w:hAnsi="Arial" w:cs="Arial"/>
          <w:sz w:val="20"/>
          <w:szCs w:val="20"/>
        </w:rPr>
        <w:t>7(b)(1) and must recalculate the NMOC mass emission rate annually, as provided in 40 CFR 60.7</w:t>
      </w:r>
      <w:r w:rsidR="00173D3D">
        <w:rPr>
          <w:rFonts w:ascii="Arial" w:eastAsia="Times New Roman" w:hAnsi="Arial" w:cs="Arial"/>
          <w:sz w:val="20"/>
          <w:szCs w:val="20"/>
        </w:rPr>
        <w:t>6</w:t>
      </w:r>
      <w:r w:rsidRPr="00A32732">
        <w:rPr>
          <w:rFonts w:ascii="Arial" w:eastAsia="Times New Roman" w:hAnsi="Arial" w:cs="Arial"/>
          <w:sz w:val="20"/>
          <w:szCs w:val="20"/>
        </w:rPr>
        <w:t xml:space="preserve">7(b)(1) using </w:t>
      </w:r>
      <w:r w:rsidRPr="00A32732">
        <w:rPr>
          <w:rFonts w:ascii="Arial" w:eastAsia="Times New Roman" w:hAnsi="Arial" w:cs="Arial"/>
          <w:b/>
          <w:sz w:val="20"/>
          <w:szCs w:val="20"/>
        </w:rPr>
        <w:t>Equation 1</w:t>
      </w:r>
      <w:r w:rsidRPr="00A32732">
        <w:rPr>
          <w:rFonts w:ascii="Arial" w:eastAsia="Times New Roman" w:hAnsi="Arial" w:cs="Arial"/>
          <w:sz w:val="20"/>
          <w:szCs w:val="20"/>
        </w:rPr>
        <w:t xml:space="preserve"> or </w:t>
      </w:r>
      <w:r w:rsidRPr="00A32732">
        <w:rPr>
          <w:rFonts w:ascii="Arial" w:eastAsia="Times New Roman" w:hAnsi="Arial" w:cs="Arial"/>
          <w:b/>
          <w:sz w:val="20"/>
          <w:szCs w:val="20"/>
        </w:rPr>
        <w:t>Equation 2</w:t>
      </w:r>
      <w:r w:rsidRPr="00A32732">
        <w:rPr>
          <w:rFonts w:ascii="Arial" w:eastAsia="Times New Roman" w:hAnsi="Arial" w:cs="Arial"/>
          <w:sz w:val="20"/>
          <w:szCs w:val="20"/>
        </w:rPr>
        <w:t>, and using the site-specific methane generation rate constant (</w:t>
      </w:r>
      <w:r w:rsidRPr="00A32732">
        <w:rPr>
          <w:rFonts w:ascii="Arial" w:eastAsia="Times New Roman" w:hAnsi="Arial" w:cs="Arial"/>
          <w:b/>
          <w:sz w:val="20"/>
          <w:szCs w:val="20"/>
        </w:rPr>
        <w:t>Tier 3</w:t>
      </w:r>
      <w:r w:rsidRPr="00A32732">
        <w:rPr>
          <w:rFonts w:ascii="Arial" w:eastAsia="Times New Roman" w:hAnsi="Arial" w:cs="Arial"/>
          <w:sz w:val="20"/>
          <w:szCs w:val="20"/>
        </w:rPr>
        <w:t>) and NMOC concentration (</w:t>
      </w:r>
      <w:r w:rsidRPr="00A32732">
        <w:rPr>
          <w:rFonts w:ascii="Arial" w:eastAsia="Times New Roman" w:hAnsi="Arial" w:cs="Arial"/>
          <w:b/>
          <w:sz w:val="20"/>
          <w:szCs w:val="20"/>
        </w:rPr>
        <w:t>Tier 2</w:t>
      </w:r>
      <w:r w:rsidRPr="00A32732">
        <w:rPr>
          <w:rFonts w:ascii="Arial" w:eastAsia="Times New Roman" w:hAnsi="Arial" w:cs="Arial"/>
          <w:sz w:val="20"/>
          <w:szCs w:val="20"/>
        </w:rPr>
        <w:t>) obtained in 40 CFR 60.764(a)(3).  The calculation of the methane generation rate constant (</w:t>
      </w:r>
      <w:r w:rsidRPr="00A32732">
        <w:rPr>
          <w:rFonts w:ascii="Arial" w:eastAsia="Times New Roman" w:hAnsi="Arial" w:cs="Arial"/>
          <w:b/>
          <w:sz w:val="20"/>
          <w:szCs w:val="20"/>
        </w:rPr>
        <w:t>Tier 3</w:t>
      </w:r>
      <w:r w:rsidRPr="00A32732">
        <w:rPr>
          <w:rFonts w:ascii="Arial" w:eastAsia="Times New Roman" w:hAnsi="Arial" w:cs="Arial"/>
          <w:sz w:val="20"/>
          <w:szCs w:val="20"/>
        </w:rPr>
        <w:t xml:space="preserve">) is performed only once, and the value obtained from this test must be used in all subsequent annual NMOC emission rate calculations.  </w:t>
      </w:r>
      <w:r w:rsidRPr="00A32732">
        <w:rPr>
          <w:rFonts w:ascii="Arial" w:eastAsia="Times New Roman" w:hAnsi="Arial" w:cs="Arial"/>
          <w:b/>
          <w:sz w:val="20"/>
          <w:szCs w:val="20"/>
        </w:rPr>
        <w:t>(40 CFR 60.764(a)(4)(ii))</w:t>
      </w:r>
    </w:p>
    <w:p w14:paraId="6106BB0A" w14:textId="77777777" w:rsidR="00A32732" w:rsidRPr="00A32732" w:rsidRDefault="00000000" w:rsidP="00845853">
      <w:pPr>
        <w:pStyle w:val="Caption3"/>
      </w:pPr>
      <w:r w:rsidRPr="00A32732">
        <w:t>Calculating expected gas generation flow rates from the landfill</w:t>
      </w:r>
    </w:p>
    <w:p w14:paraId="5A425BCD" w14:textId="483D9F1F" w:rsidR="00A32732" w:rsidRPr="00A32732" w:rsidRDefault="00000000" w:rsidP="00845853">
      <w:pPr>
        <w:spacing w:before="120"/>
        <w:rPr>
          <w:rFonts w:ascii="Arial" w:eastAsia="Times New Roman" w:hAnsi="Arial" w:cs="Arial"/>
          <w:b/>
          <w:sz w:val="20"/>
          <w:szCs w:val="20"/>
        </w:rPr>
      </w:pPr>
      <w:r w:rsidRPr="00A32732">
        <w:rPr>
          <w:rFonts w:ascii="Arial" w:eastAsia="Times New Roman" w:hAnsi="Arial" w:cs="Arial"/>
          <w:sz w:val="20"/>
          <w:szCs w:val="20"/>
        </w:rPr>
        <w:t>For the purposes of calculating the maximum expected gas generation flow rate from the landfill to determine compliance with 40 CFR 60.7</w:t>
      </w:r>
      <w:r w:rsidR="00173D3D">
        <w:rPr>
          <w:rFonts w:ascii="Arial" w:eastAsia="Times New Roman" w:hAnsi="Arial" w:cs="Arial"/>
          <w:sz w:val="20"/>
          <w:szCs w:val="20"/>
        </w:rPr>
        <w:t>6</w:t>
      </w:r>
      <w:r w:rsidRPr="00A32732">
        <w:rPr>
          <w:rFonts w:ascii="Arial" w:eastAsia="Times New Roman" w:hAnsi="Arial" w:cs="Arial"/>
          <w:sz w:val="20"/>
          <w:szCs w:val="20"/>
        </w:rPr>
        <w:t>2(b)(2)(ii)(A)(</w:t>
      </w:r>
      <w:r w:rsidRPr="00A32732">
        <w:rPr>
          <w:rFonts w:ascii="Arial" w:eastAsia="Times New Roman" w:hAnsi="Arial" w:cs="Arial"/>
          <w:i/>
          <w:iCs/>
          <w:sz w:val="20"/>
          <w:szCs w:val="20"/>
        </w:rPr>
        <w:t>1</w:t>
      </w:r>
      <w:r w:rsidRPr="00A32732">
        <w:rPr>
          <w:rFonts w:ascii="Arial" w:eastAsia="Times New Roman" w:hAnsi="Arial" w:cs="Arial"/>
          <w:sz w:val="20"/>
          <w:szCs w:val="20"/>
        </w:rPr>
        <w:t xml:space="preserve">), either </w:t>
      </w:r>
      <w:r w:rsidRPr="00A32732">
        <w:rPr>
          <w:rFonts w:ascii="Arial" w:eastAsia="Times New Roman" w:hAnsi="Arial" w:cs="Arial"/>
          <w:b/>
          <w:sz w:val="20"/>
          <w:szCs w:val="20"/>
        </w:rPr>
        <w:t>Equation 3</w:t>
      </w:r>
      <w:r w:rsidRPr="00A32732">
        <w:rPr>
          <w:rFonts w:ascii="Arial" w:eastAsia="Times New Roman" w:hAnsi="Arial" w:cs="Arial"/>
          <w:sz w:val="20"/>
          <w:szCs w:val="20"/>
        </w:rPr>
        <w:t xml:space="preserve"> or </w:t>
      </w:r>
      <w:r w:rsidRPr="00A32732">
        <w:rPr>
          <w:rFonts w:ascii="Arial" w:eastAsia="Times New Roman" w:hAnsi="Arial" w:cs="Arial"/>
          <w:b/>
          <w:sz w:val="20"/>
          <w:szCs w:val="20"/>
        </w:rPr>
        <w:t>Equation 4</w:t>
      </w:r>
      <w:r w:rsidRPr="00A32732">
        <w:rPr>
          <w:rFonts w:ascii="Arial" w:eastAsia="Times New Roman" w:hAnsi="Arial" w:cs="Arial"/>
          <w:sz w:val="20"/>
          <w:szCs w:val="20"/>
        </w:rPr>
        <w:t>, below, must be used.  The k and L</w:t>
      </w:r>
      <w:r w:rsidRPr="00A32732">
        <w:rPr>
          <w:rFonts w:ascii="Arial" w:eastAsia="Times New Roman" w:hAnsi="Arial" w:cs="Arial"/>
          <w:sz w:val="20"/>
          <w:szCs w:val="20"/>
          <w:vertAlign w:val="subscript"/>
        </w:rPr>
        <w:t>o</w:t>
      </w:r>
      <w:r w:rsidRPr="00A32732">
        <w:rPr>
          <w:rFonts w:ascii="Arial" w:eastAsia="Times New Roman" w:hAnsi="Arial" w:cs="Arial"/>
          <w:sz w:val="20"/>
          <w:szCs w:val="20"/>
        </w:rPr>
        <w:t xml:space="preserve"> kinetic factors should be those published in the most recent Compilation of Air Pollutant Emission Factors (AP-42) or other site-specific values demonstrated to be appropriate and approved by the </w:t>
      </w:r>
      <w:r w:rsidR="00CC34E1">
        <w:rPr>
          <w:rFonts w:ascii="Arial" w:eastAsia="Times New Roman" w:hAnsi="Arial" w:cs="Arial"/>
          <w:sz w:val="20"/>
          <w:szCs w:val="20"/>
        </w:rPr>
        <w:t xml:space="preserve">USEPA </w:t>
      </w:r>
      <w:r w:rsidRPr="00A32732">
        <w:rPr>
          <w:rFonts w:ascii="Arial" w:eastAsia="Times New Roman" w:hAnsi="Arial" w:cs="Arial"/>
          <w:sz w:val="20"/>
          <w:szCs w:val="20"/>
        </w:rPr>
        <w:t xml:space="preserve">Administrator.  If k has been determined as specified in 40 CFR 60.764(a)(4), the value of k determined from the test must be used.  A value of no more than 15 years must be used for the intended use period of the gas mover equipment.  The active life of the landfill is the age of the landfill plus the estimated number of years until closure.  </w:t>
      </w:r>
      <w:r w:rsidRPr="00A32732">
        <w:rPr>
          <w:rFonts w:ascii="Arial" w:eastAsia="Times New Roman" w:hAnsi="Arial" w:cs="Arial"/>
          <w:b/>
          <w:sz w:val="20"/>
          <w:szCs w:val="20"/>
        </w:rPr>
        <w:t>(40 CFR 60.7</w:t>
      </w:r>
      <w:r w:rsidR="00173D3D">
        <w:rPr>
          <w:rFonts w:ascii="Arial" w:eastAsia="Times New Roman" w:hAnsi="Arial" w:cs="Arial"/>
          <w:b/>
          <w:sz w:val="20"/>
          <w:szCs w:val="20"/>
        </w:rPr>
        <w:t>6</w:t>
      </w:r>
      <w:r w:rsidRPr="00A32732">
        <w:rPr>
          <w:rFonts w:ascii="Arial" w:eastAsia="Times New Roman" w:hAnsi="Arial" w:cs="Arial"/>
          <w:b/>
          <w:sz w:val="20"/>
          <w:szCs w:val="20"/>
        </w:rPr>
        <w:t>5(a)(1))</w:t>
      </w:r>
    </w:p>
    <w:p w14:paraId="3EC8BA43" w14:textId="1A87631C" w:rsidR="00A32732" w:rsidRPr="00A32732" w:rsidRDefault="00000000" w:rsidP="00845853">
      <w:pPr>
        <w:spacing w:before="120"/>
        <w:rPr>
          <w:rFonts w:ascii="Arial" w:eastAsia="Times New Roman" w:hAnsi="Arial" w:cs="Arial"/>
          <w:sz w:val="20"/>
          <w:szCs w:val="20"/>
        </w:rPr>
      </w:pPr>
      <w:r w:rsidRPr="00A32732">
        <w:rPr>
          <w:rFonts w:ascii="Arial" w:eastAsia="Times New Roman" w:hAnsi="Arial" w:cs="Arial"/>
          <w:sz w:val="20"/>
          <w:szCs w:val="20"/>
        </w:rPr>
        <w:t xml:space="preserve">If a collection and control system has been installed, actual flow data may be used to project the maximum expected gas generation flow rate instead of, or in conjunction with, </w:t>
      </w:r>
      <w:r w:rsidRPr="00A32732">
        <w:rPr>
          <w:rFonts w:ascii="Arial" w:eastAsia="Times New Roman" w:hAnsi="Arial" w:cs="Arial"/>
          <w:b/>
          <w:sz w:val="20"/>
          <w:szCs w:val="20"/>
        </w:rPr>
        <w:t xml:space="preserve">Equation 3 </w:t>
      </w:r>
      <w:r w:rsidRPr="00A32732">
        <w:rPr>
          <w:rFonts w:ascii="Arial" w:eastAsia="Times New Roman" w:hAnsi="Arial" w:cs="Arial"/>
          <w:sz w:val="20"/>
          <w:szCs w:val="20"/>
        </w:rPr>
        <w:t>or</w:t>
      </w:r>
      <w:r w:rsidRPr="00A32732">
        <w:rPr>
          <w:rFonts w:ascii="Arial" w:eastAsia="Times New Roman" w:hAnsi="Arial" w:cs="Arial"/>
          <w:b/>
          <w:sz w:val="20"/>
          <w:szCs w:val="20"/>
        </w:rPr>
        <w:t xml:space="preserve"> Equation 4</w:t>
      </w:r>
      <w:r w:rsidRPr="00A32732">
        <w:rPr>
          <w:rFonts w:ascii="Arial" w:eastAsia="Times New Roman" w:hAnsi="Arial" w:cs="Arial"/>
          <w:sz w:val="20"/>
          <w:szCs w:val="20"/>
        </w:rPr>
        <w:t xml:space="preserve">.  If the landfill is still accepting waste, the actual measured flow data will not equal the maximum expected gas generation rate, so calculations using </w:t>
      </w:r>
      <w:r w:rsidRPr="00A32732">
        <w:rPr>
          <w:rFonts w:ascii="Arial" w:eastAsia="Times New Roman" w:hAnsi="Arial" w:cs="Arial"/>
          <w:b/>
          <w:sz w:val="20"/>
          <w:szCs w:val="20"/>
        </w:rPr>
        <w:t xml:space="preserve">Equation 3 </w:t>
      </w:r>
      <w:r w:rsidRPr="00A32732">
        <w:rPr>
          <w:rFonts w:ascii="Arial" w:eastAsia="Times New Roman" w:hAnsi="Arial" w:cs="Arial"/>
          <w:sz w:val="20"/>
          <w:szCs w:val="20"/>
        </w:rPr>
        <w:t>or</w:t>
      </w:r>
      <w:r w:rsidRPr="00A32732">
        <w:rPr>
          <w:rFonts w:ascii="Arial" w:eastAsia="Times New Roman" w:hAnsi="Arial" w:cs="Arial"/>
          <w:b/>
          <w:sz w:val="20"/>
          <w:szCs w:val="20"/>
        </w:rPr>
        <w:t xml:space="preserve"> Equation 4 </w:t>
      </w:r>
      <w:r w:rsidRPr="00A32732">
        <w:rPr>
          <w:rFonts w:ascii="Arial" w:eastAsia="Times New Roman" w:hAnsi="Arial" w:cs="Arial"/>
          <w:sz w:val="20"/>
          <w:szCs w:val="20"/>
        </w:rPr>
        <w:t xml:space="preserve">or other methods must be used to predict the maximum expected gas generation rate over the intended period of use of the gas control system equipment.  </w:t>
      </w:r>
      <w:r w:rsidRPr="00A32732">
        <w:rPr>
          <w:rFonts w:ascii="Arial" w:eastAsia="Times New Roman" w:hAnsi="Arial" w:cs="Arial"/>
          <w:b/>
          <w:sz w:val="20"/>
          <w:szCs w:val="20"/>
        </w:rPr>
        <w:t>(40 CFR 60.7</w:t>
      </w:r>
      <w:r w:rsidR="00173D3D">
        <w:rPr>
          <w:rFonts w:ascii="Arial" w:eastAsia="Times New Roman" w:hAnsi="Arial" w:cs="Arial"/>
          <w:b/>
          <w:sz w:val="20"/>
          <w:szCs w:val="20"/>
        </w:rPr>
        <w:t>6</w:t>
      </w:r>
      <w:r w:rsidRPr="00A32732">
        <w:rPr>
          <w:rFonts w:ascii="Arial" w:eastAsia="Times New Roman" w:hAnsi="Arial" w:cs="Arial"/>
          <w:b/>
          <w:sz w:val="20"/>
          <w:szCs w:val="20"/>
        </w:rPr>
        <w:t>5(a)(1)(ii))</w:t>
      </w:r>
    </w:p>
    <w:p w14:paraId="359E80AB" w14:textId="77777777" w:rsidR="00A32732" w:rsidRPr="00A32732" w:rsidRDefault="00000000" w:rsidP="00845853">
      <w:pPr>
        <w:pStyle w:val="Caption3"/>
      </w:pPr>
      <w:r w:rsidRPr="00A32732">
        <w:t>Equation 3</w:t>
      </w:r>
    </w:p>
    <w:p w14:paraId="1CBB0248" w14:textId="77777777" w:rsidR="00A32732" w:rsidRPr="00A32732" w:rsidRDefault="00000000" w:rsidP="00845853">
      <w:pPr>
        <w:spacing w:before="100" w:beforeAutospacing="1"/>
        <w:jc w:val="both"/>
        <w:rPr>
          <w:rFonts w:ascii="Arial" w:eastAsia="Times New Roman" w:hAnsi="Arial" w:cs="Arial"/>
          <w:sz w:val="20"/>
          <w:szCs w:val="20"/>
        </w:rPr>
      </w:pPr>
      <w:r w:rsidRPr="00A32732">
        <w:rPr>
          <w:rFonts w:ascii="Arial" w:eastAsia="Times New Roman" w:hAnsi="Arial" w:cs="Arial"/>
          <w:i/>
          <w:sz w:val="20"/>
          <w:szCs w:val="20"/>
        </w:rPr>
        <w:t>For sites with unknown year-to-year solid waste acceptance rate:</w:t>
      </w:r>
      <w:r w:rsidRPr="00A32732">
        <w:rPr>
          <w:rFonts w:ascii="Arial" w:eastAsia="Times New Roman" w:hAnsi="Arial" w:cs="Arial"/>
          <w:sz w:val="20"/>
          <w:szCs w:val="20"/>
        </w:rPr>
        <w:t xml:space="preserve">  </w:t>
      </w:r>
    </w:p>
    <w:p w14:paraId="4D5335AF" w14:textId="77777777" w:rsidR="00A32732" w:rsidRPr="00A32732" w:rsidRDefault="00000000" w:rsidP="00845853">
      <w:pPr>
        <w:spacing w:before="100" w:beforeAutospacing="1"/>
        <w:rPr>
          <w:rFonts w:ascii="Arial" w:eastAsia="Times New Roman" w:hAnsi="Arial" w:cs="Arial"/>
          <w:sz w:val="20"/>
          <w:szCs w:val="20"/>
        </w:rPr>
      </w:pPr>
      <w:r w:rsidRPr="00A32732">
        <w:rPr>
          <w:rFonts w:ascii="Arial" w:eastAsia="Times New Roman" w:hAnsi="Arial" w:cs="Arial"/>
          <w:sz w:val="20"/>
          <w:szCs w:val="20"/>
        </w:rPr>
        <w:t>Q</w:t>
      </w:r>
      <w:r w:rsidRPr="00A32732">
        <w:rPr>
          <w:rFonts w:ascii="Arial" w:eastAsia="Times New Roman" w:hAnsi="Arial" w:cs="Arial"/>
          <w:sz w:val="20"/>
          <w:szCs w:val="20"/>
          <w:vertAlign w:val="subscript"/>
        </w:rPr>
        <w:t>m</w:t>
      </w:r>
      <w:r w:rsidRPr="00A32732">
        <w:rPr>
          <w:rFonts w:ascii="Arial" w:eastAsia="Times New Roman" w:hAnsi="Arial" w:cs="Arial"/>
          <w:sz w:val="20"/>
          <w:szCs w:val="20"/>
        </w:rPr>
        <w:t xml:space="preserve"> = 2L</w:t>
      </w:r>
      <w:r w:rsidRPr="00A32732">
        <w:rPr>
          <w:rFonts w:ascii="Arial" w:eastAsia="Times New Roman" w:hAnsi="Arial" w:cs="Arial"/>
          <w:sz w:val="20"/>
          <w:szCs w:val="20"/>
          <w:vertAlign w:val="subscript"/>
        </w:rPr>
        <w:t>o</w:t>
      </w:r>
      <w:r w:rsidRPr="00A32732">
        <w:rPr>
          <w:rFonts w:ascii="Arial" w:eastAsia="Times New Roman" w:hAnsi="Arial" w:cs="Arial"/>
          <w:sz w:val="20"/>
          <w:szCs w:val="20"/>
        </w:rPr>
        <w:t xml:space="preserve"> R (e</w:t>
      </w:r>
      <w:r w:rsidRPr="00A32732">
        <w:rPr>
          <w:rFonts w:ascii="Arial" w:eastAsia="Times New Roman" w:hAnsi="Arial" w:cs="Arial"/>
          <w:sz w:val="20"/>
          <w:szCs w:val="20"/>
          <w:vertAlign w:val="superscript"/>
        </w:rPr>
        <w:t>−kc</w:t>
      </w:r>
      <w:r w:rsidRPr="00A32732">
        <w:rPr>
          <w:rFonts w:ascii="Arial" w:eastAsia="Times New Roman" w:hAnsi="Arial" w:cs="Arial"/>
          <w:sz w:val="20"/>
          <w:szCs w:val="20"/>
        </w:rPr>
        <w:t xml:space="preserve"> − e</w:t>
      </w:r>
      <w:r w:rsidRPr="00A32732">
        <w:rPr>
          <w:rFonts w:ascii="Arial" w:eastAsia="Times New Roman" w:hAnsi="Arial" w:cs="Arial"/>
          <w:sz w:val="20"/>
          <w:szCs w:val="20"/>
          <w:vertAlign w:val="superscript"/>
        </w:rPr>
        <w:t>−kt</w:t>
      </w:r>
      <w:r w:rsidRPr="00A32732">
        <w:rPr>
          <w:rFonts w:ascii="Arial" w:eastAsia="Times New Roman" w:hAnsi="Arial" w:cs="Arial"/>
          <w:sz w:val="20"/>
          <w:szCs w:val="20"/>
        </w:rPr>
        <w:t>)</w:t>
      </w:r>
    </w:p>
    <w:p w14:paraId="0C3F56E4" w14:textId="77777777" w:rsidR="00A32732" w:rsidRPr="00A32732" w:rsidRDefault="00000000" w:rsidP="00845853">
      <w:pPr>
        <w:spacing w:before="100" w:beforeAutospacing="1"/>
        <w:rPr>
          <w:rFonts w:ascii="Arial" w:eastAsia="Times New Roman" w:hAnsi="Arial" w:cs="Arial"/>
          <w:sz w:val="20"/>
          <w:szCs w:val="20"/>
        </w:rPr>
      </w:pPr>
      <w:r w:rsidRPr="00A32732">
        <w:rPr>
          <w:rFonts w:ascii="Arial" w:eastAsia="Times New Roman" w:hAnsi="Arial" w:cs="Arial"/>
          <w:sz w:val="20"/>
          <w:szCs w:val="20"/>
        </w:rPr>
        <w:t>Where:</w:t>
      </w:r>
    </w:p>
    <w:p w14:paraId="74F513E9" w14:textId="77777777" w:rsidR="00A32732" w:rsidRPr="00A32732" w:rsidRDefault="00000000" w:rsidP="00845853">
      <w:pPr>
        <w:spacing w:after="120"/>
        <w:rPr>
          <w:rFonts w:ascii="Arial" w:eastAsia="Times New Roman" w:hAnsi="Arial" w:cs="Arial"/>
          <w:sz w:val="20"/>
          <w:szCs w:val="20"/>
        </w:rPr>
      </w:pPr>
      <w:r w:rsidRPr="00A32732">
        <w:rPr>
          <w:rFonts w:ascii="Arial" w:eastAsia="Times New Roman" w:hAnsi="Arial" w:cs="Arial"/>
          <w:sz w:val="20"/>
          <w:szCs w:val="20"/>
        </w:rPr>
        <w:t>Q</w:t>
      </w:r>
      <w:r w:rsidRPr="00A32732">
        <w:rPr>
          <w:rFonts w:ascii="Arial" w:eastAsia="Times New Roman" w:hAnsi="Arial" w:cs="Arial"/>
          <w:sz w:val="20"/>
          <w:szCs w:val="20"/>
          <w:vertAlign w:val="subscript"/>
        </w:rPr>
        <w:t>m</w:t>
      </w:r>
      <w:r w:rsidRPr="00A32732">
        <w:rPr>
          <w:rFonts w:ascii="Arial" w:eastAsia="Times New Roman" w:hAnsi="Arial" w:cs="Arial"/>
          <w:sz w:val="20"/>
          <w:szCs w:val="20"/>
        </w:rPr>
        <w:t xml:space="preserve"> = maximum expected gas generation flow rate, cubic meters per year </w:t>
      </w:r>
    </w:p>
    <w:p w14:paraId="7909BC7D" w14:textId="77777777" w:rsidR="00A32732" w:rsidRPr="00A32732" w:rsidRDefault="00000000" w:rsidP="00845853">
      <w:pPr>
        <w:spacing w:after="120"/>
        <w:rPr>
          <w:rFonts w:ascii="Arial" w:eastAsia="Times New Roman" w:hAnsi="Arial" w:cs="Arial"/>
          <w:sz w:val="20"/>
          <w:szCs w:val="20"/>
        </w:rPr>
      </w:pPr>
      <w:r w:rsidRPr="00A32732">
        <w:rPr>
          <w:rFonts w:ascii="Arial" w:eastAsia="Times New Roman" w:hAnsi="Arial" w:cs="Arial"/>
          <w:sz w:val="20"/>
          <w:szCs w:val="20"/>
        </w:rPr>
        <w:t>L</w:t>
      </w:r>
      <w:r w:rsidRPr="00A32732">
        <w:rPr>
          <w:rFonts w:ascii="Arial" w:eastAsia="Times New Roman" w:hAnsi="Arial" w:cs="Arial"/>
          <w:sz w:val="20"/>
          <w:szCs w:val="20"/>
          <w:vertAlign w:val="subscript"/>
        </w:rPr>
        <w:t>o</w:t>
      </w:r>
      <w:r w:rsidRPr="00A32732">
        <w:rPr>
          <w:rFonts w:ascii="Arial" w:eastAsia="Times New Roman" w:hAnsi="Arial" w:cs="Arial"/>
          <w:sz w:val="20"/>
          <w:szCs w:val="20"/>
        </w:rPr>
        <w:t xml:space="preserve"> = methane generation potential, cubic meters per Mg solid waste </w:t>
      </w:r>
    </w:p>
    <w:p w14:paraId="05910884" w14:textId="77777777" w:rsidR="00A32732" w:rsidRPr="00A32732" w:rsidRDefault="00000000" w:rsidP="00845853">
      <w:pPr>
        <w:spacing w:after="120"/>
        <w:rPr>
          <w:rFonts w:ascii="Arial" w:eastAsia="Times New Roman" w:hAnsi="Arial" w:cs="Arial"/>
          <w:sz w:val="20"/>
          <w:szCs w:val="20"/>
        </w:rPr>
      </w:pPr>
      <w:r w:rsidRPr="00A32732">
        <w:rPr>
          <w:rFonts w:ascii="Arial" w:eastAsia="Times New Roman" w:hAnsi="Arial" w:cs="Arial"/>
          <w:sz w:val="20"/>
          <w:szCs w:val="20"/>
        </w:rPr>
        <w:t xml:space="preserve">R = average annual acceptance rate, Mg per year </w:t>
      </w:r>
    </w:p>
    <w:p w14:paraId="2800623B" w14:textId="77777777" w:rsidR="00A32732" w:rsidRPr="00A32732" w:rsidRDefault="00000000" w:rsidP="00845853">
      <w:pPr>
        <w:spacing w:after="120"/>
        <w:rPr>
          <w:rFonts w:ascii="Arial" w:eastAsia="Times New Roman" w:hAnsi="Arial" w:cs="Arial"/>
          <w:sz w:val="20"/>
          <w:szCs w:val="20"/>
        </w:rPr>
      </w:pPr>
      <w:r w:rsidRPr="00A32732">
        <w:rPr>
          <w:rFonts w:ascii="Arial" w:eastAsia="Times New Roman" w:hAnsi="Arial" w:cs="Arial"/>
          <w:sz w:val="20"/>
          <w:szCs w:val="20"/>
        </w:rPr>
        <w:t>k = methane generation rate constant, year</w:t>
      </w:r>
      <w:r w:rsidRPr="00A32732">
        <w:rPr>
          <w:rFonts w:ascii="Arial" w:eastAsia="Times New Roman" w:hAnsi="Arial" w:cs="Arial"/>
          <w:sz w:val="20"/>
          <w:szCs w:val="20"/>
          <w:vertAlign w:val="superscript"/>
        </w:rPr>
        <w:t>−1</w:t>
      </w:r>
      <w:r w:rsidRPr="00A32732">
        <w:rPr>
          <w:rFonts w:ascii="Arial" w:eastAsia="Times New Roman" w:hAnsi="Arial" w:cs="Arial"/>
          <w:sz w:val="20"/>
          <w:szCs w:val="20"/>
        </w:rPr>
        <w:t xml:space="preserve"> </w:t>
      </w:r>
    </w:p>
    <w:p w14:paraId="31C546B4" w14:textId="77777777" w:rsidR="00A32732" w:rsidRPr="00A32732" w:rsidRDefault="00000000" w:rsidP="00845853">
      <w:pPr>
        <w:spacing w:after="120"/>
        <w:rPr>
          <w:rFonts w:ascii="Arial" w:eastAsia="Times New Roman" w:hAnsi="Arial" w:cs="Arial"/>
          <w:sz w:val="20"/>
          <w:szCs w:val="20"/>
        </w:rPr>
      </w:pPr>
      <w:r w:rsidRPr="00A32732">
        <w:rPr>
          <w:rFonts w:ascii="Arial" w:eastAsia="Times New Roman" w:hAnsi="Arial" w:cs="Arial"/>
          <w:sz w:val="20"/>
          <w:szCs w:val="20"/>
        </w:rPr>
        <w:t xml:space="preserve">t = age of the landfill at equipment installation plus the time the owner or operator intends to use the gas mover equipment or active life of the landfill, whichever is less. If the equipment is installed after closure, t is the age of the landfill at installation, years </w:t>
      </w:r>
    </w:p>
    <w:p w14:paraId="783635FD" w14:textId="77777777" w:rsidR="00A32732" w:rsidRPr="00A32732" w:rsidRDefault="00000000" w:rsidP="00845853">
      <w:pPr>
        <w:spacing w:after="0"/>
        <w:rPr>
          <w:rFonts w:ascii="Arial" w:eastAsia="Times New Roman" w:hAnsi="Arial" w:cs="Arial"/>
          <w:sz w:val="20"/>
          <w:szCs w:val="20"/>
        </w:rPr>
      </w:pPr>
      <w:r w:rsidRPr="00A32732">
        <w:rPr>
          <w:rFonts w:ascii="Arial" w:eastAsia="Times New Roman" w:hAnsi="Arial" w:cs="Arial"/>
          <w:sz w:val="20"/>
          <w:szCs w:val="20"/>
        </w:rPr>
        <w:t>c = time since closure, years (for an active landfill c = 0 and e</w:t>
      </w:r>
      <w:r w:rsidRPr="00A32732">
        <w:rPr>
          <w:rFonts w:ascii="Arial" w:eastAsia="Times New Roman" w:hAnsi="Arial" w:cs="Arial"/>
          <w:sz w:val="20"/>
          <w:szCs w:val="20"/>
          <w:vertAlign w:val="superscript"/>
        </w:rPr>
        <w:t>−kc</w:t>
      </w:r>
      <w:r w:rsidRPr="00A32732">
        <w:rPr>
          <w:rFonts w:ascii="Arial" w:eastAsia="Times New Roman" w:hAnsi="Arial" w:cs="Arial"/>
          <w:sz w:val="20"/>
          <w:szCs w:val="20"/>
        </w:rPr>
        <w:t xml:space="preserve"> = 1) </w:t>
      </w:r>
    </w:p>
    <w:p w14:paraId="52C21981" w14:textId="0A86BA53" w:rsidR="00A32732" w:rsidRPr="00A32732" w:rsidRDefault="00000000" w:rsidP="00845853">
      <w:pPr>
        <w:pStyle w:val="Caption3"/>
      </w:pPr>
      <w:r w:rsidRPr="00A32732">
        <w:lastRenderedPageBreak/>
        <w:t>Equation 4</w:t>
      </w:r>
    </w:p>
    <w:p w14:paraId="7B594798" w14:textId="77777777" w:rsidR="00A32732" w:rsidRPr="00A32732" w:rsidRDefault="00000000" w:rsidP="00A32732">
      <w:pPr>
        <w:spacing w:before="100" w:beforeAutospacing="1" w:after="100" w:afterAutospacing="1" w:line="240" w:lineRule="auto"/>
        <w:jc w:val="both"/>
        <w:rPr>
          <w:rFonts w:ascii="Arial" w:eastAsia="Times New Roman" w:hAnsi="Arial" w:cs="Arial"/>
          <w:sz w:val="20"/>
          <w:szCs w:val="20"/>
        </w:rPr>
      </w:pPr>
      <w:r w:rsidRPr="00A32732">
        <w:rPr>
          <w:rFonts w:ascii="Arial" w:eastAsia="Times New Roman" w:hAnsi="Arial" w:cs="Arial"/>
          <w:i/>
          <w:sz w:val="20"/>
          <w:szCs w:val="20"/>
        </w:rPr>
        <w:t>For sites with known year-to-year solid waste acceptance rate</w:t>
      </w:r>
      <w:r w:rsidRPr="00A32732">
        <w:rPr>
          <w:rFonts w:ascii="Arial" w:eastAsia="Times New Roman" w:hAnsi="Arial" w:cs="Arial"/>
          <w:sz w:val="20"/>
          <w:szCs w:val="20"/>
        </w:rPr>
        <w:t xml:space="preserve">: </w:t>
      </w:r>
    </w:p>
    <w:p w14:paraId="2B1C9B57" w14:textId="77777777" w:rsidR="00A32732" w:rsidRPr="00A32732" w:rsidRDefault="00000000" w:rsidP="00A32732">
      <w:pPr>
        <w:spacing w:after="0" w:line="240" w:lineRule="auto"/>
        <w:rPr>
          <w:rFonts w:ascii="Arial" w:eastAsia="Times New Roman" w:hAnsi="Arial" w:cs="Arial"/>
          <w:szCs w:val="20"/>
        </w:rPr>
      </w:pPr>
      <m:oMathPara>
        <m:oMath>
          <m:sSub>
            <m:sSubPr>
              <m:ctrlPr>
                <w:rPr>
                  <w:rFonts w:ascii="Cambria Math" w:eastAsia="Cambria Math" w:hAnsi="Cambria Math" w:cs="Cambria Math"/>
                  <w:i/>
                  <w:sz w:val="24"/>
                  <w:szCs w:val="24"/>
                </w:rPr>
              </m:ctrlPr>
            </m:sSubPr>
            <m:e>
              <m:r>
                <w:rPr>
                  <w:rFonts w:ascii="Cambria Math" w:eastAsia="Cambria Math" w:hAnsi="Cambria Math" w:cs="Cambria Math"/>
                  <w:sz w:val="24"/>
                  <w:szCs w:val="24"/>
                </w:rPr>
                <m:t>Q</m:t>
              </m:r>
            </m:e>
            <m:sub>
              <m:r>
                <w:rPr>
                  <w:rFonts w:ascii="Cambria Math" w:eastAsia="Cambria Math" w:hAnsi="Cambria Math" w:cs="Cambria Math"/>
                  <w:sz w:val="24"/>
                  <w:szCs w:val="24"/>
                </w:rPr>
                <m:t>m</m:t>
              </m:r>
            </m:sub>
          </m:sSub>
          <m:r>
            <w:rPr>
              <w:rFonts w:ascii="Cambria Math" w:eastAsia="Cambria Math" w:hAnsi="Cambria Math" w:cs="Cambria Math"/>
              <w:sz w:val="24"/>
              <w:szCs w:val="24"/>
            </w:rPr>
            <m:t>=</m:t>
          </m:r>
          <m:nary>
            <m:naryPr>
              <m:chr m:val="∑"/>
              <m:grow m:val="1"/>
              <m:ctrlPr>
                <w:rPr>
                  <w:rFonts w:ascii="Cambria Math" w:eastAsia="Times New Roman" w:hAnsi="Cambria Math" w:cs="Times New Roman"/>
                  <w:sz w:val="24"/>
                  <w:szCs w:val="24"/>
                </w:rPr>
              </m:ctrlPr>
            </m:naryPr>
            <m:sub>
              <m:r>
                <w:rPr>
                  <w:rFonts w:ascii="Cambria Math" w:eastAsia="Cambria Math" w:hAnsi="Cambria Math" w:cs="Cambria Math"/>
                  <w:sz w:val="24"/>
                  <w:szCs w:val="24"/>
                </w:rPr>
                <m:t>i=l</m:t>
              </m:r>
            </m:sub>
            <m:sup>
              <m:r>
                <w:rPr>
                  <w:rFonts w:ascii="Cambria Math" w:eastAsia="Cambria Math" w:hAnsi="Cambria Math" w:cs="Cambria Math"/>
                  <w:sz w:val="24"/>
                  <w:szCs w:val="24"/>
                </w:rPr>
                <m:t>n</m:t>
              </m:r>
            </m:sup>
            <m:e>
              <m:r>
                <w:rPr>
                  <w:rFonts w:ascii="Cambria Math" w:eastAsia="Times New Roman" w:hAnsi="Cambria Math" w:cs="Times New Roman"/>
                  <w:sz w:val="24"/>
                  <w:szCs w:val="24"/>
                </w:rPr>
                <m:t>2 k</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L</m:t>
                  </m:r>
                </m:e>
                <m:sub>
                  <m:r>
                    <w:rPr>
                      <w:rFonts w:ascii="Cambria Math" w:eastAsia="Times New Roman" w:hAnsi="Cambria Math" w:cs="Times New Roman"/>
                      <w:sz w:val="24"/>
                      <w:szCs w:val="24"/>
                    </w:rPr>
                    <m:t>o</m:t>
                  </m:r>
                </m:sub>
              </m:s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i</m:t>
                  </m:r>
                </m:sub>
              </m:sSub>
              <m:d>
                <m:dPr>
                  <m:ctrlPr>
                    <w:rPr>
                      <w:rFonts w:ascii="Cambria Math" w:eastAsia="Times New Roman" w:hAnsi="Cambria Math" w:cs="Times New Roman"/>
                      <w:sz w:val="24"/>
                      <w:szCs w:val="24"/>
                    </w:rPr>
                  </m:ctrlPr>
                </m:dPr>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e</m:t>
                      </m:r>
                    </m:e>
                    <m:sup>
                      <m:r>
                        <w:rPr>
                          <w:rFonts w:ascii="Cambria Math" w:eastAsia="Times New Roman" w:hAnsi="Cambria Math" w:cs="Times New Roman"/>
                          <w:sz w:val="24"/>
                          <w:szCs w:val="24"/>
                        </w:rPr>
                        <m:t>-kt</m:t>
                      </m:r>
                      <m:r>
                        <w:rPr>
                          <w:rFonts w:ascii="Cambria Math" w:eastAsia="Times New Roman" w:hAnsi="Cambria Math" w:cs="Times New Roman"/>
                          <w:position w:val="-6"/>
                          <w:sz w:val="24"/>
                          <w:szCs w:val="24"/>
                        </w:rPr>
                        <m:t>i</m:t>
                      </m:r>
                    </m:sup>
                  </m:sSup>
                </m:e>
              </m:d>
            </m:e>
          </m:nary>
        </m:oMath>
      </m:oMathPara>
    </w:p>
    <w:p w14:paraId="03801BAC" w14:textId="77777777" w:rsidR="00A32732" w:rsidRPr="00A32732" w:rsidRDefault="00000000" w:rsidP="00A32732">
      <w:pPr>
        <w:spacing w:before="100" w:beforeAutospacing="1" w:after="100" w:afterAutospacing="1" w:line="240" w:lineRule="auto"/>
        <w:jc w:val="both"/>
        <w:rPr>
          <w:rFonts w:ascii="Arial" w:eastAsia="Times New Roman" w:hAnsi="Arial" w:cs="Arial"/>
          <w:sz w:val="20"/>
          <w:szCs w:val="20"/>
        </w:rPr>
      </w:pPr>
      <w:r w:rsidRPr="00A32732">
        <w:rPr>
          <w:rFonts w:ascii="Arial" w:eastAsia="Times New Roman" w:hAnsi="Arial" w:cs="Arial"/>
          <w:sz w:val="20"/>
          <w:szCs w:val="20"/>
        </w:rPr>
        <w:t xml:space="preserve">Where, </w:t>
      </w:r>
    </w:p>
    <w:p w14:paraId="64B23866" w14:textId="77777777" w:rsidR="00A32732" w:rsidRPr="00A32732" w:rsidRDefault="00000000" w:rsidP="00A32732">
      <w:pPr>
        <w:spacing w:after="120" w:line="240" w:lineRule="auto"/>
        <w:jc w:val="both"/>
        <w:rPr>
          <w:rFonts w:ascii="Arial" w:eastAsia="Times New Roman" w:hAnsi="Arial" w:cs="Arial"/>
          <w:sz w:val="20"/>
          <w:szCs w:val="20"/>
        </w:rPr>
      </w:pPr>
      <w:r w:rsidRPr="00A32732">
        <w:rPr>
          <w:rFonts w:ascii="Arial" w:eastAsia="Times New Roman" w:hAnsi="Arial" w:cs="Arial"/>
          <w:sz w:val="20"/>
          <w:szCs w:val="20"/>
        </w:rPr>
        <w:t>Q</w:t>
      </w:r>
      <w:r w:rsidRPr="00A32732">
        <w:rPr>
          <w:rFonts w:ascii="Arial" w:eastAsia="Times New Roman" w:hAnsi="Arial" w:cs="Arial"/>
          <w:sz w:val="20"/>
          <w:szCs w:val="20"/>
          <w:vertAlign w:val="subscript"/>
        </w:rPr>
        <w:t>M</w:t>
      </w:r>
      <w:r w:rsidRPr="00A32732">
        <w:rPr>
          <w:rFonts w:ascii="Arial" w:eastAsia="Times New Roman" w:hAnsi="Arial" w:cs="Arial"/>
          <w:sz w:val="20"/>
          <w:szCs w:val="20"/>
        </w:rPr>
        <w:t xml:space="preserve"> = maximum expected gas generation flow rate, cubic meters per year </w:t>
      </w:r>
    </w:p>
    <w:p w14:paraId="242A939F" w14:textId="77777777" w:rsidR="00A32732" w:rsidRPr="00A32732" w:rsidRDefault="00000000" w:rsidP="00A32732">
      <w:pPr>
        <w:spacing w:after="120" w:line="240" w:lineRule="auto"/>
        <w:jc w:val="both"/>
        <w:rPr>
          <w:rFonts w:ascii="Arial" w:eastAsia="Times New Roman" w:hAnsi="Arial" w:cs="Arial"/>
          <w:sz w:val="20"/>
          <w:szCs w:val="20"/>
        </w:rPr>
      </w:pPr>
      <w:r w:rsidRPr="00A32732">
        <w:rPr>
          <w:rFonts w:ascii="Arial" w:eastAsia="Times New Roman" w:hAnsi="Arial" w:cs="Arial"/>
          <w:sz w:val="20"/>
          <w:szCs w:val="20"/>
        </w:rPr>
        <w:t>k = methane generation rate constant, year</w:t>
      </w:r>
      <w:r w:rsidRPr="00A32732">
        <w:rPr>
          <w:rFonts w:ascii="Arial" w:eastAsia="Times New Roman" w:hAnsi="Arial" w:cs="Arial"/>
          <w:sz w:val="20"/>
          <w:szCs w:val="20"/>
          <w:vertAlign w:val="superscript"/>
        </w:rPr>
        <w:t>−1</w:t>
      </w:r>
      <w:r w:rsidRPr="00A32732">
        <w:rPr>
          <w:rFonts w:ascii="Arial" w:eastAsia="Times New Roman" w:hAnsi="Arial" w:cs="Arial"/>
          <w:sz w:val="20"/>
          <w:szCs w:val="20"/>
        </w:rPr>
        <w:t xml:space="preserve"> </w:t>
      </w:r>
    </w:p>
    <w:p w14:paraId="106E0A30" w14:textId="77777777" w:rsidR="00A32732" w:rsidRPr="00A32732" w:rsidRDefault="00000000" w:rsidP="00A32732">
      <w:pPr>
        <w:spacing w:after="120" w:line="240" w:lineRule="auto"/>
        <w:jc w:val="both"/>
        <w:rPr>
          <w:rFonts w:ascii="Arial" w:eastAsia="Times New Roman" w:hAnsi="Arial" w:cs="Arial"/>
          <w:sz w:val="20"/>
          <w:szCs w:val="20"/>
        </w:rPr>
      </w:pPr>
      <w:r w:rsidRPr="00A32732">
        <w:rPr>
          <w:rFonts w:ascii="Arial" w:eastAsia="Times New Roman" w:hAnsi="Arial" w:cs="Arial"/>
          <w:sz w:val="20"/>
          <w:szCs w:val="20"/>
        </w:rPr>
        <w:t>L</w:t>
      </w:r>
      <w:r w:rsidRPr="00A32732">
        <w:rPr>
          <w:rFonts w:ascii="Arial" w:eastAsia="Times New Roman" w:hAnsi="Arial" w:cs="Arial"/>
          <w:sz w:val="20"/>
          <w:szCs w:val="20"/>
          <w:vertAlign w:val="subscript"/>
        </w:rPr>
        <w:t>o</w:t>
      </w:r>
      <w:r w:rsidRPr="00A32732">
        <w:rPr>
          <w:rFonts w:ascii="Arial" w:eastAsia="Times New Roman" w:hAnsi="Arial" w:cs="Arial"/>
          <w:sz w:val="20"/>
          <w:szCs w:val="20"/>
        </w:rPr>
        <w:t xml:space="preserve"> = methane generation potential, cubic meters per Mg solid waste </w:t>
      </w:r>
    </w:p>
    <w:p w14:paraId="68899B97" w14:textId="77777777" w:rsidR="00A32732" w:rsidRPr="00A32732" w:rsidRDefault="00000000" w:rsidP="00A32732">
      <w:pPr>
        <w:spacing w:after="120" w:line="240" w:lineRule="auto"/>
        <w:jc w:val="both"/>
        <w:rPr>
          <w:rFonts w:ascii="Arial" w:eastAsia="Times New Roman" w:hAnsi="Arial" w:cs="Arial"/>
          <w:sz w:val="20"/>
          <w:szCs w:val="20"/>
        </w:rPr>
      </w:pPr>
      <w:r w:rsidRPr="00A32732">
        <w:rPr>
          <w:rFonts w:ascii="Arial" w:eastAsia="Times New Roman" w:hAnsi="Arial" w:cs="Arial"/>
          <w:sz w:val="20"/>
          <w:szCs w:val="20"/>
        </w:rPr>
        <w:t>M</w:t>
      </w:r>
      <w:r w:rsidRPr="00A32732">
        <w:rPr>
          <w:rFonts w:ascii="Arial" w:eastAsia="Times New Roman" w:hAnsi="Arial" w:cs="Arial"/>
          <w:sz w:val="20"/>
          <w:szCs w:val="20"/>
          <w:vertAlign w:val="subscript"/>
        </w:rPr>
        <w:t>i</w:t>
      </w:r>
      <w:r w:rsidRPr="00A32732">
        <w:rPr>
          <w:rFonts w:ascii="Arial" w:eastAsia="Times New Roman" w:hAnsi="Arial" w:cs="Arial"/>
          <w:sz w:val="20"/>
          <w:szCs w:val="20"/>
        </w:rPr>
        <w:t xml:space="preserve"> = mass of solid waste in the ith section, Mg </w:t>
      </w:r>
    </w:p>
    <w:p w14:paraId="0222ECFD" w14:textId="77777777" w:rsidR="00A32732" w:rsidRPr="00A32732" w:rsidRDefault="00000000" w:rsidP="00A32732">
      <w:pPr>
        <w:spacing w:after="0" w:line="240" w:lineRule="auto"/>
        <w:jc w:val="both"/>
        <w:rPr>
          <w:rFonts w:ascii="Arial" w:eastAsia="Times New Roman" w:hAnsi="Arial" w:cs="Arial"/>
          <w:sz w:val="20"/>
          <w:szCs w:val="20"/>
        </w:rPr>
      </w:pPr>
      <w:r w:rsidRPr="00A32732">
        <w:rPr>
          <w:rFonts w:ascii="Arial" w:eastAsia="Times New Roman" w:hAnsi="Arial" w:cs="Arial"/>
          <w:sz w:val="20"/>
          <w:szCs w:val="20"/>
        </w:rPr>
        <w:t>t</w:t>
      </w:r>
      <w:r w:rsidRPr="00A32732">
        <w:rPr>
          <w:rFonts w:ascii="Arial" w:eastAsia="Times New Roman" w:hAnsi="Arial" w:cs="Arial"/>
          <w:sz w:val="20"/>
          <w:szCs w:val="20"/>
          <w:vertAlign w:val="subscript"/>
        </w:rPr>
        <w:t>i</w:t>
      </w:r>
      <w:r w:rsidRPr="00A32732">
        <w:rPr>
          <w:rFonts w:ascii="Arial" w:eastAsia="Times New Roman" w:hAnsi="Arial" w:cs="Arial"/>
          <w:sz w:val="20"/>
          <w:szCs w:val="20"/>
        </w:rPr>
        <w:t xml:space="preserve"> = age of the i</w:t>
      </w:r>
      <w:r w:rsidRPr="00A32732">
        <w:rPr>
          <w:rFonts w:ascii="Arial" w:eastAsia="Times New Roman" w:hAnsi="Arial" w:cs="Arial"/>
          <w:sz w:val="20"/>
          <w:szCs w:val="20"/>
          <w:vertAlign w:val="superscript"/>
        </w:rPr>
        <w:t>th</w:t>
      </w:r>
      <w:r w:rsidRPr="00A32732">
        <w:rPr>
          <w:rFonts w:ascii="Arial" w:eastAsia="Times New Roman" w:hAnsi="Arial" w:cs="Arial"/>
          <w:sz w:val="20"/>
          <w:szCs w:val="20"/>
        </w:rPr>
        <w:t xml:space="preserve"> section, years</w:t>
      </w:r>
    </w:p>
    <w:p w14:paraId="0B682624" w14:textId="77777777" w:rsidR="00A32732" w:rsidRPr="006874F8" w:rsidRDefault="00000000" w:rsidP="00845853">
      <w:pPr>
        <w:pStyle w:val="Heading4C"/>
      </w:pPr>
      <w:bookmarkStart w:id="49" w:name="_Toc382035381"/>
      <w:bookmarkStart w:id="50" w:name="_Toc382726630"/>
      <w:bookmarkStart w:id="51" w:name="_Toc382726705"/>
      <w:bookmarkStart w:id="52" w:name="_Toc382726784"/>
      <w:bookmarkStart w:id="53" w:name="_Toc387818190"/>
      <w:bookmarkStart w:id="54" w:name="_Toc390499900"/>
      <w:bookmarkStart w:id="55" w:name="_Toc390500329"/>
      <w:bookmarkStart w:id="56" w:name="_Toc390504382"/>
      <w:bookmarkStart w:id="57" w:name="_Toc390570172"/>
      <w:bookmarkStart w:id="58" w:name="_Toc391182906"/>
      <w:bookmarkStart w:id="59" w:name="_Toc437238970"/>
      <w:bookmarkStart w:id="60" w:name="_Toc451333047"/>
      <w:bookmarkStart w:id="61" w:name="_Toc427052400"/>
      <w:r w:rsidRPr="006874F8">
        <w:t>Appendix 8.  Reporting</w:t>
      </w:r>
      <w:bookmarkEnd w:id="43"/>
      <w:bookmarkEnd w:id="44"/>
      <w:bookmarkEnd w:id="49"/>
      <w:bookmarkEnd w:id="50"/>
      <w:bookmarkEnd w:id="51"/>
      <w:bookmarkEnd w:id="52"/>
      <w:bookmarkEnd w:id="53"/>
      <w:bookmarkEnd w:id="54"/>
      <w:bookmarkEnd w:id="55"/>
      <w:bookmarkEnd w:id="56"/>
      <w:bookmarkEnd w:id="57"/>
      <w:bookmarkEnd w:id="58"/>
      <w:bookmarkEnd w:id="59"/>
      <w:bookmarkEnd w:id="60"/>
      <w:bookmarkEnd w:id="61"/>
    </w:p>
    <w:p w14:paraId="52804E1C" w14:textId="77777777" w:rsidR="00A32732" w:rsidRPr="00A32732" w:rsidRDefault="00000000" w:rsidP="00845853">
      <w:pPr>
        <w:pStyle w:val="Caption2"/>
      </w:pPr>
      <w:r w:rsidRPr="00A32732">
        <w:t>A.  Annual, Semiannual, and Deviation Certification Reporting</w:t>
      </w:r>
    </w:p>
    <w:p w14:paraId="29359E96" w14:textId="77777777" w:rsidR="00574AB7" w:rsidRPr="00574AB7" w:rsidRDefault="00000000" w:rsidP="00845853">
      <w:pPr>
        <w:spacing w:before="120"/>
        <w:rPr>
          <w:rFonts w:ascii="Arial" w:eastAsia="Times New Roman" w:hAnsi="Arial" w:cs="Times New Roman"/>
          <w:sz w:val="20"/>
          <w:szCs w:val="20"/>
        </w:rPr>
      </w:pPr>
      <w:r w:rsidRPr="00574AB7">
        <w:rPr>
          <w:rFonts w:ascii="Arial" w:eastAsia="Times New Roman" w:hAnsi="Arial" w:cs="Times New Roman"/>
          <w:sz w:val="20"/>
          <w:szCs w:val="20"/>
        </w:rPr>
        <w:t>The permittee shall use the MiEnviro forms (</w:t>
      </w:r>
      <w:hyperlink r:id="rId10" w:history="1">
        <w:r w:rsidR="00574AB7" w:rsidRPr="00574AB7">
          <w:rPr>
            <w:rFonts w:ascii="Arial" w:eastAsia="Times New Roman" w:hAnsi="Arial" w:cs="Times New Roman"/>
            <w:color w:val="0000FF"/>
            <w:sz w:val="20"/>
            <w:szCs w:val="20"/>
            <w:u w:val="single"/>
          </w:rPr>
          <w:t>MiEnviro.Michigan.gov</w:t>
        </w:r>
      </w:hyperlink>
      <w:r w:rsidRPr="00574AB7">
        <w:rPr>
          <w:rFonts w:ascii="Arial" w:eastAsia="Times New Roman" w:hAnsi="Arial" w:cs="Times New Roman"/>
          <w:sz w:val="20"/>
          <w:szCs w:val="20"/>
        </w:rPr>
        <w:t>) ROP Annual Compliance Certification and ROP Semi-Annual Compliance Certification for the annual, semiannual and deviation certification reporting referenced in the Reporting Section of the Source-Wide, Emission Unit and/or Flexible Group Special Conditions.</w:t>
      </w:r>
    </w:p>
    <w:p w14:paraId="7288D46C" w14:textId="77777777" w:rsidR="00A32732" w:rsidRPr="00A32732" w:rsidRDefault="00000000" w:rsidP="00845853">
      <w:pPr>
        <w:pStyle w:val="Caption2"/>
      </w:pPr>
      <w:r w:rsidRPr="00A32732">
        <w:t>B.  Other Reporting</w:t>
      </w:r>
    </w:p>
    <w:bookmarkEnd w:id="29"/>
    <w:bookmarkEnd w:id="30"/>
    <w:bookmarkEnd w:id="31"/>
    <w:bookmarkEnd w:id="32"/>
    <w:bookmarkEnd w:id="33"/>
    <w:bookmarkEnd w:id="34"/>
    <w:bookmarkEnd w:id="35"/>
    <w:bookmarkEnd w:id="36"/>
    <w:p w14:paraId="63CBE442" w14:textId="77777777" w:rsidR="009E13EC" w:rsidRPr="009E13EC" w:rsidRDefault="00000000" w:rsidP="00845853">
      <w:pPr>
        <w:spacing w:before="120"/>
        <w:rPr>
          <w:rFonts w:ascii="Arial" w:eastAsia="Times New Roman" w:hAnsi="Arial" w:cs="Arial"/>
          <w:sz w:val="20"/>
          <w:szCs w:val="20"/>
        </w:rPr>
      </w:pPr>
      <w:r w:rsidRPr="009E13EC">
        <w:rPr>
          <w:rFonts w:ascii="Arial" w:eastAsia="Times New Roman" w:hAnsi="Arial" w:cs="Arial"/>
          <w:sz w:val="20"/>
          <w:szCs w:val="20"/>
        </w:rPr>
        <w:t>The permittee shall use reporting, notification, and other schedule forms to submit to the AQD through MiEnviro Portal (</w:t>
      </w:r>
      <w:hyperlink r:id="rId11" w:history="1">
        <w:r w:rsidR="009E13EC" w:rsidRPr="009E13EC">
          <w:rPr>
            <w:rFonts w:ascii="Arial" w:eastAsia="Times New Roman" w:hAnsi="Arial" w:cs="Arial"/>
            <w:color w:val="0000FF"/>
            <w:sz w:val="20"/>
            <w:szCs w:val="20"/>
            <w:u w:val="single"/>
          </w:rPr>
          <w:t>MiEnviro.Michigan.gov</w:t>
        </w:r>
      </w:hyperlink>
      <w:r w:rsidRPr="009E13EC">
        <w:rPr>
          <w:rFonts w:ascii="Arial" w:eastAsia="Times New Roman" w:hAnsi="Arial" w:cs="Arial"/>
          <w:sz w:val="20"/>
          <w:szCs w:val="20"/>
        </w:rPr>
        <w:t xml:space="preserve">) as referenced in the appropriate Source-Wide, Emission Unit and/or Flexible Group Special Conditions. </w:t>
      </w:r>
    </w:p>
    <w:p w14:paraId="52659E9A" w14:textId="21F1731B" w:rsidR="00A32732" w:rsidRPr="006874F8" w:rsidRDefault="00000000" w:rsidP="00845853">
      <w:pPr>
        <w:pStyle w:val="Heading4C"/>
      </w:pPr>
      <w:r w:rsidRPr="006874F8">
        <w:t xml:space="preserve">Appendix 9. </w:t>
      </w:r>
      <w:r w:rsidR="006874F8" w:rsidRPr="006874F8">
        <w:t xml:space="preserve"> Odor Management Plan</w:t>
      </w:r>
    </w:p>
    <w:p w14:paraId="652E5F31" w14:textId="77777777" w:rsidR="00A32732" w:rsidRPr="00A32732" w:rsidRDefault="00000000" w:rsidP="00845853">
      <w:pPr>
        <w:spacing w:before="120"/>
        <w:rPr>
          <w:rFonts w:ascii="Arial" w:eastAsia="Times New Roman" w:hAnsi="Arial" w:cs="Times New Roman"/>
          <w:sz w:val="20"/>
          <w:szCs w:val="20"/>
        </w:rPr>
      </w:pPr>
      <w:bookmarkStart w:id="62" w:name="_Hlk773763"/>
      <w:r w:rsidRPr="00766B2A">
        <w:rPr>
          <w:rFonts w:ascii="Arial" w:eastAsia="Times New Roman" w:hAnsi="Arial" w:cs="Times New Roman"/>
          <w:color w:val="ED0000"/>
          <w:sz w:val="20"/>
          <w:szCs w:val="20"/>
        </w:rPr>
        <w:t>An Odor Management Plan (OMP) may have been required at a facility with historic or current odor issues.  Delete this Appendix 9 if an OMP was not required for this facility.</w:t>
      </w:r>
      <w:bookmarkEnd w:id="62"/>
    </w:p>
    <w:sectPr w:rsidR="00A32732" w:rsidRPr="00A32732" w:rsidSect="00A32732">
      <w:footerReference w:type="default" r:id="rId12"/>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9DF02" w14:textId="77777777" w:rsidR="006C73E6" w:rsidRDefault="006C73E6">
      <w:pPr>
        <w:spacing w:after="0" w:line="240" w:lineRule="auto"/>
      </w:pPr>
      <w:r>
        <w:separator/>
      </w:r>
    </w:p>
  </w:endnote>
  <w:endnote w:type="continuationSeparator" w:id="0">
    <w:p w14:paraId="7F341E8A" w14:textId="77777777" w:rsidR="006C73E6" w:rsidRDefault="006C7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70E60" w14:textId="4575DA59" w:rsidR="00BD4998" w:rsidRPr="006874F8" w:rsidRDefault="00000000" w:rsidP="006874F8">
    <w:pPr>
      <w:pStyle w:val="Footer"/>
      <w:jc w:val="center"/>
      <w:rPr>
        <w:sz w:val="20"/>
      </w:rPr>
    </w:pPr>
    <w:r w:rsidRPr="006874F8">
      <w:rPr>
        <w:sz w:val="20"/>
      </w:rPr>
      <w:t xml:space="preserve">Page </w:t>
    </w:r>
    <w:r w:rsidRPr="006874F8">
      <w:rPr>
        <w:sz w:val="20"/>
      </w:rPr>
      <w:fldChar w:fldCharType="begin"/>
    </w:r>
    <w:r w:rsidRPr="006874F8">
      <w:rPr>
        <w:sz w:val="20"/>
      </w:rPr>
      <w:instrText xml:space="preserve"> PAGE  \* Arabic  \* MERGEFORMAT </w:instrText>
    </w:r>
    <w:r w:rsidRPr="006874F8">
      <w:rPr>
        <w:sz w:val="20"/>
      </w:rPr>
      <w:fldChar w:fldCharType="separate"/>
    </w:r>
    <w:r w:rsidRPr="006874F8">
      <w:rPr>
        <w:noProof/>
        <w:sz w:val="20"/>
      </w:rPr>
      <w:t>1</w:t>
    </w:r>
    <w:r w:rsidRPr="006874F8">
      <w:rPr>
        <w:sz w:val="20"/>
      </w:rPr>
      <w:fldChar w:fldCharType="end"/>
    </w:r>
    <w:r w:rsidRPr="006874F8">
      <w:rPr>
        <w:sz w:val="20"/>
      </w:rPr>
      <w:t xml:space="preserve"> of </w:t>
    </w:r>
    <w:r w:rsidR="006874F8" w:rsidRPr="006874F8">
      <w:rPr>
        <w:sz w:val="20"/>
      </w:rPr>
      <w:fldChar w:fldCharType="begin"/>
    </w:r>
    <w:r w:rsidR="006874F8" w:rsidRPr="006874F8">
      <w:rPr>
        <w:sz w:val="20"/>
      </w:rPr>
      <w:instrText xml:space="preserve"> NUMPAGES  \* Arabic  \* MERGEFORMAT </w:instrText>
    </w:r>
    <w:r w:rsidR="006874F8" w:rsidRPr="006874F8">
      <w:rPr>
        <w:sz w:val="20"/>
      </w:rPr>
      <w:fldChar w:fldCharType="separate"/>
    </w:r>
    <w:r w:rsidRPr="006874F8">
      <w:rPr>
        <w:noProof/>
        <w:sz w:val="20"/>
      </w:rPr>
      <w:t>2</w:t>
    </w:r>
    <w:r w:rsidR="006874F8" w:rsidRPr="006874F8">
      <w:rPr>
        <w:noProof/>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72830" w14:textId="77777777" w:rsidR="006C73E6" w:rsidRDefault="006C73E6">
      <w:pPr>
        <w:spacing w:after="0" w:line="240" w:lineRule="auto"/>
      </w:pPr>
      <w:r>
        <w:separator/>
      </w:r>
    </w:p>
  </w:footnote>
  <w:footnote w:type="continuationSeparator" w:id="0">
    <w:p w14:paraId="340C7E17" w14:textId="77777777" w:rsidR="006C73E6" w:rsidRDefault="006C73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9A4A05C"/>
    <w:lvl w:ilvl="0">
      <w:start w:val="1"/>
      <w:numFmt w:val="decimal"/>
      <w:pStyle w:val="ListNumber"/>
      <w:lvlText w:val="%1."/>
      <w:lvlJc w:val="left"/>
      <w:pPr>
        <w:tabs>
          <w:tab w:val="num" w:pos="360"/>
        </w:tabs>
        <w:ind w:left="360" w:hanging="360"/>
      </w:pPr>
    </w:lvl>
  </w:abstractNum>
  <w:abstractNum w:abstractNumId="1" w15:restartNumberingAfterBreak="0">
    <w:nsid w:val="06C67AB6"/>
    <w:multiLevelType w:val="multilevel"/>
    <w:tmpl w:val="334097F4"/>
    <w:lvl w:ilvl="0">
      <w:start w:val="1"/>
      <w:numFmt w:val="none"/>
      <w:isLgl/>
      <w:lvlText w:val=""/>
      <w:lvlJc w:val="left"/>
      <w:pPr>
        <w:tabs>
          <w:tab w:val="num" w:pos="360"/>
        </w:tabs>
        <w:ind w:left="0" w:firstLine="0"/>
      </w:pPr>
      <w:rPr>
        <w:rFonts w:ascii="Arial" w:hAnsi="Arial" w:cs="Times New Roman" w:hint="default"/>
        <w:b/>
        <w:i w:val="0"/>
        <w:sz w:val="28"/>
      </w:rPr>
    </w:lvl>
    <w:lvl w:ilvl="1">
      <w:start w:val="1"/>
      <w:numFmt w:val="none"/>
      <w:pStyle w:val="Heading2"/>
      <w:isLgl/>
      <w:lvlText w:val=""/>
      <w:lvlJc w:val="left"/>
      <w:pPr>
        <w:tabs>
          <w:tab w:val="num" w:pos="360"/>
        </w:tabs>
        <w:ind w:left="360" w:hanging="360"/>
      </w:pPr>
      <w:rPr>
        <w:rFonts w:ascii="Arial" w:hAnsi="Arial" w:cs="Times New Roman" w:hint="default"/>
        <w:b/>
        <w:i w:val="0"/>
        <w:sz w:val="24"/>
      </w:rPr>
    </w:lvl>
    <w:lvl w:ilvl="2">
      <w:start w:val="1"/>
      <w:numFmt w:val="none"/>
      <w:pStyle w:val="Heading3"/>
      <w:lvlText w:val=""/>
      <w:lvlJc w:val="left"/>
      <w:pPr>
        <w:tabs>
          <w:tab w:val="num" w:pos="720"/>
        </w:tabs>
        <w:ind w:left="720" w:hanging="720"/>
      </w:pPr>
      <w:rPr>
        <w:rFonts w:ascii="Arial" w:hAnsi="Arial" w:cs="Times New Roman"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 w15:restartNumberingAfterBreak="0">
    <w:nsid w:val="17442FD0"/>
    <w:multiLevelType w:val="hybridMultilevel"/>
    <w:tmpl w:val="12E08B3E"/>
    <w:lvl w:ilvl="0" w:tplc="6556000E">
      <w:start w:val="1"/>
      <w:numFmt w:val="decimal"/>
      <w:lvlText w:val="%1."/>
      <w:lvlJc w:val="left"/>
      <w:pPr>
        <w:tabs>
          <w:tab w:val="num" w:pos="360"/>
        </w:tabs>
        <w:ind w:left="360" w:hanging="360"/>
      </w:pPr>
      <w:rPr>
        <w:b w:val="0"/>
        <w:i w:val="0"/>
        <w:sz w:val="20"/>
        <w:szCs w:val="20"/>
      </w:rPr>
    </w:lvl>
    <w:lvl w:ilvl="1" w:tplc="690ECF54">
      <w:start w:val="1"/>
      <w:numFmt w:val="lowerLetter"/>
      <w:lvlText w:val="%2."/>
      <w:lvlJc w:val="left"/>
      <w:pPr>
        <w:tabs>
          <w:tab w:val="num" w:pos="1440"/>
        </w:tabs>
        <w:ind w:left="1440" w:hanging="360"/>
      </w:pPr>
    </w:lvl>
    <w:lvl w:ilvl="2" w:tplc="62BC50CA">
      <w:start w:val="1"/>
      <w:numFmt w:val="lowerRoman"/>
      <w:lvlText w:val="%3."/>
      <w:lvlJc w:val="right"/>
      <w:pPr>
        <w:tabs>
          <w:tab w:val="num" w:pos="2160"/>
        </w:tabs>
        <w:ind w:left="2160" w:hanging="180"/>
      </w:pPr>
    </w:lvl>
    <w:lvl w:ilvl="3" w:tplc="B2BED7F4">
      <w:start w:val="1"/>
      <w:numFmt w:val="decimal"/>
      <w:lvlText w:val="%4."/>
      <w:lvlJc w:val="left"/>
      <w:pPr>
        <w:tabs>
          <w:tab w:val="num" w:pos="2880"/>
        </w:tabs>
        <w:ind w:left="2880" w:hanging="360"/>
      </w:pPr>
    </w:lvl>
    <w:lvl w:ilvl="4" w:tplc="25822E40">
      <w:start w:val="1"/>
      <w:numFmt w:val="lowerLetter"/>
      <w:lvlText w:val="%5."/>
      <w:lvlJc w:val="left"/>
      <w:pPr>
        <w:tabs>
          <w:tab w:val="num" w:pos="3600"/>
        </w:tabs>
        <w:ind w:left="3600" w:hanging="360"/>
      </w:pPr>
    </w:lvl>
    <w:lvl w:ilvl="5" w:tplc="D4C89F16">
      <w:start w:val="1"/>
      <w:numFmt w:val="lowerRoman"/>
      <w:lvlText w:val="%6."/>
      <w:lvlJc w:val="right"/>
      <w:pPr>
        <w:tabs>
          <w:tab w:val="num" w:pos="4320"/>
        </w:tabs>
        <w:ind w:left="4320" w:hanging="180"/>
      </w:pPr>
    </w:lvl>
    <w:lvl w:ilvl="6" w:tplc="A51EF6AC">
      <w:start w:val="1"/>
      <w:numFmt w:val="decimal"/>
      <w:lvlText w:val="%7."/>
      <w:lvlJc w:val="left"/>
      <w:pPr>
        <w:tabs>
          <w:tab w:val="num" w:pos="5040"/>
        </w:tabs>
        <w:ind w:left="5040" w:hanging="360"/>
      </w:pPr>
    </w:lvl>
    <w:lvl w:ilvl="7" w:tplc="CAF0FF1E">
      <w:start w:val="1"/>
      <w:numFmt w:val="lowerLetter"/>
      <w:lvlText w:val="%8."/>
      <w:lvlJc w:val="left"/>
      <w:pPr>
        <w:tabs>
          <w:tab w:val="num" w:pos="5760"/>
        </w:tabs>
        <w:ind w:left="5760" w:hanging="360"/>
      </w:pPr>
    </w:lvl>
    <w:lvl w:ilvl="8" w:tplc="B2D64BCA">
      <w:start w:val="1"/>
      <w:numFmt w:val="lowerRoman"/>
      <w:lvlText w:val="%9."/>
      <w:lvlJc w:val="right"/>
      <w:pPr>
        <w:tabs>
          <w:tab w:val="num" w:pos="6480"/>
        </w:tabs>
        <w:ind w:left="6480" w:hanging="180"/>
      </w:pPr>
    </w:lvl>
  </w:abstractNum>
  <w:abstractNum w:abstractNumId="3" w15:restartNumberingAfterBreak="0">
    <w:nsid w:val="31D33689"/>
    <w:multiLevelType w:val="hybridMultilevel"/>
    <w:tmpl w:val="133086C8"/>
    <w:lvl w:ilvl="0" w:tplc="C6CAA61A">
      <w:start w:val="1"/>
      <w:numFmt w:val="lowerLetter"/>
      <w:lvlText w:val="%1."/>
      <w:lvlJc w:val="left"/>
      <w:pPr>
        <w:ind w:left="720" w:hanging="360"/>
      </w:pPr>
      <w:rPr>
        <w:b w:val="0"/>
      </w:rPr>
    </w:lvl>
    <w:lvl w:ilvl="1" w:tplc="9D066EB6">
      <w:start w:val="1"/>
      <w:numFmt w:val="lowerLetter"/>
      <w:lvlText w:val="%2."/>
      <w:lvlJc w:val="left"/>
      <w:pPr>
        <w:ind w:left="1440" w:hanging="360"/>
      </w:pPr>
    </w:lvl>
    <w:lvl w:ilvl="2" w:tplc="98CA1C36">
      <w:start w:val="1"/>
      <w:numFmt w:val="lowerRoman"/>
      <w:lvlText w:val="%3."/>
      <w:lvlJc w:val="right"/>
      <w:pPr>
        <w:ind w:left="2160" w:hanging="180"/>
      </w:pPr>
    </w:lvl>
    <w:lvl w:ilvl="3" w:tplc="BE3A41E6">
      <w:start w:val="1"/>
      <w:numFmt w:val="decimal"/>
      <w:lvlText w:val="%4."/>
      <w:lvlJc w:val="left"/>
      <w:pPr>
        <w:ind w:left="2880" w:hanging="360"/>
      </w:pPr>
    </w:lvl>
    <w:lvl w:ilvl="4" w:tplc="9D6CC152">
      <w:start w:val="1"/>
      <w:numFmt w:val="lowerLetter"/>
      <w:lvlText w:val="%5."/>
      <w:lvlJc w:val="left"/>
      <w:pPr>
        <w:ind w:left="3600" w:hanging="360"/>
      </w:pPr>
    </w:lvl>
    <w:lvl w:ilvl="5" w:tplc="E3FA6FFA">
      <w:start w:val="1"/>
      <w:numFmt w:val="lowerRoman"/>
      <w:lvlText w:val="%6."/>
      <w:lvlJc w:val="right"/>
      <w:pPr>
        <w:ind w:left="4320" w:hanging="180"/>
      </w:pPr>
    </w:lvl>
    <w:lvl w:ilvl="6" w:tplc="5BA2EABC">
      <w:start w:val="1"/>
      <w:numFmt w:val="decimal"/>
      <w:lvlText w:val="%7."/>
      <w:lvlJc w:val="left"/>
      <w:pPr>
        <w:ind w:left="5040" w:hanging="360"/>
      </w:pPr>
    </w:lvl>
    <w:lvl w:ilvl="7" w:tplc="EC4EFB10">
      <w:start w:val="1"/>
      <w:numFmt w:val="lowerLetter"/>
      <w:lvlText w:val="%8."/>
      <w:lvlJc w:val="left"/>
      <w:pPr>
        <w:ind w:left="5760" w:hanging="360"/>
      </w:pPr>
    </w:lvl>
    <w:lvl w:ilvl="8" w:tplc="4DB473AE">
      <w:start w:val="1"/>
      <w:numFmt w:val="lowerRoman"/>
      <w:lvlText w:val="%9."/>
      <w:lvlJc w:val="right"/>
      <w:pPr>
        <w:ind w:left="6480" w:hanging="180"/>
      </w:pPr>
    </w:lvl>
  </w:abstractNum>
  <w:abstractNum w:abstractNumId="4" w15:restartNumberingAfterBreak="0">
    <w:nsid w:val="380F4D30"/>
    <w:multiLevelType w:val="hybridMultilevel"/>
    <w:tmpl w:val="C46855B8"/>
    <w:lvl w:ilvl="0" w:tplc="3F3AEDB6">
      <w:start w:val="1"/>
      <w:numFmt w:val="decimal"/>
      <w:lvlText w:val="%1."/>
      <w:lvlJc w:val="left"/>
      <w:pPr>
        <w:ind w:left="780" w:hanging="360"/>
      </w:pPr>
      <w:rPr>
        <w:b w:val="0"/>
        <w:bCs/>
      </w:rPr>
    </w:lvl>
    <w:lvl w:ilvl="1" w:tplc="F9724B06">
      <w:start w:val="1"/>
      <w:numFmt w:val="lowerLetter"/>
      <w:lvlText w:val="%2."/>
      <w:lvlJc w:val="left"/>
      <w:pPr>
        <w:ind w:left="1500" w:hanging="360"/>
      </w:pPr>
    </w:lvl>
    <w:lvl w:ilvl="2" w:tplc="747EA55A">
      <w:start w:val="1"/>
      <w:numFmt w:val="lowerRoman"/>
      <w:lvlText w:val="%3."/>
      <w:lvlJc w:val="right"/>
      <w:pPr>
        <w:ind w:left="2220" w:hanging="180"/>
      </w:pPr>
    </w:lvl>
    <w:lvl w:ilvl="3" w:tplc="1346EC68">
      <w:start w:val="1"/>
      <w:numFmt w:val="decimal"/>
      <w:lvlText w:val="%4."/>
      <w:lvlJc w:val="left"/>
      <w:pPr>
        <w:ind w:left="2940" w:hanging="360"/>
      </w:pPr>
    </w:lvl>
    <w:lvl w:ilvl="4" w:tplc="EB22130A">
      <w:start w:val="1"/>
      <w:numFmt w:val="lowerLetter"/>
      <w:lvlText w:val="%5."/>
      <w:lvlJc w:val="left"/>
      <w:pPr>
        <w:ind w:left="3660" w:hanging="360"/>
      </w:pPr>
    </w:lvl>
    <w:lvl w:ilvl="5" w:tplc="D8D4CAE2">
      <w:start w:val="1"/>
      <w:numFmt w:val="lowerRoman"/>
      <w:lvlText w:val="%6."/>
      <w:lvlJc w:val="right"/>
      <w:pPr>
        <w:ind w:left="4380" w:hanging="180"/>
      </w:pPr>
    </w:lvl>
    <w:lvl w:ilvl="6" w:tplc="FEF0FFC2">
      <w:start w:val="1"/>
      <w:numFmt w:val="decimal"/>
      <w:lvlText w:val="%7."/>
      <w:lvlJc w:val="left"/>
      <w:pPr>
        <w:ind w:left="5100" w:hanging="360"/>
      </w:pPr>
    </w:lvl>
    <w:lvl w:ilvl="7" w:tplc="3EA6E71E">
      <w:start w:val="1"/>
      <w:numFmt w:val="lowerLetter"/>
      <w:lvlText w:val="%8."/>
      <w:lvlJc w:val="left"/>
      <w:pPr>
        <w:ind w:left="5820" w:hanging="360"/>
      </w:pPr>
    </w:lvl>
    <w:lvl w:ilvl="8" w:tplc="E6E6A146">
      <w:start w:val="1"/>
      <w:numFmt w:val="lowerRoman"/>
      <w:lvlText w:val="%9."/>
      <w:lvlJc w:val="right"/>
      <w:pPr>
        <w:ind w:left="6540" w:hanging="180"/>
      </w:pPr>
    </w:lvl>
  </w:abstractNum>
  <w:abstractNum w:abstractNumId="5" w15:restartNumberingAfterBreak="0">
    <w:nsid w:val="49C84EB7"/>
    <w:multiLevelType w:val="multilevel"/>
    <w:tmpl w:val="89FAAB4A"/>
    <w:lvl w:ilvl="0">
      <w:start w:val="1"/>
      <w:numFmt w:val="decimal"/>
      <w:pStyle w:val="ROPShellNumbering"/>
      <w:isLg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03C660A"/>
    <w:multiLevelType w:val="multilevel"/>
    <w:tmpl w:val="24C62A30"/>
    <w:styleLink w:val="ROPShellNumTables"/>
    <w:lvl w:ilvl="0">
      <w:start w:val="1"/>
      <w:numFmt w:val="decimal"/>
      <w:isLgl/>
      <w:lvlText w:val="%1."/>
      <w:lvlJc w:val="left"/>
      <w:pPr>
        <w:tabs>
          <w:tab w:val="num" w:pos="360"/>
        </w:tabs>
        <w:ind w:left="360" w:hanging="360"/>
      </w:pPr>
      <w:rPr>
        <w:rFonts w:ascii="Arial" w:hAnsi="Arial" w:cs="Times New Roman" w:hint="default"/>
        <w:sz w:val="20"/>
        <w:szCs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54BB5A4C"/>
    <w:multiLevelType w:val="multilevel"/>
    <w:tmpl w:val="445AA4D4"/>
    <w:lvl w:ilvl="0">
      <w:start w:val="1"/>
      <w:numFmt w:val="decimal"/>
      <w:lvlText w:val="%1."/>
      <w:lvlJc w:val="left"/>
      <w:pPr>
        <w:tabs>
          <w:tab w:val="num" w:pos="360"/>
        </w:tabs>
        <w:ind w:left="360" w:hanging="360"/>
      </w:pPr>
      <w:rPr>
        <w:rFonts w:ascii="Arial" w:hAnsi="Arial" w:cs="Times New Roman" w:hint="default"/>
        <w:b w:val="0"/>
        <w:i w:val="0"/>
        <w:caps w:val="0"/>
        <w:strike w:val="0"/>
        <w:dstrike w:val="0"/>
        <w:vanish w:val="0"/>
        <w:webHidden w:val="0"/>
        <w:color w:val="000000"/>
        <w:sz w:val="20"/>
        <w:szCs w:val="20"/>
        <w:u w:val="none"/>
        <w:effect w:val="none"/>
        <w:vertAlign w:val="baseline"/>
        <w:specVanish w:val="0"/>
      </w:rPr>
    </w:lvl>
    <w:lvl w:ilvl="1">
      <w:start w:val="1"/>
      <w:numFmt w:val="lowerLetter"/>
      <w:lvlText w:val="%2."/>
      <w:lvlJc w:val="left"/>
      <w:pPr>
        <w:tabs>
          <w:tab w:val="num" w:pos="720"/>
        </w:tabs>
        <w:ind w:left="720" w:hanging="360"/>
      </w:pPr>
      <w:rPr>
        <w:rFonts w:ascii="Arial" w:hAnsi="Arial" w:cs="Times New Roman" w:hint="default"/>
        <w:b w:val="0"/>
        <w:i w:val="0"/>
        <w:caps w:val="0"/>
        <w:strike w:val="0"/>
        <w:dstrike w:val="0"/>
        <w:vanish w:val="0"/>
        <w:webHidden w:val="0"/>
        <w:color w:val="000000"/>
        <w:sz w:val="20"/>
        <w:szCs w:val="20"/>
        <w:u w:val="none"/>
        <w:effect w:val="none"/>
        <w:vertAlign w:val="baseline"/>
        <w:specVanish w:val="0"/>
      </w:r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690C482C"/>
    <w:multiLevelType w:val="hybridMultilevel"/>
    <w:tmpl w:val="2D1A9274"/>
    <w:lvl w:ilvl="0" w:tplc="2086FD74">
      <w:start w:val="1"/>
      <w:numFmt w:val="decimal"/>
      <w:lvlText w:val="%1."/>
      <w:lvlJc w:val="left"/>
      <w:pPr>
        <w:ind w:left="720" w:hanging="360"/>
      </w:pPr>
      <w:rPr>
        <w:b w:val="0"/>
        <w:sz w:val="20"/>
        <w:szCs w:val="20"/>
      </w:rPr>
    </w:lvl>
    <w:lvl w:ilvl="1" w:tplc="0166ED7E">
      <w:start w:val="1"/>
      <w:numFmt w:val="lowerLetter"/>
      <w:lvlText w:val="%2."/>
      <w:lvlJc w:val="left"/>
      <w:pPr>
        <w:ind w:left="1440" w:hanging="360"/>
      </w:pPr>
    </w:lvl>
    <w:lvl w:ilvl="2" w:tplc="B6D0C21C">
      <w:start w:val="1"/>
      <w:numFmt w:val="lowerRoman"/>
      <w:lvlText w:val="%3."/>
      <w:lvlJc w:val="right"/>
      <w:pPr>
        <w:ind w:left="2160" w:hanging="180"/>
      </w:pPr>
    </w:lvl>
    <w:lvl w:ilvl="3" w:tplc="5B0EAF2A">
      <w:start w:val="1"/>
      <w:numFmt w:val="decimal"/>
      <w:lvlText w:val="%4."/>
      <w:lvlJc w:val="left"/>
      <w:pPr>
        <w:ind w:left="2880" w:hanging="360"/>
      </w:pPr>
    </w:lvl>
    <w:lvl w:ilvl="4" w:tplc="76727388">
      <w:start w:val="1"/>
      <w:numFmt w:val="lowerLetter"/>
      <w:lvlText w:val="%5."/>
      <w:lvlJc w:val="left"/>
      <w:pPr>
        <w:ind w:left="3600" w:hanging="360"/>
      </w:pPr>
    </w:lvl>
    <w:lvl w:ilvl="5" w:tplc="BAAE5E78">
      <w:start w:val="1"/>
      <w:numFmt w:val="lowerRoman"/>
      <w:lvlText w:val="%6."/>
      <w:lvlJc w:val="right"/>
      <w:pPr>
        <w:ind w:left="4320" w:hanging="180"/>
      </w:pPr>
    </w:lvl>
    <w:lvl w:ilvl="6" w:tplc="B72CB8C0">
      <w:start w:val="1"/>
      <w:numFmt w:val="decimal"/>
      <w:lvlText w:val="%7."/>
      <w:lvlJc w:val="left"/>
      <w:pPr>
        <w:ind w:left="5040" w:hanging="360"/>
      </w:pPr>
    </w:lvl>
    <w:lvl w:ilvl="7" w:tplc="3A6EE312">
      <w:start w:val="1"/>
      <w:numFmt w:val="lowerLetter"/>
      <w:lvlText w:val="%8."/>
      <w:lvlJc w:val="left"/>
      <w:pPr>
        <w:ind w:left="5760" w:hanging="360"/>
      </w:pPr>
    </w:lvl>
    <w:lvl w:ilvl="8" w:tplc="AA307338">
      <w:start w:val="1"/>
      <w:numFmt w:val="lowerRoman"/>
      <w:lvlText w:val="%9."/>
      <w:lvlJc w:val="right"/>
      <w:pPr>
        <w:ind w:left="6480" w:hanging="180"/>
      </w:pPr>
    </w:lvl>
  </w:abstractNum>
  <w:abstractNum w:abstractNumId="9" w15:restartNumberingAfterBreak="0">
    <w:nsid w:val="799F1631"/>
    <w:multiLevelType w:val="hybridMultilevel"/>
    <w:tmpl w:val="FC4A6FFC"/>
    <w:lvl w:ilvl="0" w:tplc="BE041C5A">
      <w:start w:val="1"/>
      <w:numFmt w:val="lowerLetter"/>
      <w:lvlText w:val="%1."/>
      <w:lvlJc w:val="left"/>
      <w:pPr>
        <w:ind w:left="1195" w:hanging="360"/>
      </w:pPr>
      <w:rPr>
        <w:b w:val="0"/>
        <w:bCs w:val="0"/>
      </w:rPr>
    </w:lvl>
    <w:lvl w:ilvl="1" w:tplc="07E6496E">
      <w:start w:val="1"/>
      <w:numFmt w:val="lowerLetter"/>
      <w:lvlText w:val="%2."/>
      <w:lvlJc w:val="left"/>
      <w:pPr>
        <w:ind w:left="1915" w:hanging="360"/>
      </w:pPr>
    </w:lvl>
    <w:lvl w:ilvl="2" w:tplc="7C0AEFB2">
      <w:start w:val="1"/>
      <w:numFmt w:val="lowerRoman"/>
      <w:lvlText w:val="%3."/>
      <w:lvlJc w:val="right"/>
      <w:pPr>
        <w:ind w:left="2635" w:hanging="180"/>
      </w:pPr>
    </w:lvl>
    <w:lvl w:ilvl="3" w:tplc="33ACBD20">
      <w:start w:val="1"/>
      <w:numFmt w:val="decimal"/>
      <w:lvlText w:val="%4."/>
      <w:lvlJc w:val="left"/>
      <w:pPr>
        <w:ind w:left="3355" w:hanging="360"/>
      </w:pPr>
    </w:lvl>
    <w:lvl w:ilvl="4" w:tplc="E85CCF5E">
      <w:start w:val="1"/>
      <w:numFmt w:val="lowerLetter"/>
      <w:lvlText w:val="%5."/>
      <w:lvlJc w:val="left"/>
      <w:pPr>
        <w:ind w:left="4075" w:hanging="360"/>
      </w:pPr>
    </w:lvl>
    <w:lvl w:ilvl="5" w:tplc="E35A76DE">
      <w:start w:val="1"/>
      <w:numFmt w:val="lowerRoman"/>
      <w:lvlText w:val="%6."/>
      <w:lvlJc w:val="right"/>
      <w:pPr>
        <w:ind w:left="4795" w:hanging="180"/>
      </w:pPr>
    </w:lvl>
    <w:lvl w:ilvl="6" w:tplc="C810BA0C">
      <w:start w:val="1"/>
      <w:numFmt w:val="decimal"/>
      <w:lvlText w:val="%7."/>
      <w:lvlJc w:val="left"/>
      <w:pPr>
        <w:ind w:left="5515" w:hanging="360"/>
      </w:pPr>
    </w:lvl>
    <w:lvl w:ilvl="7" w:tplc="058C2216">
      <w:start w:val="1"/>
      <w:numFmt w:val="lowerLetter"/>
      <w:lvlText w:val="%8."/>
      <w:lvlJc w:val="left"/>
      <w:pPr>
        <w:ind w:left="6235" w:hanging="360"/>
      </w:pPr>
    </w:lvl>
    <w:lvl w:ilvl="8" w:tplc="F78C64FA">
      <w:start w:val="1"/>
      <w:numFmt w:val="lowerRoman"/>
      <w:lvlText w:val="%9."/>
      <w:lvlJc w:val="right"/>
      <w:pPr>
        <w:ind w:left="6955" w:hanging="180"/>
      </w:pPr>
    </w:lvl>
  </w:abstractNum>
  <w:abstractNum w:abstractNumId="10" w15:restartNumberingAfterBreak="0">
    <w:nsid w:val="7F652094"/>
    <w:multiLevelType w:val="multilevel"/>
    <w:tmpl w:val="445AA4D4"/>
    <w:lvl w:ilvl="0">
      <w:start w:val="1"/>
      <w:numFmt w:val="decimal"/>
      <w:lvlText w:val="%1."/>
      <w:lvlJc w:val="left"/>
      <w:pPr>
        <w:tabs>
          <w:tab w:val="num" w:pos="360"/>
        </w:tabs>
        <w:ind w:left="360" w:hanging="360"/>
      </w:pPr>
      <w:rPr>
        <w:rFonts w:ascii="Arial" w:hAnsi="Arial" w:cs="Times New Roman" w:hint="default"/>
        <w:b w:val="0"/>
        <w:i w:val="0"/>
        <w:caps w:val="0"/>
        <w:strike w:val="0"/>
        <w:dstrike w:val="0"/>
        <w:vanish w:val="0"/>
        <w:webHidden w:val="0"/>
        <w:color w:val="000000"/>
        <w:sz w:val="20"/>
        <w:szCs w:val="20"/>
        <w:u w:val="none"/>
        <w:effect w:val="none"/>
        <w:vertAlign w:val="baseline"/>
        <w:specVanish w:val="0"/>
      </w:rPr>
    </w:lvl>
    <w:lvl w:ilvl="1">
      <w:start w:val="1"/>
      <w:numFmt w:val="lowerLetter"/>
      <w:lvlText w:val="%2."/>
      <w:lvlJc w:val="left"/>
      <w:pPr>
        <w:tabs>
          <w:tab w:val="num" w:pos="720"/>
        </w:tabs>
        <w:ind w:left="720" w:hanging="360"/>
      </w:pPr>
      <w:rPr>
        <w:rFonts w:ascii="Arial" w:hAnsi="Arial" w:cs="Times New Roman" w:hint="default"/>
        <w:b w:val="0"/>
        <w:i w:val="0"/>
        <w:caps w:val="0"/>
        <w:strike w:val="0"/>
        <w:dstrike w:val="0"/>
        <w:vanish w:val="0"/>
        <w:webHidden w:val="0"/>
        <w:color w:val="000000"/>
        <w:sz w:val="20"/>
        <w:szCs w:val="20"/>
        <w:u w:val="none"/>
        <w:effect w:val="none"/>
        <w:vertAlign w:val="baseline"/>
        <w:specVanish w:val="0"/>
      </w:rPr>
    </w:lvl>
    <w:lvl w:ilvl="2">
      <w:start w:val="1"/>
      <w:numFmt w:val="lowerRoman"/>
      <w:lvlText w:val="%3."/>
      <w:lvlJc w:val="left"/>
      <w:pPr>
        <w:tabs>
          <w:tab w:val="num" w:pos="1440"/>
        </w:tabs>
        <w:ind w:left="1080" w:hanging="360"/>
      </w:pPr>
    </w:lvl>
    <w:lvl w:ilvl="3">
      <w:start w:val="1"/>
      <w:numFmt w:val="upp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730879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2151100">
    <w:abstractNumId w:val="0"/>
    <w:lvlOverride w:ilvl="0">
      <w:startOverride w:val="1"/>
    </w:lvlOverride>
  </w:num>
  <w:num w:numId="3" w16cid:durableId="11110535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65004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1299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56710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21016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94507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01736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939921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1154683">
    <w:abstractNumId w:val="6"/>
  </w:num>
  <w:num w:numId="12" w16cid:durableId="2041126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40DBE"/>
    <w:rsid w:val="00173D3D"/>
    <w:rsid w:val="001E431B"/>
    <w:rsid w:val="00200392"/>
    <w:rsid w:val="00386FE4"/>
    <w:rsid w:val="003A42C5"/>
    <w:rsid w:val="003F0F8C"/>
    <w:rsid w:val="003F1409"/>
    <w:rsid w:val="005076AB"/>
    <w:rsid w:val="00530F5A"/>
    <w:rsid w:val="00574AB7"/>
    <w:rsid w:val="005C111B"/>
    <w:rsid w:val="006874F8"/>
    <w:rsid w:val="006C28A9"/>
    <w:rsid w:val="006C7237"/>
    <w:rsid w:val="006C73E6"/>
    <w:rsid w:val="006D4DA8"/>
    <w:rsid w:val="00706430"/>
    <w:rsid w:val="00722D8D"/>
    <w:rsid w:val="00735572"/>
    <w:rsid w:val="00762FFE"/>
    <w:rsid w:val="00766B2A"/>
    <w:rsid w:val="007D65CC"/>
    <w:rsid w:val="008266D3"/>
    <w:rsid w:val="00845853"/>
    <w:rsid w:val="008F7E75"/>
    <w:rsid w:val="00956090"/>
    <w:rsid w:val="009E13EC"/>
    <w:rsid w:val="00A32732"/>
    <w:rsid w:val="00A365B8"/>
    <w:rsid w:val="00A53924"/>
    <w:rsid w:val="00A55A1E"/>
    <w:rsid w:val="00A60BE3"/>
    <w:rsid w:val="00B6477D"/>
    <w:rsid w:val="00B92D00"/>
    <w:rsid w:val="00BD4998"/>
    <w:rsid w:val="00C01EB8"/>
    <w:rsid w:val="00C433D5"/>
    <w:rsid w:val="00C76C5E"/>
    <w:rsid w:val="00CC34E1"/>
    <w:rsid w:val="00DB74EA"/>
    <w:rsid w:val="00DF7B10"/>
    <w:rsid w:val="00E83399"/>
    <w:rsid w:val="00E963F0"/>
    <w:rsid w:val="00ED7342"/>
    <w:rsid w:val="00F45D2B"/>
    <w:rsid w:val="00FF4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947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853"/>
  </w:style>
  <w:style w:type="paragraph" w:styleId="Heading1">
    <w:name w:val="heading 1"/>
    <w:basedOn w:val="Normal"/>
    <w:next w:val="Normal"/>
    <w:link w:val="Heading1Char"/>
    <w:qFormat/>
    <w:rsid w:val="00A32732"/>
    <w:pPr>
      <w:keepNext/>
      <w:spacing w:after="0" w:line="240" w:lineRule="auto"/>
      <w:jc w:val="center"/>
      <w:outlineLvl w:val="0"/>
    </w:pPr>
    <w:rPr>
      <w:rFonts w:ascii="Arial" w:eastAsia="Times New Roman" w:hAnsi="Arial" w:cs="Times New Roman"/>
      <w:b/>
      <w:kern w:val="28"/>
      <w:sz w:val="28"/>
      <w:szCs w:val="28"/>
    </w:rPr>
  </w:style>
  <w:style w:type="paragraph" w:styleId="Heading2">
    <w:name w:val="heading 2"/>
    <w:basedOn w:val="Normal"/>
    <w:next w:val="Normal"/>
    <w:link w:val="Heading2Char"/>
    <w:unhideWhenUsed/>
    <w:qFormat/>
    <w:rsid w:val="00A32732"/>
    <w:pPr>
      <w:keepNext/>
      <w:numPr>
        <w:ilvl w:val="1"/>
        <w:numId w:val="1"/>
      </w:numPr>
      <w:spacing w:before="240" w:after="60" w:line="240" w:lineRule="auto"/>
      <w:jc w:val="center"/>
      <w:outlineLvl w:val="1"/>
    </w:pPr>
    <w:rPr>
      <w:rFonts w:ascii="Arial" w:eastAsia="Times New Roman" w:hAnsi="Arial" w:cs="Times New Roman"/>
      <w:b/>
      <w:sz w:val="28"/>
      <w:szCs w:val="20"/>
    </w:rPr>
  </w:style>
  <w:style w:type="paragraph" w:styleId="Heading3">
    <w:name w:val="heading 3"/>
    <w:basedOn w:val="Normal"/>
    <w:next w:val="Normal"/>
    <w:link w:val="Heading3Char"/>
    <w:unhideWhenUsed/>
    <w:qFormat/>
    <w:rsid w:val="008266D3"/>
    <w:pPr>
      <w:keepNext/>
      <w:numPr>
        <w:ilvl w:val="2"/>
        <w:numId w:val="1"/>
      </w:numPr>
      <w:spacing w:before="60" w:after="240" w:line="240" w:lineRule="auto"/>
      <w:ind w:left="0" w:firstLine="0"/>
      <w:jc w:val="center"/>
      <w:outlineLvl w:val="2"/>
    </w:pPr>
    <w:rPr>
      <w:rFonts w:ascii="Arial" w:eastAsia="Times New Roman" w:hAnsi="Arial" w:cs="Times New Roman"/>
      <w:b/>
      <w:sz w:val="28"/>
      <w:szCs w:val="20"/>
    </w:rPr>
  </w:style>
  <w:style w:type="paragraph" w:styleId="Heading4">
    <w:name w:val="heading 4"/>
    <w:basedOn w:val="Normal"/>
    <w:next w:val="Normal"/>
    <w:link w:val="Heading4Char"/>
    <w:semiHidden/>
    <w:unhideWhenUsed/>
    <w:qFormat/>
    <w:rsid w:val="00A32732"/>
    <w:pPr>
      <w:keepNext/>
      <w:numPr>
        <w:ilvl w:val="3"/>
        <w:numId w:val="1"/>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unhideWhenUsed/>
    <w:qFormat/>
    <w:rsid w:val="00845853"/>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semiHidden/>
    <w:unhideWhenUsed/>
    <w:qFormat/>
    <w:rsid w:val="00A32732"/>
    <w:pPr>
      <w:numPr>
        <w:ilvl w:val="5"/>
        <w:numId w:val="1"/>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semiHidden/>
    <w:unhideWhenUsed/>
    <w:qFormat/>
    <w:rsid w:val="00A32732"/>
    <w:pPr>
      <w:numPr>
        <w:ilvl w:val="6"/>
        <w:numId w:val="1"/>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semiHidden/>
    <w:unhideWhenUsed/>
    <w:qFormat/>
    <w:rsid w:val="00A32732"/>
    <w:pPr>
      <w:numPr>
        <w:ilvl w:val="7"/>
        <w:numId w:val="1"/>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semiHidden/>
    <w:unhideWhenUsed/>
    <w:qFormat/>
    <w:rsid w:val="00A32732"/>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732"/>
    <w:rPr>
      <w:rFonts w:ascii="Arial" w:eastAsia="Times New Roman" w:hAnsi="Arial" w:cs="Times New Roman"/>
      <w:b/>
      <w:kern w:val="28"/>
      <w:sz w:val="28"/>
      <w:szCs w:val="28"/>
    </w:rPr>
  </w:style>
  <w:style w:type="character" w:customStyle="1" w:styleId="Heading2Char">
    <w:name w:val="Heading 2 Char"/>
    <w:basedOn w:val="DefaultParagraphFont"/>
    <w:link w:val="Heading2"/>
    <w:rsid w:val="00A32732"/>
    <w:rPr>
      <w:rFonts w:ascii="Arial" w:eastAsia="Times New Roman" w:hAnsi="Arial" w:cs="Times New Roman"/>
      <w:b/>
      <w:sz w:val="28"/>
      <w:szCs w:val="20"/>
    </w:rPr>
  </w:style>
  <w:style w:type="character" w:customStyle="1" w:styleId="Heading3Char">
    <w:name w:val="Heading 3 Char"/>
    <w:basedOn w:val="DefaultParagraphFont"/>
    <w:link w:val="Heading3"/>
    <w:rsid w:val="008266D3"/>
    <w:rPr>
      <w:rFonts w:ascii="Arial" w:eastAsia="Times New Roman" w:hAnsi="Arial" w:cs="Times New Roman"/>
      <w:b/>
      <w:sz w:val="28"/>
      <w:szCs w:val="20"/>
    </w:rPr>
  </w:style>
  <w:style w:type="character" w:customStyle="1" w:styleId="Heading4Char">
    <w:name w:val="Heading 4 Char"/>
    <w:basedOn w:val="DefaultParagraphFont"/>
    <w:link w:val="Heading4"/>
    <w:semiHidden/>
    <w:rsid w:val="00A32732"/>
    <w:rPr>
      <w:rFonts w:ascii="Arial" w:eastAsia="Times New Roman" w:hAnsi="Arial" w:cs="Times New Roman"/>
      <w:b/>
      <w:sz w:val="24"/>
      <w:szCs w:val="20"/>
    </w:rPr>
  </w:style>
  <w:style w:type="character" w:customStyle="1" w:styleId="Heading5Char">
    <w:name w:val="Heading 5 Char"/>
    <w:basedOn w:val="DefaultParagraphFont"/>
    <w:link w:val="Heading5"/>
    <w:rsid w:val="00845853"/>
    <w:rPr>
      <w:rFonts w:ascii="Arial" w:eastAsia="Times New Roman" w:hAnsi="Arial" w:cs="Times New Roman"/>
      <w:b/>
      <w:sz w:val="24"/>
      <w:szCs w:val="20"/>
    </w:rPr>
  </w:style>
  <w:style w:type="character" w:customStyle="1" w:styleId="Heading6Char">
    <w:name w:val="Heading 6 Char"/>
    <w:basedOn w:val="DefaultParagraphFont"/>
    <w:link w:val="Heading6"/>
    <w:semiHidden/>
    <w:rsid w:val="00A32732"/>
    <w:rPr>
      <w:rFonts w:ascii="Times New Roman" w:eastAsia="Times New Roman" w:hAnsi="Times New Roman" w:cs="Times New Roman"/>
      <w:i/>
      <w:szCs w:val="20"/>
    </w:rPr>
  </w:style>
  <w:style w:type="character" w:customStyle="1" w:styleId="Heading7Char">
    <w:name w:val="Heading 7 Char"/>
    <w:basedOn w:val="DefaultParagraphFont"/>
    <w:link w:val="Heading7"/>
    <w:semiHidden/>
    <w:rsid w:val="00A32732"/>
    <w:rPr>
      <w:rFonts w:ascii="Arial" w:eastAsia="Times New Roman" w:hAnsi="Arial" w:cs="Times New Roman"/>
      <w:sz w:val="20"/>
      <w:szCs w:val="20"/>
    </w:rPr>
  </w:style>
  <w:style w:type="character" w:customStyle="1" w:styleId="Heading8Char">
    <w:name w:val="Heading 8 Char"/>
    <w:basedOn w:val="DefaultParagraphFont"/>
    <w:link w:val="Heading8"/>
    <w:semiHidden/>
    <w:rsid w:val="00A32732"/>
    <w:rPr>
      <w:rFonts w:ascii="Arial" w:eastAsia="Times New Roman" w:hAnsi="Arial" w:cs="Times New Roman"/>
      <w:i/>
      <w:sz w:val="20"/>
      <w:szCs w:val="20"/>
    </w:rPr>
  </w:style>
  <w:style w:type="character" w:customStyle="1" w:styleId="Heading9Char">
    <w:name w:val="Heading 9 Char"/>
    <w:basedOn w:val="DefaultParagraphFont"/>
    <w:link w:val="Heading9"/>
    <w:semiHidden/>
    <w:rsid w:val="00A32732"/>
    <w:rPr>
      <w:rFonts w:ascii="Arial" w:eastAsia="Times New Roman" w:hAnsi="Arial" w:cs="Times New Roman"/>
      <w:b/>
      <w:i/>
      <w:sz w:val="18"/>
      <w:szCs w:val="20"/>
    </w:rPr>
  </w:style>
  <w:style w:type="numbering" w:customStyle="1" w:styleId="NoList1">
    <w:name w:val="No List1"/>
    <w:next w:val="NoList"/>
    <w:uiPriority w:val="99"/>
    <w:semiHidden/>
    <w:unhideWhenUsed/>
    <w:rsid w:val="00A32732"/>
  </w:style>
  <w:style w:type="character" w:styleId="Hyperlink">
    <w:name w:val="Hyperlink"/>
    <w:uiPriority w:val="99"/>
    <w:unhideWhenUsed/>
    <w:rsid w:val="00A32732"/>
    <w:rPr>
      <w:color w:val="0000FF"/>
      <w:u w:val="single"/>
    </w:rPr>
  </w:style>
  <w:style w:type="character" w:customStyle="1" w:styleId="FollowedHyperlink1">
    <w:name w:val="FollowedHyperlink1"/>
    <w:basedOn w:val="DefaultParagraphFont"/>
    <w:uiPriority w:val="99"/>
    <w:semiHidden/>
    <w:unhideWhenUsed/>
    <w:rsid w:val="00A32732"/>
    <w:rPr>
      <w:color w:val="954F72"/>
      <w:u w:val="single"/>
    </w:rPr>
  </w:style>
  <w:style w:type="paragraph" w:customStyle="1" w:styleId="msonormal0">
    <w:name w:val="msonormal"/>
    <w:basedOn w:val="Normal"/>
    <w:rsid w:val="00A3273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semiHidden/>
    <w:unhideWhenUsed/>
    <w:rsid w:val="00A32732"/>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A32732"/>
    <w:pPr>
      <w:tabs>
        <w:tab w:val="right" w:leader="dot" w:pos="10210"/>
      </w:tabs>
      <w:spacing w:before="120" w:after="120" w:line="240" w:lineRule="auto"/>
    </w:pPr>
    <w:rPr>
      <w:rFonts w:ascii="Arial" w:eastAsia="Times New Roman" w:hAnsi="Arial" w:cs="Times New Roman"/>
      <w:b/>
    </w:rPr>
  </w:style>
  <w:style w:type="paragraph" w:styleId="TOC2">
    <w:name w:val="toc 2"/>
    <w:basedOn w:val="Normal"/>
    <w:next w:val="Normal"/>
    <w:autoRedefine/>
    <w:uiPriority w:val="39"/>
    <w:semiHidden/>
    <w:unhideWhenUsed/>
    <w:rsid w:val="00A32732"/>
    <w:pPr>
      <w:tabs>
        <w:tab w:val="right" w:leader="dot" w:pos="10214"/>
      </w:tabs>
      <w:spacing w:after="0" w:line="240" w:lineRule="auto"/>
    </w:pPr>
    <w:rPr>
      <w:rFonts w:ascii="Arial" w:eastAsia="Times New Roman" w:hAnsi="Arial" w:cs="Times New Roman"/>
    </w:rPr>
  </w:style>
  <w:style w:type="paragraph" w:styleId="TOC3">
    <w:name w:val="toc 3"/>
    <w:basedOn w:val="Normal"/>
    <w:next w:val="Normal"/>
    <w:autoRedefine/>
    <w:semiHidden/>
    <w:unhideWhenUsed/>
    <w:rsid w:val="00A32732"/>
    <w:pPr>
      <w:spacing w:after="0" w:line="240" w:lineRule="auto"/>
      <w:ind w:left="440"/>
    </w:pPr>
    <w:rPr>
      <w:rFonts w:ascii="Arial" w:eastAsia="Times New Roman" w:hAnsi="Arial" w:cs="Times New Roman"/>
      <w:i/>
      <w:szCs w:val="20"/>
    </w:rPr>
  </w:style>
  <w:style w:type="paragraph" w:styleId="TOC4">
    <w:name w:val="toc 4"/>
    <w:basedOn w:val="Normal"/>
    <w:next w:val="Normal"/>
    <w:autoRedefine/>
    <w:semiHidden/>
    <w:unhideWhenUsed/>
    <w:rsid w:val="00A32732"/>
    <w:pPr>
      <w:spacing w:after="0" w:line="240" w:lineRule="auto"/>
      <w:ind w:left="660"/>
    </w:pPr>
    <w:rPr>
      <w:rFonts w:ascii="Arial" w:eastAsia="Times New Roman" w:hAnsi="Arial" w:cs="Times New Roman"/>
      <w:sz w:val="18"/>
      <w:szCs w:val="20"/>
    </w:rPr>
  </w:style>
  <w:style w:type="paragraph" w:styleId="TOC5">
    <w:name w:val="toc 5"/>
    <w:basedOn w:val="Normal"/>
    <w:next w:val="Normal"/>
    <w:autoRedefine/>
    <w:semiHidden/>
    <w:unhideWhenUsed/>
    <w:rsid w:val="00A32732"/>
    <w:pPr>
      <w:spacing w:after="0" w:line="240" w:lineRule="auto"/>
      <w:ind w:left="880"/>
    </w:pPr>
    <w:rPr>
      <w:rFonts w:ascii="Arial" w:eastAsia="Times New Roman" w:hAnsi="Arial" w:cs="Times New Roman"/>
      <w:sz w:val="18"/>
      <w:szCs w:val="20"/>
    </w:rPr>
  </w:style>
  <w:style w:type="paragraph" w:styleId="TOC6">
    <w:name w:val="toc 6"/>
    <w:basedOn w:val="Normal"/>
    <w:next w:val="Normal"/>
    <w:autoRedefine/>
    <w:semiHidden/>
    <w:unhideWhenUsed/>
    <w:rsid w:val="00A32732"/>
    <w:pPr>
      <w:spacing w:after="0" w:line="240" w:lineRule="auto"/>
      <w:ind w:left="1100"/>
    </w:pPr>
    <w:rPr>
      <w:rFonts w:ascii="Arial" w:eastAsia="Times New Roman" w:hAnsi="Arial" w:cs="Times New Roman"/>
      <w:sz w:val="18"/>
      <w:szCs w:val="20"/>
    </w:rPr>
  </w:style>
  <w:style w:type="paragraph" w:styleId="TOC7">
    <w:name w:val="toc 7"/>
    <w:basedOn w:val="Normal"/>
    <w:next w:val="Normal"/>
    <w:autoRedefine/>
    <w:semiHidden/>
    <w:unhideWhenUsed/>
    <w:rsid w:val="00A32732"/>
    <w:pPr>
      <w:spacing w:after="0" w:line="240" w:lineRule="auto"/>
      <w:ind w:left="1320"/>
    </w:pPr>
    <w:rPr>
      <w:rFonts w:ascii="Arial" w:eastAsia="Times New Roman" w:hAnsi="Arial" w:cs="Times New Roman"/>
      <w:sz w:val="18"/>
      <w:szCs w:val="20"/>
    </w:rPr>
  </w:style>
  <w:style w:type="paragraph" w:styleId="TOC8">
    <w:name w:val="toc 8"/>
    <w:basedOn w:val="Normal"/>
    <w:next w:val="Normal"/>
    <w:autoRedefine/>
    <w:semiHidden/>
    <w:unhideWhenUsed/>
    <w:rsid w:val="00A32732"/>
    <w:pPr>
      <w:spacing w:after="0" w:line="240" w:lineRule="auto"/>
      <w:ind w:left="1540"/>
    </w:pPr>
    <w:rPr>
      <w:rFonts w:ascii="Arial" w:eastAsia="Times New Roman" w:hAnsi="Arial" w:cs="Times New Roman"/>
      <w:sz w:val="18"/>
      <w:szCs w:val="20"/>
    </w:rPr>
  </w:style>
  <w:style w:type="paragraph" w:styleId="TOC9">
    <w:name w:val="toc 9"/>
    <w:basedOn w:val="Normal"/>
    <w:next w:val="Normal"/>
    <w:autoRedefine/>
    <w:semiHidden/>
    <w:unhideWhenUsed/>
    <w:rsid w:val="00A32732"/>
    <w:pPr>
      <w:spacing w:after="0" w:line="240" w:lineRule="auto"/>
      <w:ind w:left="1760"/>
    </w:pPr>
    <w:rPr>
      <w:rFonts w:ascii="Arial" w:eastAsia="Times New Roman" w:hAnsi="Arial" w:cs="Times New Roman"/>
      <w:sz w:val="18"/>
      <w:szCs w:val="20"/>
    </w:rPr>
  </w:style>
  <w:style w:type="paragraph" w:styleId="CommentText">
    <w:name w:val="annotation text"/>
    <w:basedOn w:val="Normal"/>
    <w:link w:val="CommentTextChar"/>
    <w:uiPriority w:val="99"/>
    <w:semiHidden/>
    <w:unhideWhenUsed/>
    <w:rsid w:val="00A32732"/>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A32732"/>
    <w:rPr>
      <w:rFonts w:ascii="Arial" w:eastAsia="Times New Roman" w:hAnsi="Arial" w:cs="Times New Roman"/>
      <w:sz w:val="20"/>
      <w:szCs w:val="20"/>
    </w:rPr>
  </w:style>
  <w:style w:type="paragraph" w:styleId="Header">
    <w:name w:val="header"/>
    <w:basedOn w:val="Normal"/>
    <w:link w:val="HeaderChar"/>
    <w:unhideWhenUsed/>
    <w:rsid w:val="00A32732"/>
    <w:pPr>
      <w:tabs>
        <w:tab w:val="center" w:pos="4320"/>
        <w:tab w:val="right" w:pos="864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A32732"/>
    <w:rPr>
      <w:rFonts w:ascii="Arial" w:eastAsia="Times New Roman" w:hAnsi="Arial" w:cs="Times New Roman"/>
      <w:szCs w:val="20"/>
    </w:rPr>
  </w:style>
  <w:style w:type="paragraph" w:styleId="Footer">
    <w:name w:val="footer"/>
    <w:basedOn w:val="Normal"/>
    <w:link w:val="FooterChar"/>
    <w:unhideWhenUsed/>
    <w:rsid w:val="00A32732"/>
    <w:pPr>
      <w:tabs>
        <w:tab w:val="center" w:pos="4320"/>
        <w:tab w:val="right" w:pos="864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A32732"/>
    <w:rPr>
      <w:rFonts w:ascii="Arial" w:eastAsia="Times New Roman" w:hAnsi="Arial" w:cs="Times New Roman"/>
      <w:szCs w:val="20"/>
    </w:rPr>
  </w:style>
  <w:style w:type="paragraph" w:styleId="ListNumber">
    <w:name w:val="List Number"/>
    <w:basedOn w:val="Normal"/>
    <w:semiHidden/>
    <w:unhideWhenUsed/>
    <w:rsid w:val="00A32732"/>
    <w:pPr>
      <w:numPr>
        <w:numId w:val="2"/>
      </w:numPr>
      <w:spacing w:after="0" w:line="240" w:lineRule="auto"/>
    </w:pPr>
    <w:rPr>
      <w:rFonts w:ascii="Arial" w:eastAsia="Times New Roman" w:hAnsi="Arial" w:cs="Times New Roman"/>
      <w:szCs w:val="20"/>
    </w:rPr>
  </w:style>
  <w:style w:type="paragraph" w:styleId="BodyText2">
    <w:name w:val="Body Text 2"/>
    <w:basedOn w:val="Normal"/>
    <w:link w:val="BodyText2Char"/>
    <w:semiHidden/>
    <w:unhideWhenUsed/>
    <w:rsid w:val="00A32732"/>
    <w:pPr>
      <w:numPr>
        <w:ilvl w:val="12"/>
      </w:numPr>
      <w:spacing w:after="0" w:line="240" w:lineRule="auto"/>
      <w:jc w:val="both"/>
    </w:pPr>
    <w:rPr>
      <w:rFonts w:ascii="Arial" w:eastAsia="Times New Roman" w:hAnsi="Arial" w:cs="Times New Roman"/>
      <w:szCs w:val="20"/>
    </w:rPr>
  </w:style>
  <w:style w:type="character" w:customStyle="1" w:styleId="BodyText2Char">
    <w:name w:val="Body Text 2 Char"/>
    <w:basedOn w:val="DefaultParagraphFont"/>
    <w:link w:val="BodyText2"/>
    <w:semiHidden/>
    <w:rsid w:val="00A32732"/>
    <w:rPr>
      <w:rFonts w:ascii="Arial" w:eastAsia="Times New Roman" w:hAnsi="Arial" w:cs="Times New Roman"/>
      <w:szCs w:val="20"/>
    </w:rPr>
  </w:style>
  <w:style w:type="paragraph" w:styleId="CommentSubject">
    <w:name w:val="annotation subject"/>
    <w:basedOn w:val="CommentText"/>
    <w:next w:val="CommentText"/>
    <w:link w:val="CommentSubjectChar"/>
    <w:semiHidden/>
    <w:unhideWhenUsed/>
    <w:rsid w:val="00A32732"/>
    <w:rPr>
      <w:b/>
      <w:bCs/>
    </w:rPr>
  </w:style>
  <w:style w:type="character" w:customStyle="1" w:styleId="CommentSubjectChar">
    <w:name w:val="Comment Subject Char"/>
    <w:basedOn w:val="CommentTextChar"/>
    <w:link w:val="CommentSubject"/>
    <w:semiHidden/>
    <w:rsid w:val="00A32732"/>
    <w:rPr>
      <w:rFonts w:ascii="Arial" w:eastAsia="Times New Roman" w:hAnsi="Arial" w:cs="Times New Roman"/>
      <w:b/>
      <w:bCs/>
      <w:sz w:val="20"/>
      <w:szCs w:val="20"/>
    </w:rPr>
  </w:style>
  <w:style w:type="paragraph" w:styleId="BalloonText">
    <w:name w:val="Balloon Text"/>
    <w:basedOn w:val="Normal"/>
    <w:link w:val="BalloonTextChar"/>
    <w:semiHidden/>
    <w:unhideWhenUsed/>
    <w:rsid w:val="00A3273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A32732"/>
    <w:rPr>
      <w:rFonts w:ascii="Tahoma" w:eastAsia="Times New Roman" w:hAnsi="Tahoma" w:cs="Tahoma"/>
      <w:sz w:val="16"/>
      <w:szCs w:val="16"/>
    </w:rPr>
  </w:style>
  <w:style w:type="paragraph" w:styleId="NoSpacing">
    <w:name w:val="No Spacing"/>
    <w:uiPriority w:val="1"/>
    <w:qFormat/>
    <w:rsid w:val="00A32732"/>
    <w:pPr>
      <w:spacing w:after="0" w:line="240" w:lineRule="auto"/>
    </w:pPr>
    <w:rPr>
      <w:rFonts w:ascii="Arial" w:eastAsia="Times New Roman" w:hAnsi="Arial" w:cs="Times New Roman"/>
      <w:szCs w:val="20"/>
    </w:rPr>
  </w:style>
  <w:style w:type="paragraph" w:styleId="Revision">
    <w:name w:val="Revision"/>
    <w:uiPriority w:val="99"/>
    <w:semiHidden/>
    <w:rsid w:val="00A32732"/>
    <w:pPr>
      <w:spacing w:after="0" w:line="240" w:lineRule="auto"/>
    </w:pPr>
    <w:rPr>
      <w:rFonts w:ascii="Arial" w:eastAsia="Times New Roman" w:hAnsi="Arial" w:cs="Times New Roman"/>
      <w:szCs w:val="20"/>
    </w:rPr>
  </w:style>
  <w:style w:type="character" w:customStyle="1" w:styleId="ListParagraphChar">
    <w:name w:val="List Paragraph Char"/>
    <w:link w:val="ListParagraph"/>
    <w:uiPriority w:val="34"/>
    <w:locked/>
    <w:rsid w:val="00A32732"/>
    <w:rPr>
      <w:rFonts w:ascii="Arial" w:hAnsi="Arial" w:cs="Arial"/>
    </w:rPr>
  </w:style>
  <w:style w:type="paragraph" w:customStyle="1" w:styleId="ListParagraph1">
    <w:name w:val="List Paragraph1"/>
    <w:basedOn w:val="Normal"/>
    <w:next w:val="ListParagraph"/>
    <w:uiPriority w:val="34"/>
    <w:qFormat/>
    <w:rsid w:val="00A32732"/>
    <w:pPr>
      <w:spacing w:after="0" w:line="240" w:lineRule="auto"/>
      <w:ind w:left="720"/>
    </w:pPr>
    <w:rPr>
      <w:rFonts w:ascii="Arial" w:hAnsi="Arial" w:cs="Arial"/>
    </w:rPr>
  </w:style>
  <w:style w:type="paragraph" w:customStyle="1" w:styleId="InsideAddress">
    <w:name w:val="InsideAddress"/>
    <w:basedOn w:val="Normal"/>
    <w:rsid w:val="00A32732"/>
    <w:pPr>
      <w:spacing w:before="480" w:after="0" w:line="240" w:lineRule="auto"/>
    </w:pPr>
    <w:rPr>
      <w:rFonts w:ascii="Courier New" w:eastAsia="Times New Roman" w:hAnsi="Courier New" w:cs="Times New Roman"/>
      <w:szCs w:val="20"/>
    </w:rPr>
  </w:style>
  <w:style w:type="paragraph" w:customStyle="1" w:styleId="ROPShellNumbering">
    <w:name w:val="ROPShellNumbering"/>
    <w:basedOn w:val="ListNumber"/>
    <w:rsid w:val="00A32732"/>
    <w:pPr>
      <w:numPr>
        <w:numId w:val="3"/>
      </w:numPr>
      <w:spacing w:after="200"/>
    </w:pPr>
    <w:rPr>
      <w:sz w:val="20"/>
      <w:szCs w:val="22"/>
    </w:rPr>
  </w:style>
  <w:style w:type="paragraph" w:customStyle="1" w:styleId="Default">
    <w:name w:val="Default"/>
    <w:rsid w:val="00A32732"/>
    <w:pPr>
      <w:autoSpaceDE w:val="0"/>
      <w:autoSpaceDN w:val="0"/>
      <w:adjustRightInd w:val="0"/>
      <w:spacing w:after="0" w:line="240" w:lineRule="auto"/>
    </w:pPr>
    <w:rPr>
      <w:rFonts w:ascii="Arial" w:eastAsia="Times New Roman" w:hAnsi="Arial" w:cs="Arial"/>
      <w:color w:val="000000"/>
      <w:sz w:val="24"/>
      <w:szCs w:val="24"/>
    </w:rPr>
  </w:style>
  <w:style w:type="character" w:styleId="CommentReference">
    <w:name w:val="annotation reference"/>
    <w:uiPriority w:val="99"/>
    <w:semiHidden/>
    <w:unhideWhenUsed/>
    <w:rsid w:val="00A32732"/>
    <w:rPr>
      <w:sz w:val="16"/>
    </w:rPr>
  </w:style>
  <w:style w:type="character" w:customStyle="1" w:styleId="normaltextrun">
    <w:name w:val="normaltextrun"/>
    <w:basedOn w:val="DefaultParagraphFont"/>
    <w:rsid w:val="00A32732"/>
  </w:style>
  <w:style w:type="table" w:styleId="TableGrid">
    <w:name w:val="Table Grid"/>
    <w:basedOn w:val="TableNormal"/>
    <w:rsid w:val="00A3273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OPShellNumTables">
    <w:name w:val="ROPShellNumTables"/>
    <w:rsid w:val="00A32732"/>
    <w:pPr>
      <w:numPr>
        <w:numId w:val="11"/>
      </w:numPr>
    </w:pPr>
  </w:style>
  <w:style w:type="character" w:styleId="FollowedHyperlink">
    <w:name w:val="FollowedHyperlink"/>
    <w:basedOn w:val="DefaultParagraphFont"/>
    <w:uiPriority w:val="99"/>
    <w:semiHidden/>
    <w:unhideWhenUsed/>
    <w:rsid w:val="00A32732"/>
    <w:rPr>
      <w:color w:val="954F72" w:themeColor="followedHyperlink"/>
      <w:u w:val="single"/>
    </w:rPr>
  </w:style>
  <w:style w:type="paragraph" w:styleId="ListParagraph">
    <w:name w:val="List Paragraph"/>
    <w:basedOn w:val="Normal"/>
    <w:link w:val="ListParagraphChar"/>
    <w:uiPriority w:val="34"/>
    <w:qFormat/>
    <w:rsid w:val="00A32732"/>
    <w:pPr>
      <w:ind w:left="720"/>
      <w:contextualSpacing/>
    </w:pPr>
    <w:rPr>
      <w:rFonts w:ascii="Arial" w:hAnsi="Arial" w:cs="Arial"/>
    </w:rPr>
  </w:style>
  <w:style w:type="paragraph" w:styleId="Caption">
    <w:name w:val="caption"/>
    <w:basedOn w:val="Normal"/>
    <w:next w:val="Normal"/>
    <w:uiPriority w:val="35"/>
    <w:unhideWhenUsed/>
    <w:qFormat/>
    <w:rsid w:val="00845853"/>
    <w:pPr>
      <w:spacing w:before="120" w:after="200" w:line="240" w:lineRule="auto"/>
      <w:jc w:val="center"/>
    </w:pPr>
    <w:rPr>
      <w:rFonts w:ascii="Arial" w:hAnsi="Arial"/>
      <w:b/>
      <w:iCs/>
      <w:sz w:val="24"/>
      <w:szCs w:val="18"/>
    </w:rPr>
  </w:style>
  <w:style w:type="character" w:styleId="UnresolvedMention">
    <w:name w:val="Unresolved Mention"/>
    <w:basedOn w:val="DefaultParagraphFont"/>
    <w:uiPriority w:val="99"/>
    <w:semiHidden/>
    <w:unhideWhenUsed/>
    <w:rsid w:val="00845853"/>
    <w:rPr>
      <w:color w:val="605E5C"/>
      <w:shd w:val="clear" w:color="auto" w:fill="E1DFDD"/>
    </w:rPr>
  </w:style>
  <w:style w:type="paragraph" w:customStyle="1" w:styleId="Heading4C">
    <w:name w:val="Heading 4C"/>
    <w:basedOn w:val="Heading2"/>
    <w:link w:val="Heading4CChar"/>
    <w:qFormat/>
    <w:rsid w:val="008266D3"/>
    <w:pPr>
      <w:numPr>
        <w:ilvl w:val="0"/>
        <w:numId w:val="0"/>
      </w:numPr>
      <w:spacing w:after="240"/>
      <w:ind w:left="360" w:hanging="360"/>
      <w:jc w:val="left"/>
    </w:pPr>
    <w:rPr>
      <w:sz w:val="24"/>
      <w:szCs w:val="22"/>
    </w:rPr>
  </w:style>
  <w:style w:type="character" w:customStyle="1" w:styleId="Heading4CChar">
    <w:name w:val="Heading 4C Char"/>
    <w:basedOn w:val="Heading2Char"/>
    <w:link w:val="Heading4C"/>
    <w:rsid w:val="008266D3"/>
    <w:rPr>
      <w:rFonts w:ascii="Arial" w:eastAsia="Times New Roman" w:hAnsi="Arial" w:cs="Times New Roman"/>
      <w:b/>
      <w:sz w:val="24"/>
      <w:szCs w:val="20"/>
    </w:rPr>
  </w:style>
  <w:style w:type="paragraph" w:customStyle="1" w:styleId="Caption2">
    <w:name w:val="Caption 2"/>
    <w:basedOn w:val="Normal"/>
    <w:link w:val="Caption2Char"/>
    <w:qFormat/>
    <w:rsid w:val="00845853"/>
    <w:pPr>
      <w:spacing w:before="240" w:after="60"/>
    </w:pPr>
    <w:rPr>
      <w:rFonts w:ascii="Arial" w:eastAsia="Times New Roman" w:hAnsi="Arial" w:cs="Arial"/>
      <w:b/>
      <w:sz w:val="24"/>
      <w:szCs w:val="20"/>
    </w:rPr>
  </w:style>
  <w:style w:type="character" w:customStyle="1" w:styleId="Caption2Char">
    <w:name w:val="Caption 2 Char"/>
    <w:basedOn w:val="DefaultParagraphFont"/>
    <w:link w:val="Caption2"/>
    <w:rsid w:val="00845853"/>
    <w:rPr>
      <w:rFonts w:ascii="Arial" w:eastAsia="Times New Roman" w:hAnsi="Arial" w:cs="Arial"/>
      <w:b/>
      <w:sz w:val="24"/>
      <w:szCs w:val="20"/>
    </w:rPr>
  </w:style>
  <w:style w:type="paragraph" w:customStyle="1" w:styleId="Caption3">
    <w:name w:val="Caption 3"/>
    <w:basedOn w:val="Normal"/>
    <w:link w:val="Caption3Char"/>
    <w:qFormat/>
    <w:rsid w:val="00845853"/>
    <w:pPr>
      <w:jc w:val="both"/>
    </w:pPr>
    <w:rPr>
      <w:rFonts w:ascii="Arial" w:eastAsia="Times New Roman" w:hAnsi="Arial" w:cs="Times New Roman"/>
      <w:b/>
      <w:szCs w:val="20"/>
    </w:rPr>
  </w:style>
  <w:style w:type="character" w:customStyle="1" w:styleId="Caption3Char">
    <w:name w:val="Caption 3 Char"/>
    <w:basedOn w:val="DefaultParagraphFont"/>
    <w:link w:val="Caption3"/>
    <w:rsid w:val="00845853"/>
    <w:rPr>
      <w:rFonts w:ascii="Arial" w:eastAsia="Times New Roman" w:hAnsi="Arial" w:cs="Times New Roman"/>
      <w:b/>
      <w:szCs w:val="20"/>
    </w:rPr>
  </w:style>
  <w:style w:type="paragraph" w:customStyle="1" w:styleId="Heading4A">
    <w:name w:val="Heading 4A"/>
    <w:basedOn w:val="Heading2"/>
    <w:link w:val="Heading4AChar"/>
    <w:qFormat/>
    <w:rsid w:val="00040DBE"/>
    <w:pPr>
      <w:ind w:left="0" w:firstLine="0"/>
    </w:pPr>
  </w:style>
  <w:style w:type="character" w:customStyle="1" w:styleId="Heading4AChar">
    <w:name w:val="Heading 4A Char"/>
    <w:basedOn w:val="Heading2Char"/>
    <w:link w:val="Heading4A"/>
    <w:rsid w:val="00040DBE"/>
    <w:rPr>
      <w:rFonts w:ascii="Arial" w:eastAsia="Times New Roman" w:hAnsi="Arial" w:cs="Times New Roman"/>
      <w:b/>
      <w:sz w:val="28"/>
      <w:szCs w:val="20"/>
    </w:rPr>
  </w:style>
  <w:style w:type="paragraph" w:customStyle="1" w:styleId="Heading4B">
    <w:name w:val="Heading 4B"/>
    <w:basedOn w:val="Heading4A"/>
    <w:link w:val="Heading4BChar"/>
    <w:qFormat/>
    <w:rsid w:val="00040DBE"/>
    <w:pPr>
      <w:spacing w:before="60" w:after="240"/>
    </w:pPr>
    <w:rPr>
      <w:szCs w:val="28"/>
    </w:rPr>
  </w:style>
  <w:style w:type="character" w:customStyle="1" w:styleId="Heading4BChar">
    <w:name w:val="Heading 4B Char"/>
    <w:basedOn w:val="Heading4AChar"/>
    <w:link w:val="Heading4B"/>
    <w:rsid w:val="00040DBE"/>
    <w:rPr>
      <w:rFonts w:ascii="Arial" w:eastAsia="Times New Roman" w:hAnsi="Arial" w:cs="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electronic-reporting-air-emissions/electronic-reporting-tool-er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cc02.safelinks.protection.outlook.com/?url=https%3A%2F%2Fmienviro.michigan.gov%2Fncore%2Fexternal%2Fhome&amp;data=05%7C02%7CORENTK%40michigan.gov%7Cf2e6fc9e313246740a2b08de3822b7aa%7Cd5fb7087377742ad966a892ef47225d1%7C0%7C0%7C639009918912711080%7CUnknown%7CTWFpbGZsb3d8eyJFbXB0eU1hcGkiOnRydWUsIlYiOiIwLjAuMDAwMCIsIlAiOiJXaW4zMiIsIkFOIjoiTWFpbCIsIldUIjoyfQ%3D%3D%7C0%7C%7C%7C&amp;sdata=GfhVu8turV%2F%2FPkX2AKxP6225DrI0m6PwTFE7KJBg2Do%3D&amp;reserved=0" TargetMode="External"/><Relationship Id="rId5" Type="http://schemas.openxmlformats.org/officeDocument/2006/relationships/webSettings" Target="webSettings.xml"/><Relationship Id="rId10" Type="http://schemas.openxmlformats.org/officeDocument/2006/relationships/hyperlink" Target="https://mienviro.michigan.gov/ncore/external/home" TargetMode="External"/><Relationship Id="rId4" Type="http://schemas.openxmlformats.org/officeDocument/2006/relationships/settings" Target="settings.xml"/><Relationship Id="rId9" Type="http://schemas.openxmlformats.org/officeDocument/2006/relationships/hyperlink" Target="https://cdx.epa.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0071E-76F5-4C30-A20A-C29330578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60-3x-02-landfill-nmoc-less-than-34-mg.dotx</Template>
  <TotalTime>6</TotalTime>
  <Pages>18</Pages>
  <Words>6501</Words>
  <Characters>34521</Characters>
  <Application>Microsoft Office Word</Application>
  <DocSecurity>0</DocSecurity>
  <Lines>750</Lines>
  <Paragraphs>418</Paragraphs>
  <ScaleCrop>false</ScaleCrop>
  <HeadingPairs>
    <vt:vector size="2" baseType="variant">
      <vt:variant>
        <vt:lpstr>Title</vt:lpstr>
      </vt:variant>
      <vt:variant>
        <vt:i4>1</vt:i4>
      </vt:variant>
    </vt:vector>
  </HeadingPairs>
  <TitlesOfParts>
    <vt:vector size="1" baseType="lpstr">
      <vt:lpstr>MSW Landfills -XXX NMOC Less Than 34 Mg</vt:lpstr>
    </vt:vector>
  </TitlesOfParts>
  <Company/>
  <LinksUpToDate>false</LinksUpToDate>
  <CharactersWithSpaces>40604</CharactersWithSpaces>
  <SharedDoc>false</SharedDoc>
  <HyperlinkBase>https://www.egle.state.mi.us/aps/downloads/rop/templates/60-3x-02-landfill-nmoc-less-than-34-mg</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MSW Landfills -XXX NMOC Less Than 34 Mg</dc:title>
  <dc:subject>ID No. 60-3X-02</dc:subject>
  <dc:creator>EGLE-AQD</dc:creator>
  <cp:keywords>AQD, Landfill, Permits, air, ROP, Title V, XXX</cp:keywords>
  <cp:lastModifiedBy>Orent, Kelly (EGLE)</cp:lastModifiedBy>
  <cp:revision>4</cp:revision>
  <dcterms:created xsi:type="dcterms:W3CDTF">2026-04-15T12:57:00Z</dcterms:created>
  <dcterms:modified xsi:type="dcterms:W3CDTF">2026-04-16T13:37:00Z</dcterms:modified>
  <cp:category>ROP Related Templates, permits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2a5afb2c-8314-4730-9691-56b2ae06e753</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2023-10-03T18:16:33Z</vt:lpwstr>
  </property>
  <property fmtid="{D5CDD505-2E9C-101B-9397-08002B2CF9AE}" pid="8" name="MSIP_Label_2f46dfe0-534f-4c95-815c-5b1af86b9823_SiteId">
    <vt:lpwstr>d5fb7087-3777-42ad-966a-892ef47225d1</vt:lpwstr>
  </property>
</Properties>
</file>