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880B1" w14:textId="77777777" w:rsidR="00E04270" w:rsidRPr="00E04270" w:rsidRDefault="00000000" w:rsidP="0003471C">
      <w:pPr>
        <w:spacing w:before="120"/>
        <w:rPr>
          <w:rFonts w:ascii="Arial" w:eastAsia="Times New Roman" w:hAnsi="Arial" w:cs="Times New Roman"/>
          <w:b/>
          <w:szCs w:val="20"/>
        </w:rPr>
      </w:pPr>
      <w:r w:rsidRPr="00E04270">
        <w:rPr>
          <w:rFonts w:ascii="Arial" w:eastAsia="Times New Roman" w:hAnsi="Arial" w:cs="Times New Roman"/>
          <w:b/>
          <w:szCs w:val="20"/>
        </w:rPr>
        <w:t xml:space="preserve">This is the </w:t>
      </w:r>
      <w:r w:rsidRPr="00E04270">
        <w:rPr>
          <w:rFonts w:ascii="Arial" w:eastAsia="Times New Roman" w:hAnsi="Arial" w:cs="Times New Roman"/>
          <w:b/>
        </w:rPr>
        <w:t xml:space="preserve">Flexible Group </w:t>
      </w:r>
      <w:r w:rsidRPr="00E04270">
        <w:rPr>
          <w:rFonts w:ascii="Arial" w:eastAsia="Times New Roman" w:hAnsi="Arial" w:cs="Times New Roman"/>
          <w:b/>
          <w:szCs w:val="20"/>
        </w:rPr>
        <w:t xml:space="preserve">Landfill Template for 40 CFR Part </w:t>
      </w:r>
      <w:r w:rsidRPr="00E04270">
        <w:rPr>
          <w:rFonts w:ascii="Arial" w:eastAsia="Times New Roman" w:hAnsi="Arial" w:cs="Times New Roman"/>
          <w:b/>
          <w:bCs/>
          <w:szCs w:val="20"/>
        </w:rPr>
        <w:t>62</w:t>
      </w:r>
      <w:r w:rsidRPr="00E04270">
        <w:rPr>
          <w:rFonts w:ascii="Arial" w:eastAsia="Times New Roman" w:hAnsi="Arial" w:cs="Times New Roman"/>
          <w:b/>
          <w:szCs w:val="20"/>
        </w:rPr>
        <w:t xml:space="preserve">, Subpart </w:t>
      </w:r>
      <w:r w:rsidRPr="00E04270">
        <w:rPr>
          <w:rFonts w:ascii="Arial" w:eastAsia="Times New Roman" w:hAnsi="Arial" w:cs="Times New Roman"/>
          <w:b/>
          <w:bCs/>
          <w:szCs w:val="20"/>
        </w:rPr>
        <w:t>OOO</w:t>
      </w:r>
      <w:r w:rsidRPr="00E04270">
        <w:rPr>
          <w:rFonts w:ascii="Arial" w:eastAsia="Times New Roman" w:hAnsi="Arial" w:cs="Times New Roman"/>
          <w:b/>
          <w:szCs w:val="20"/>
        </w:rPr>
        <w:t xml:space="preserve"> - Federal Plan Requirements for Municipal Solid Waste Landfills that commenced construction on or before July 17, 2014, and have not been modified or reconstructed since July 17, </w:t>
      </w:r>
      <w:proofErr w:type="gramStart"/>
      <w:r w:rsidRPr="00E04270">
        <w:rPr>
          <w:rFonts w:ascii="Arial" w:eastAsia="Times New Roman" w:hAnsi="Arial" w:cs="Times New Roman"/>
          <w:b/>
          <w:szCs w:val="20"/>
        </w:rPr>
        <w:t>2014</w:t>
      </w:r>
      <w:proofErr w:type="gramEnd"/>
      <w:r w:rsidRPr="00E04270">
        <w:rPr>
          <w:rFonts w:ascii="Arial" w:eastAsia="Times New Roman" w:hAnsi="Arial" w:cs="Times New Roman"/>
          <w:b/>
          <w:szCs w:val="20"/>
        </w:rPr>
        <w:t xml:space="preserve"> which have actual non-methane organic compounds (NMOC) emissions of </w:t>
      </w:r>
      <w:r w:rsidRPr="00E04270">
        <w:rPr>
          <w:rFonts w:ascii="Arial" w:eastAsia="Times New Roman" w:hAnsi="Arial" w:cs="Times New Roman"/>
          <w:b/>
          <w:bCs/>
          <w:szCs w:val="20"/>
        </w:rPr>
        <w:t xml:space="preserve">less </w:t>
      </w:r>
      <w:r w:rsidRPr="00E04270">
        <w:rPr>
          <w:rFonts w:ascii="Arial" w:eastAsia="Times New Roman" w:hAnsi="Arial" w:cs="Times New Roman"/>
          <w:b/>
          <w:szCs w:val="20"/>
        </w:rPr>
        <w:t xml:space="preserve">than </w:t>
      </w:r>
      <w:r w:rsidRPr="00E04270">
        <w:rPr>
          <w:rFonts w:ascii="Arial" w:eastAsia="Times New Roman" w:hAnsi="Arial" w:cs="Times New Roman"/>
          <w:b/>
          <w:bCs/>
          <w:szCs w:val="20"/>
        </w:rPr>
        <w:t>34</w:t>
      </w:r>
      <w:r w:rsidRPr="00E04270">
        <w:rPr>
          <w:rFonts w:ascii="Arial" w:eastAsia="Times New Roman" w:hAnsi="Arial" w:cs="Times New Roman"/>
          <w:b/>
          <w:szCs w:val="20"/>
        </w:rPr>
        <w:t xml:space="preserve"> megagrams per year.  </w:t>
      </w:r>
    </w:p>
    <w:p w14:paraId="0ECC5C97" w14:textId="77777777" w:rsidR="00E04270" w:rsidRPr="00E04270" w:rsidRDefault="00000000" w:rsidP="0003471C">
      <w:pPr>
        <w:spacing w:before="120"/>
        <w:rPr>
          <w:rFonts w:ascii="Arial" w:eastAsia="Times New Roman" w:hAnsi="Arial" w:cs="Times New Roman"/>
          <w:b/>
        </w:rPr>
      </w:pPr>
      <w:r w:rsidRPr="00E04270">
        <w:rPr>
          <w:rFonts w:ascii="Arial" w:eastAsia="Times New Roman" w:hAnsi="Arial" w:cs="Times New Roman"/>
          <w:b/>
        </w:rPr>
        <w:t xml:space="preserve">This template is meant to be inserted into the ROP shell document along with the associated parts and appendices that are specific to this template.  </w:t>
      </w:r>
    </w:p>
    <w:p w14:paraId="57C18ECF" w14:textId="77777777" w:rsidR="00E04270" w:rsidRPr="00E04270" w:rsidRDefault="00000000" w:rsidP="0003471C">
      <w:pPr>
        <w:spacing w:before="120"/>
        <w:rPr>
          <w:rFonts w:ascii="Arial" w:eastAsia="Times New Roman" w:hAnsi="Arial" w:cs="Times New Roman"/>
          <w:b/>
        </w:rPr>
      </w:pPr>
      <w:r w:rsidRPr="00E04270">
        <w:rPr>
          <w:rFonts w:ascii="Arial" w:eastAsia="Times New Roman" w:hAnsi="Arial" w:cs="Times New Roman"/>
          <w:b/>
        </w:rPr>
        <w:t xml:space="preserve">Included is the emission unit name, description, and some instructions for Part C, the Emission Unit Summary Table.  Other emission units may be needed for the ROP.  The template requires the landfill to continually calculate its NMOC emissions and submit the results annually.  </w:t>
      </w:r>
    </w:p>
    <w:p w14:paraId="3D11C4DB" w14:textId="77777777" w:rsidR="00E04270" w:rsidRPr="00E04270" w:rsidRDefault="00000000" w:rsidP="0003471C">
      <w:pPr>
        <w:spacing w:before="120"/>
        <w:rPr>
          <w:rFonts w:ascii="Arial" w:eastAsia="Times New Roman" w:hAnsi="Arial" w:cs="Times New Roman"/>
          <w:b/>
        </w:rPr>
      </w:pPr>
      <w:r w:rsidRPr="00E04270">
        <w:rPr>
          <w:rFonts w:ascii="Arial" w:eastAsia="Times New Roman" w:hAnsi="Arial" w:cs="Times New Roman"/>
          <w:b/>
        </w:rPr>
        <w:t>The requirements for operating the collection and control system for the landfill are not included in this table.  If the facility enters the operational stage during the time of the ROP, it will have to comply with those applicable conditions of the Subpart including submission of an amended ROP application.</w:t>
      </w:r>
    </w:p>
    <w:p w14:paraId="0DADE9E3" w14:textId="4D0727A3" w:rsidR="00E04270" w:rsidRPr="00E04270" w:rsidRDefault="00000000" w:rsidP="0003471C">
      <w:pPr>
        <w:spacing w:before="120"/>
        <w:rPr>
          <w:rFonts w:ascii="Arial" w:eastAsia="Times New Roman" w:hAnsi="Arial" w:cs="Arial"/>
        </w:rPr>
      </w:pPr>
      <w:r w:rsidRPr="00E04270">
        <w:rPr>
          <w:rFonts w:ascii="Arial" w:eastAsia="Times New Roman" w:hAnsi="Arial" w:cs="Arial"/>
          <w:b/>
          <w:color w:val="0000FF"/>
        </w:rPr>
        <w:t xml:space="preserve">Blue text is guidance or notes on the use of the template.  </w:t>
      </w:r>
      <w:r w:rsidR="0003471C" w:rsidRPr="0003471C">
        <w:rPr>
          <w:rFonts w:ascii="Arial" w:eastAsia="Times New Roman" w:hAnsi="Arial" w:cs="Arial"/>
          <w:b/>
          <w:color w:val="0000FF"/>
        </w:rPr>
        <w:t>DELETE ALL BLUE TEXT PRIOR TO ISSUING THE FINAL PERMIT OR SUBMITTING IT WITH A PERMIT APPLICATION</w:t>
      </w:r>
      <w:r w:rsidRPr="00E04270">
        <w:rPr>
          <w:rFonts w:ascii="Arial" w:eastAsia="Times New Roman" w:hAnsi="Arial" w:cs="Arial"/>
          <w:b/>
          <w:color w:val="0000FF"/>
        </w:rPr>
        <w:t xml:space="preserve">.  Read through all conditions.  If this template is being used for an ROP Reopening or Renewal, </w:t>
      </w:r>
      <w:r w:rsidR="0003471C" w:rsidRPr="0003471C">
        <w:rPr>
          <w:rFonts w:ascii="Arial" w:eastAsia="Times New Roman" w:hAnsi="Arial" w:cs="Arial"/>
          <w:b/>
          <w:color w:val="0000FF"/>
        </w:rPr>
        <w:t>AND</w:t>
      </w:r>
      <w:r w:rsidRPr="00E04270">
        <w:rPr>
          <w:rFonts w:ascii="Arial" w:eastAsia="Times New Roman" w:hAnsi="Arial" w:cs="Arial"/>
          <w:b/>
          <w:color w:val="0000FF"/>
        </w:rPr>
        <w:t xml:space="preserve"> the conditions were established in a PTI, the appropriate footnotes which reference enforceability must be added to each applicable condition in the template.</w:t>
      </w:r>
    </w:p>
    <w:p w14:paraId="6462D588" w14:textId="77777777" w:rsidR="00E04270" w:rsidRPr="001839D3" w:rsidRDefault="00000000" w:rsidP="0003471C">
      <w:pPr>
        <w:spacing w:before="120"/>
        <w:rPr>
          <w:rFonts w:ascii="Arial" w:eastAsia="Times New Roman" w:hAnsi="Arial" w:cs="Times New Roman"/>
          <w:b/>
          <w:color w:val="ED0000"/>
        </w:rPr>
      </w:pPr>
      <w:r w:rsidRPr="001839D3">
        <w:rPr>
          <w:rFonts w:ascii="Arial" w:eastAsia="Times New Roman" w:hAnsi="Arial" w:cs="Times New Roman"/>
          <w:b/>
          <w:color w:val="ED0000"/>
        </w:rPr>
        <w:t>Red text identifies options.  Select the option that applies to the source and change the text to black.  Delete red text that does not apply and renumber conditions if necessary.</w:t>
      </w:r>
    </w:p>
    <w:p w14:paraId="1A461D3B" w14:textId="77777777" w:rsidR="00E04270" w:rsidRPr="00E04270" w:rsidRDefault="00000000" w:rsidP="00E04270">
      <w:pPr>
        <w:spacing w:after="0" w:line="240" w:lineRule="auto"/>
        <w:jc w:val="center"/>
        <w:rPr>
          <w:rFonts w:ascii="Arial" w:eastAsia="Times New Roman" w:hAnsi="Arial" w:cs="Times New Roman"/>
          <w:szCs w:val="20"/>
        </w:rPr>
      </w:pPr>
      <w:r w:rsidRPr="00E04270">
        <w:rPr>
          <w:rFonts w:ascii="Arial" w:eastAsia="Times New Roman" w:hAnsi="Arial" w:cs="Times New Roman"/>
          <w:b/>
          <w:szCs w:val="20"/>
        </w:rPr>
        <w:br w:type="page"/>
      </w:r>
    </w:p>
    <w:p w14:paraId="0EDC2AB1" w14:textId="77777777" w:rsidR="00E04270" w:rsidRPr="00E04270" w:rsidRDefault="00000000" w:rsidP="0003471C">
      <w:pPr>
        <w:pStyle w:val="Heading3"/>
      </w:pPr>
      <w:bookmarkStart w:id="0" w:name="_Toc32635125"/>
      <w:bookmarkStart w:id="1" w:name="_Toc852397"/>
      <w:bookmarkStart w:id="2" w:name="_Toc852728"/>
      <w:bookmarkStart w:id="3" w:name="_Toc1453515"/>
      <w:r w:rsidRPr="00E04270">
        <w:lastRenderedPageBreak/>
        <w:t xml:space="preserve">C.  EMISSION UNIT </w:t>
      </w:r>
      <w:bookmarkStart w:id="4" w:name="_Toc2571645"/>
      <w:r w:rsidRPr="00E04270">
        <w:t>SPECIAL CONDITIONS</w:t>
      </w:r>
      <w:bookmarkEnd w:id="0"/>
    </w:p>
    <w:p w14:paraId="56C7F293"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 xml:space="preserve">Part C outlines terms and conditions that are specific to individual emission units listed in the Emission Unit Summary Table.  The permittee is subject to the special conditions for each emission unit in addition to the General Conditions in Part A and any other terms and conditions contained in this ROP.  </w:t>
      </w:r>
    </w:p>
    <w:p w14:paraId="76A30F18"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 xml:space="preserve">The permittee shall comply with all specific details in the special conditions and the underlying applicable requirements cited.  If a specific condition type does not apply, not applicable (NA) has been used in the table.  If there are no conditions specific to individual emission units, this section will be left blank.  </w:t>
      </w:r>
    </w:p>
    <w:p w14:paraId="1C2F791B" w14:textId="77777777" w:rsidR="00E04270" w:rsidRPr="001839D3" w:rsidRDefault="00000000" w:rsidP="0003471C">
      <w:pPr>
        <w:spacing w:before="120"/>
        <w:rPr>
          <w:rFonts w:ascii="Arial" w:eastAsia="Times New Roman" w:hAnsi="Arial" w:cs="Times New Roman"/>
          <w:bCs/>
          <w:color w:val="ED0000"/>
          <w:sz w:val="20"/>
          <w:szCs w:val="20"/>
        </w:rPr>
      </w:pPr>
      <w:bookmarkStart w:id="5" w:name="_Hlk11144641"/>
      <w:r w:rsidRPr="001839D3">
        <w:rPr>
          <w:rFonts w:ascii="Arial" w:eastAsia="Times New Roman" w:hAnsi="Arial" w:cs="Times New Roman"/>
          <w:b/>
          <w:color w:val="ED0000"/>
          <w:szCs w:val="20"/>
        </w:rPr>
        <w:t>{REMOVE ANY EMISSION UNITS THAT ARE NOT AT THE SOURCE OR ADD EMISSION UNITS THAT ARE AT THE SOURCE}</w:t>
      </w:r>
    </w:p>
    <w:p w14:paraId="651E9847" w14:textId="77777777" w:rsidR="00E04270" w:rsidRPr="00E04270" w:rsidRDefault="00000000" w:rsidP="0003471C">
      <w:pPr>
        <w:pStyle w:val="Caption"/>
      </w:pPr>
      <w:bookmarkStart w:id="6" w:name="_Toc852395"/>
      <w:bookmarkStart w:id="7" w:name="_Toc852726"/>
      <w:bookmarkStart w:id="8" w:name="_Toc2571643"/>
      <w:bookmarkStart w:id="9" w:name="_Toc32635126"/>
      <w:bookmarkEnd w:id="5"/>
      <w:r w:rsidRPr="00E04270">
        <w:t>EMISSION UNIT SUMMARY TABLE</w:t>
      </w:r>
      <w:bookmarkEnd w:id="6"/>
      <w:bookmarkEnd w:id="7"/>
      <w:bookmarkEnd w:id="8"/>
      <w:bookmarkEnd w:id="9"/>
    </w:p>
    <w:p w14:paraId="61C4D660" w14:textId="77777777" w:rsidR="00E04270" w:rsidRPr="00E04270" w:rsidRDefault="00000000" w:rsidP="0003471C">
      <w:pPr>
        <w:spacing w:before="120"/>
        <w:rPr>
          <w:rFonts w:ascii="Arial" w:eastAsia="Times New Roman" w:hAnsi="Arial" w:cs="Times New Roman"/>
          <w:szCs w:val="20"/>
        </w:rPr>
      </w:pPr>
      <w:r w:rsidRPr="00E04270">
        <w:rPr>
          <w:rFonts w:ascii="Arial" w:eastAsia="Times New Roman" w:hAnsi="Arial" w:cs="Times New Roman"/>
          <w:sz w:val="20"/>
          <w:szCs w:val="20"/>
        </w:rPr>
        <w:t>The descriptions provided below are for informational purposes and do not constitute enforceable conditions.</w:t>
      </w:r>
    </w:p>
    <w:tbl>
      <w:tblPr>
        <w:tblW w:w="1044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4017"/>
        <w:gridCol w:w="1890"/>
        <w:gridCol w:w="2373"/>
      </w:tblGrid>
      <w:tr w:rsidR="00EE4ACD" w14:paraId="0A1FB8E8" w14:textId="77777777" w:rsidTr="0003471C">
        <w:trPr>
          <w:cantSplit/>
          <w:tblHeader/>
        </w:trPr>
        <w:tc>
          <w:tcPr>
            <w:tcW w:w="2160" w:type="dxa"/>
            <w:shd w:val="clear" w:color="auto" w:fill="D9D9D9"/>
          </w:tcPr>
          <w:p w14:paraId="3F70854A"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Emission Unit ID</w:t>
            </w:r>
          </w:p>
        </w:tc>
        <w:tc>
          <w:tcPr>
            <w:tcW w:w="4017" w:type="dxa"/>
            <w:shd w:val="clear" w:color="auto" w:fill="D9D9D9"/>
          </w:tcPr>
          <w:p w14:paraId="5AB6405F"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Emission Unit Description</w:t>
            </w:r>
          </w:p>
          <w:p w14:paraId="1CD06A36" w14:textId="77777777" w:rsidR="00E04270" w:rsidRPr="00E04270" w:rsidRDefault="00000000" w:rsidP="0003471C">
            <w:pPr>
              <w:spacing w:before="60" w:after="60"/>
              <w:jc w:val="center"/>
              <w:rPr>
                <w:rFonts w:ascii="Arial" w:eastAsia="Times New Roman" w:hAnsi="Arial" w:cs="Times New Roman"/>
                <w:b/>
                <w:sz w:val="18"/>
                <w:szCs w:val="18"/>
              </w:rPr>
            </w:pPr>
            <w:r w:rsidRPr="00E04270">
              <w:rPr>
                <w:rFonts w:ascii="Arial" w:eastAsia="Times New Roman" w:hAnsi="Arial" w:cs="Arial"/>
                <w:b/>
                <w:sz w:val="18"/>
                <w:szCs w:val="18"/>
              </w:rPr>
              <w:t>(I</w:t>
            </w:r>
            <w:r w:rsidRPr="00E04270">
              <w:rPr>
                <w:rFonts w:ascii="Arial" w:eastAsia="Times New Roman" w:hAnsi="Arial" w:cs="Times New Roman"/>
                <w:b/>
                <w:sz w:val="18"/>
                <w:szCs w:val="18"/>
              </w:rPr>
              <w:t>ncluding Process Equipment &amp; Control Device(s))</w:t>
            </w:r>
          </w:p>
        </w:tc>
        <w:tc>
          <w:tcPr>
            <w:tcW w:w="1890" w:type="dxa"/>
            <w:shd w:val="clear" w:color="auto" w:fill="D9D9D9"/>
          </w:tcPr>
          <w:p w14:paraId="77E24117" w14:textId="09D4EF74"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Installation</w:t>
            </w:r>
            <w:r w:rsidR="0003471C">
              <w:rPr>
                <w:rFonts w:ascii="Arial" w:eastAsia="Times New Roman" w:hAnsi="Arial" w:cs="Arial"/>
                <w:b/>
                <w:sz w:val="20"/>
                <w:szCs w:val="20"/>
              </w:rPr>
              <w:t xml:space="preserve"> </w:t>
            </w:r>
            <w:r w:rsidRPr="00E04270">
              <w:rPr>
                <w:rFonts w:ascii="Arial" w:eastAsia="Times New Roman" w:hAnsi="Arial" w:cs="Arial"/>
                <w:b/>
                <w:sz w:val="20"/>
                <w:szCs w:val="20"/>
              </w:rPr>
              <w:t>Date/</w:t>
            </w:r>
            <w:r w:rsidR="0003471C">
              <w:rPr>
                <w:rFonts w:ascii="Arial" w:eastAsia="Times New Roman" w:hAnsi="Arial" w:cs="Arial"/>
                <w:b/>
                <w:sz w:val="20"/>
                <w:szCs w:val="20"/>
              </w:rPr>
              <w:t xml:space="preserve"> </w:t>
            </w:r>
            <w:r w:rsidRPr="00E04270">
              <w:rPr>
                <w:rFonts w:ascii="Arial" w:eastAsia="Times New Roman" w:hAnsi="Arial" w:cs="Arial"/>
                <w:b/>
                <w:sz w:val="20"/>
                <w:szCs w:val="20"/>
              </w:rPr>
              <w:t>Modification Date</w:t>
            </w:r>
          </w:p>
        </w:tc>
        <w:tc>
          <w:tcPr>
            <w:tcW w:w="2373" w:type="dxa"/>
            <w:shd w:val="clear" w:color="auto" w:fill="D9D9D9"/>
          </w:tcPr>
          <w:p w14:paraId="3DE80BF6"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Flexible Group ID</w:t>
            </w:r>
          </w:p>
        </w:tc>
      </w:tr>
      <w:tr w:rsidR="00EE4ACD" w14:paraId="70346297" w14:textId="77777777" w:rsidTr="0003471C">
        <w:trPr>
          <w:cantSplit/>
        </w:trPr>
        <w:tc>
          <w:tcPr>
            <w:tcW w:w="2160" w:type="dxa"/>
          </w:tcPr>
          <w:p w14:paraId="7E055C44" w14:textId="77777777" w:rsidR="00E04270" w:rsidRPr="00E04270" w:rsidRDefault="00000000" w:rsidP="0003471C">
            <w:pPr>
              <w:spacing w:before="60" w:after="60"/>
              <w:rPr>
                <w:rFonts w:ascii="Arial" w:eastAsia="Times New Roman" w:hAnsi="Arial" w:cs="Arial"/>
                <w:sz w:val="20"/>
                <w:szCs w:val="20"/>
              </w:rPr>
            </w:pPr>
            <w:r w:rsidRPr="00E04270">
              <w:rPr>
                <w:rFonts w:ascii="Arial" w:eastAsia="Times New Roman" w:hAnsi="Arial" w:cs="Arial"/>
                <w:sz w:val="20"/>
                <w:szCs w:val="20"/>
              </w:rPr>
              <w:t>EULANDFILL</w:t>
            </w:r>
          </w:p>
        </w:tc>
        <w:tc>
          <w:tcPr>
            <w:tcW w:w="4017" w:type="dxa"/>
          </w:tcPr>
          <w:p w14:paraId="2EB1A18D" w14:textId="77777777" w:rsidR="00E04270" w:rsidRPr="00E04270" w:rsidRDefault="00000000" w:rsidP="0003471C">
            <w:pPr>
              <w:spacing w:before="60" w:after="60"/>
              <w:rPr>
                <w:rFonts w:ascii="Arial" w:eastAsia="Times New Roman" w:hAnsi="Arial" w:cs="Arial"/>
                <w:sz w:val="20"/>
                <w:szCs w:val="20"/>
              </w:rPr>
            </w:pPr>
            <w:r w:rsidRPr="00E04270">
              <w:rPr>
                <w:rFonts w:ascii="Arial" w:eastAsia="Times New Roman" w:hAnsi="Arial" w:cs="Times New Roman"/>
                <w:sz w:val="20"/>
                <w:szCs w:val="20"/>
              </w:rPr>
              <w:t xml:space="preserve">A Municipal Solid Waste (MSW) landfill that commenced construction, reconstruction, or modification on or before July 17, 2014, and has accepted waste at any time since November 8, 1987.  The MSW landfill has a design capacity greater than 2.5 million megagrams (Mg) and 2.5 million cubic meters, and actual NMOC emissions less than 34 Mg per year.  This MSW landfill is subject to the requirements of 40 CFR Part 62, Subpart OOO. </w:t>
            </w:r>
          </w:p>
        </w:tc>
        <w:tc>
          <w:tcPr>
            <w:tcW w:w="1890" w:type="dxa"/>
          </w:tcPr>
          <w:p w14:paraId="6F8F7A02" w14:textId="77777777" w:rsidR="00E04270" w:rsidRPr="001839D3" w:rsidRDefault="00000000" w:rsidP="0003471C">
            <w:pPr>
              <w:spacing w:before="60" w:after="60"/>
              <w:jc w:val="center"/>
              <w:rPr>
                <w:rFonts w:ascii="Arial" w:eastAsia="Times New Roman" w:hAnsi="Arial" w:cs="Arial"/>
                <w:color w:val="ED0000"/>
                <w:sz w:val="20"/>
                <w:szCs w:val="20"/>
              </w:rPr>
            </w:pPr>
            <w:r w:rsidRPr="001839D3">
              <w:rPr>
                <w:rFonts w:ascii="Arial" w:eastAsia="Times New Roman" w:hAnsi="Arial" w:cs="Arial"/>
                <w:color w:val="ED0000"/>
                <w:sz w:val="20"/>
                <w:szCs w:val="20"/>
              </w:rPr>
              <w:t>{Use mm-dd-</w:t>
            </w:r>
            <w:proofErr w:type="spellStart"/>
            <w:r w:rsidRPr="001839D3">
              <w:rPr>
                <w:rFonts w:ascii="Arial" w:eastAsia="Times New Roman" w:hAnsi="Arial" w:cs="Arial"/>
                <w:color w:val="ED0000"/>
                <w:sz w:val="20"/>
                <w:szCs w:val="20"/>
              </w:rPr>
              <w:t>yyyy</w:t>
            </w:r>
            <w:proofErr w:type="spellEnd"/>
            <w:r w:rsidRPr="001839D3">
              <w:rPr>
                <w:rFonts w:ascii="Arial" w:eastAsia="Times New Roman" w:hAnsi="Arial" w:cs="Arial"/>
                <w:color w:val="ED0000"/>
                <w:sz w:val="20"/>
                <w:szCs w:val="20"/>
              </w:rPr>
              <w:t>}</w:t>
            </w:r>
          </w:p>
        </w:tc>
        <w:tc>
          <w:tcPr>
            <w:tcW w:w="2373" w:type="dxa"/>
          </w:tcPr>
          <w:p w14:paraId="6E488C1F" w14:textId="77777777" w:rsidR="00E04270" w:rsidRPr="00E04270" w:rsidRDefault="00000000" w:rsidP="0003471C">
            <w:pPr>
              <w:spacing w:before="60" w:after="60"/>
              <w:jc w:val="center"/>
              <w:rPr>
                <w:rFonts w:ascii="Arial" w:eastAsia="Times New Roman" w:hAnsi="Arial" w:cs="Arial"/>
                <w:sz w:val="20"/>
                <w:szCs w:val="20"/>
              </w:rPr>
            </w:pPr>
            <w:r w:rsidRPr="001839D3">
              <w:rPr>
                <w:rFonts w:ascii="Arial" w:eastAsia="Times New Roman" w:hAnsi="Arial" w:cs="Arial"/>
                <w:color w:val="ED0000"/>
                <w:sz w:val="20"/>
                <w:szCs w:val="20"/>
              </w:rPr>
              <w:t>FGLANDFILL-OOO&lt;34</w:t>
            </w:r>
          </w:p>
        </w:tc>
      </w:tr>
    </w:tbl>
    <w:p w14:paraId="241C834D" w14:textId="77777777" w:rsidR="00E04270" w:rsidRPr="00E04270" w:rsidRDefault="00000000" w:rsidP="00E04270">
      <w:pPr>
        <w:spacing w:after="0" w:line="240" w:lineRule="auto"/>
        <w:rPr>
          <w:rFonts w:ascii="Arial" w:eastAsia="Times New Roman" w:hAnsi="Arial" w:cs="Times New Roman"/>
          <w:szCs w:val="20"/>
        </w:rPr>
      </w:pPr>
      <w:r w:rsidRPr="00E04270">
        <w:rPr>
          <w:rFonts w:ascii="Arial" w:eastAsia="Times New Roman" w:hAnsi="Arial" w:cs="Times New Roman"/>
          <w:sz w:val="20"/>
          <w:szCs w:val="20"/>
        </w:rPr>
        <w:br w:type="page"/>
      </w:r>
    </w:p>
    <w:p w14:paraId="3460FFEB" w14:textId="77777777" w:rsidR="00E04270" w:rsidRPr="00E04270" w:rsidRDefault="00000000" w:rsidP="0003471C">
      <w:pPr>
        <w:pStyle w:val="Heading3"/>
      </w:pPr>
      <w:bookmarkStart w:id="10" w:name="_Toc32635128"/>
      <w:r w:rsidRPr="00E04270">
        <w:lastRenderedPageBreak/>
        <w:t xml:space="preserve">D.  FLEXIBLE GROUP </w:t>
      </w:r>
      <w:bookmarkEnd w:id="4"/>
      <w:r w:rsidRPr="00E04270">
        <w:t>SPECIAL CONDITIONS</w:t>
      </w:r>
      <w:bookmarkEnd w:id="10"/>
    </w:p>
    <w:p w14:paraId="1A9C1761"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 xml:space="preserve">Part D, outlines terms and conditions that apply to more than one emission unit.  The permittee is subject to the special conditions for each flexible group in addition to the General Conditions in Part A and any other terms and conditions contained in this ROP.  </w:t>
      </w:r>
    </w:p>
    <w:p w14:paraId="4B9A80D7"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 xml:space="preserve">The permittee shall comply with all specific details in the special conditions and the underlying applicable requirements cited.  If a specific condition type does not apply, NA (not applicable) has been used in the table.  If there are no special conditions that apply to more than one emission unit, this section will be left blank.  </w:t>
      </w:r>
    </w:p>
    <w:p w14:paraId="16B9D00A" w14:textId="77777777" w:rsidR="00E04270" w:rsidRPr="00E04270" w:rsidRDefault="00000000" w:rsidP="0003471C">
      <w:pPr>
        <w:spacing w:before="120"/>
        <w:rPr>
          <w:rFonts w:ascii="Arial" w:eastAsia="Times New Roman" w:hAnsi="Arial" w:cs="Times New Roman"/>
          <w:sz w:val="20"/>
          <w:szCs w:val="20"/>
        </w:rPr>
      </w:pPr>
      <w:r w:rsidRPr="001839D3">
        <w:rPr>
          <w:rFonts w:ascii="Arial" w:eastAsia="Times New Roman" w:hAnsi="Arial" w:cs="Times New Roman"/>
          <w:b/>
          <w:color w:val="ED0000"/>
          <w:sz w:val="20"/>
          <w:szCs w:val="20"/>
        </w:rPr>
        <w:t>{REMOVE THIS TABLE IF THERE ARE NO FLEXIBLE GROUPS}</w:t>
      </w:r>
    </w:p>
    <w:p w14:paraId="422B9BBE" w14:textId="77777777" w:rsidR="00E04270" w:rsidRPr="00E04270" w:rsidRDefault="00000000" w:rsidP="0003471C">
      <w:pPr>
        <w:pStyle w:val="Caption"/>
      </w:pPr>
      <w:bookmarkStart w:id="11" w:name="_Toc2571646"/>
      <w:bookmarkStart w:id="12" w:name="_Toc32635129"/>
      <w:r w:rsidRPr="00E04270">
        <w:t>FLEXIBLE GROUP SUMMARY TABLE</w:t>
      </w:r>
      <w:bookmarkEnd w:id="11"/>
      <w:bookmarkEnd w:id="12"/>
    </w:p>
    <w:p w14:paraId="1E029115"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The descriptions provided below are for informational purposes and do not constitute enforceable conditions.</w:t>
      </w:r>
    </w:p>
    <w:tbl>
      <w:tblPr>
        <w:tblW w:w="10301"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1"/>
        <w:gridCol w:w="5130"/>
        <w:gridCol w:w="2700"/>
      </w:tblGrid>
      <w:tr w:rsidR="00EE4ACD" w14:paraId="3F41443B" w14:textId="77777777" w:rsidTr="0003471C">
        <w:trPr>
          <w:cantSplit/>
          <w:tblHeader/>
        </w:trPr>
        <w:tc>
          <w:tcPr>
            <w:tcW w:w="2471" w:type="dxa"/>
            <w:shd w:val="pct10" w:color="auto" w:fill="auto"/>
          </w:tcPr>
          <w:p w14:paraId="6EAC24E2"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Flexible Group ID</w:t>
            </w:r>
          </w:p>
        </w:tc>
        <w:tc>
          <w:tcPr>
            <w:tcW w:w="5130" w:type="dxa"/>
            <w:shd w:val="pct10" w:color="auto" w:fill="auto"/>
          </w:tcPr>
          <w:p w14:paraId="5D0FDF7F"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Flexible Group Description</w:t>
            </w:r>
          </w:p>
        </w:tc>
        <w:tc>
          <w:tcPr>
            <w:tcW w:w="2700" w:type="dxa"/>
            <w:shd w:val="pct10" w:color="auto" w:fill="auto"/>
          </w:tcPr>
          <w:p w14:paraId="44FDEC78"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Associated</w:t>
            </w:r>
          </w:p>
          <w:p w14:paraId="5C658F8F"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Emission Unit IDs</w:t>
            </w:r>
          </w:p>
        </w:tc>
      </w:tr>
      <w:tr w:rsidR="00EE4ACD" w14:paraId="74A6941A" w14:textId="77777777" w:rsidTr="0003471C">
        <w:trPr>
          <w:cantSplit/>
        </w:trPr>
        <w:tc>
          <w:tcPr>
            <w:tcW w:w="2471" w:type="dxa"/>
          </w:tcPr>
          <w:p w14:paraId="45E358C2" w14:textId="77777777" w:rsidR="00E04270" w:rsidRPr="00E04270" w:rsidRDefault="00000000" w:rsidP="0003471C">
            <w:pPr>
              <w:spacing w:before="60" w:after="60"/>
              <w:rPr>
                <w:rFonts w:ascii="Arial" w:eastAsia="Times New Roman" w:hAnsi="Arial" w:cs="Arial"/>
                <w:sz w:val="20"/>
                <w:szCs w:val="20"/>
              </w:rPr>
            </w:pPr>
            <w:r w:rsidRPr="00E04270">
              <w:rPr>
                <w:rFonts w:ascii="Arial" w:eastAsia="Times New Roman" w:hAnsi="Arial" w:cs="Arial"/>
                <w:sz w:val="20"/>
                <w:szCs w:val="20"/>
              </w:rPr>
              <w:t>FGLANDFILL-OOO&lt;34</w:t>
            </w:r>
          </w:p>
        </w:tc>
        <w:tc>
          <w:tcPr>
            <w:tcW w:w="5130" w:type="dxa"/>
          </w:tcPr>
          <w:p w14:paraId="3DD0F5B3" w14:textId="77777777" w:rsidR="00E04270" w:rsidRPr="00E04270" w:rsidRDefault="00000000" w:rsidP="0003471C">
            <w:pPr>
              <w:spacing w:before="60" w:after="60"/>
              <w:jc w:val="both"/>
              <w:rPr>
                <w:rFonts w:ascii="Arial" w:eastAsia="Times New Roman" w:hAnsi="Arial" w:cs="Arial"/>
                <w:sz w:val="20"/>
                <w:szCs w:val="20"/>
              </w:rPr>
            </w:pPr>
            <w:r w:rsidRPr="00E04270">
              <w:rPr>
                <w:rFonts w:ascii="Arial" w:eastAsia="Times New Roman" w:hAnsi="Arial" w:cs="Times New Roman"/>
                <w:sz w:val="20"/>
                <w:szCs w:val="20"/>
              </w:rPr>
              <w:t xml:space="preserve">A Municipal Solid Waste (MSW) landfill that commenced construction, reconstruction, or modification on or before July 17, 2014, and has accepted waste at any time since November 8, 1987.  The MSW landfill has a design capacity greater than 2.5 million megagrams (Mg) and 2.5 million cubic meters, but actual NMOC emissions </w:t>
            </w:r>
            <w:proofErr w:type="gramStart"/>
            <w:r w:rsidRPr="00E04270">
              <w:rPr>
                <w:rFonts w:ascii="Arial" w:eastAsia="Times New Roman" w:hAnsi="Arial" w:cs="Times New Roman"/>
                <w:sz w:val="20"/>
                <w:szCs w:val="20"/>
              </w:rPr>
              <w:t>less</w:t>
            </w:r>
            <w:proofErr w:type="gramEnd"/>
            <w:r w:rsidRPr="00E04270">
              <w:rPr>
                <w:rFonts w:ascii="Arial" w:eastAsia="Times New Roman" w:hAnsi="Arial" w:cs="Times New Roman"/>
                <w:sz w:val="20"/>
                <w:szCs w:val="20"/>
              </w:rPr>
              <w:t xml:space="preserve"> than 34 Mg per year.  This MSW landfill is subject to the requirements of 40 CFR Part 62, Subpart OOO.</w:t>
            </w:r>
          </w:p>
        </w:tc>
        <w:tc>
          <w:tcPr>
            <w:tcW w:w="2700" w:type="dxa"/>
          </w:tcPr>
          <w:p w14:paraId="146EAB19" w14:textId="77777777" w:rsidR="00E04270" w:rsidRPr="00E04270" w:rsidRDefault="00000000" w:rsidP="0003471C">
            <w:pPr>
              <w:spacing w:before="60" w:after="60"/>
              <w:rPr>
                <w:rFonts w:ascii="Arial" w:eastAsia="Times New Roman" w:hAnsi="Arial" w:cs="Arial"/>
                <w:sz w:val="20"/>
                <w:szCs w:val="20"/>
              </w:rPr>
            </w:pPr>
            <w:r w:rsidRPr="00E04270">
              <w:rPr>
                <w:rFonts w:ascii="Arial" w:eastAsia="Times New Roman" w:hAnsi="Arial" w:cs="Arial"/>
                <w:sz w:val="20"/>
                <w:szCs w:val="20"/>
              </w:rPr>
              <w:t>EULANDFILL</w:t>
            </w:r>
          </w:p>
        </w:tc>
      </w:tr>
    </w:tbl>
    <w:p w14:paraId="5C257249" w14:textId="77777777" w:rsidR="00E04270" w:rsidRPr="00E04270" w:rsidRDefault="00000000" w:rsidP="00E04270">
      <w:pPr>
        <w:spacing w:after="0" w:line="240" w:lineRule="auto"/>
        <w:rPr>
          <w:rFonts w:ascii="Arial" w:eastAsia="Times New Roman" w:hAnsi="Arial" w:cs="Times New Roman"/>
          <w:sz w:val="20"/>
          <w:szCs w:val="20"/>
        </w:rPr>
      </w:pPr>
      <w:r w:rsidRPr="00E04270">
        <w:rPr>
          <w:rFonts w:ascii="Arial" w:eastAsia="Times New Roman" w:hAnsi="Arial" w:cs="Times New Roman"/>
          <w:sz w:val="20"/>
          <w:szCs w:val="20"/>
        </w:rPr>
        <w:br w:type="page"/>
      </w:r>
    </w:p>
    <w:p w14:paraId="239E4824" w14:textId="77777777" w:rsidR="00E04270" w:rsidRPr="0003471C" w:rsidRDefault="00000000" w:rsidP="0003471C">
      <w:pPr>
        <w:pStyle w:val="Heading4A"/>
      </w:pPr>
      <w:r w:rsidRPr="0003471C">
        <w:lastRenderedPageBreak/>
        <w:t>FGLANDFILL-OOO&lt;34</w:t>
      </w:r>
    </w:p>
    <w:p w14:paraId="0A425CF5" w14:textId="77777777" w:rsidR="00E04270" w:rsidRPr="00E04270" w:rsidRDefault="00000000" w:rsidP="0003471C">
      <w:pPr>
        <w:pStyle w:val="Heading4B"/>
      </w:pPr>
      <w:r w:rsidRPr="00E04270">
        <w:t>FLEXIBLE GROUP CONDITIONS</w:t>
      </w:r>
    </w:p>
    <w:p w14:paraId="0AEC2B3A" w14:textId="77777777" w:rsidR="00E04270" w:rsidRPr="00E04270" w:rsidRDefault="00000000" w:rsidP="0003471C">
      <w:pPr>
        <w:pStyle w:val="Heading5"/>
      </w:pPr>
      <w:r w:rsidRPr="00E04270">
        <w:t>DESCRIPTION</w:t>
      </w:r>
    </w:p>
    <w:p w14:paraId="2205EDE1" w14:textId="77777777" w:rsidR="00E04270" w:rsidRPr="00E04270" w:rsidRDefault="00000000" w:rsidP="00CA7956">
      <w:pPr>
        <w:spacing w:before="240" w:after="240"/>
        <w:rPr>
          <w:rFonts w:ascii="Arial" w:eastAsia="Times New Roman" w:hAnsi="Arial" w:cs="Times New Roman"/>
          <w:sz w:val="20"/>
          <w:szCs w:val="20"/>
        </w:rPr>
      </w:pPr>
      <w:r w:rsidRPr="00E04270">
        <w:rPr>
          <w:rFonts w:ascii="Arial" w:eastAsia="Times New Roman" w:hAnsi="Arial" w:cs="Times New Roman"/>
          <w:sz w:val="20"/>
          <w:szCs w:val="20"/>
        </w:rPr>
        <w:t xml:space="preserve">A Municipal Solid Waste (MSW) landfill that commenced construction, reconstruction, or modification on or before July 17, 2014, and has accepted waste at any time since November 8, 1987.  The MSW landfill has a design capacity greater than 2.5 million megagrams (Mg) and 2.5 million cubic meters, but actual NMOC emissions </w:t>
      </w:r>
      <w:proofErr w:type="gramStart"/>
      <w:r w:rsidRPr="00E04270">
        <w:rPr>
          <w:rFonts w:ascii="Arial" w:eastAsia="Times New Roman" w:hAnsi="Arial" w:cs="Times New Roman"/>
          <w:sz w:val="20"/>
          <w:szCs w:val="20"/>
        </w:rPr>
        <w:t>less</w:t>
      </w:r>
      <w:proofErr w:type="gramEnd"/>
      <w:r w:rsidRPr="00E04270">
        <w:rPr>
          <w:rFonts w:ascii="Arial" w:eastAsia="Times New Roman" w:hAnsi="Arial" w:cs="Times New Roman"/>
          <w:sz w:val="20"/>
          <w:szCs w:val="20"/>
        </w:rPr>
        <w:t xml:space="preserve"> than 34 Mg per year.  This MSW landfill is subject to the requirements of 40 CFR Part 62, Subpart OOO.  </w:t>
      </w:r>
    </w:p>
    <w:p w14:paraId="4BCC9D1D" w14:textId="0E420324" w:rsidR="00E04270" w:rsidRPr="001839D3" w:rsidRDefault="00000000" w:rsidP="00CA7956">
      <w:pPr>
        <w:spacing w:before="240" w:after="240"/>
        <w:jc w:val="both"/>
        <w:rPr>
          <w:rFonts w:ascii="Arial" w:eastAsia="Times New Roman" w:hAnsi="Arial" w:cs="Times New Roman"/>
          <w:color w:val="ED0000"/>
          <w:sz w:val="20"/>
          <w:szCs w:val="20"/>
        </w:rPr>
      </w:pPr>
      <w:r w:rsidRPr="00E04270">
        <w:rPr>
          <w:rFonts w:ascii="Arial" w:eastAsia="Times New Roman" w:hAnsi="Arial" w:cs="Times New Roman"/>
          <w:b/>
          <w:sz w:val="20"/>
          <w:szCs w:val="20"/>
        </w:rPr>
        <w:t>Emission Unit</w:t>
      </w:r>
      <w:r w:rsidR="0003471C">
        <w:rPr>
          <w:rFonts w:ascii="Arial" w:eastAsia="Times New Roman" w:hAnsi="Arial" w:cs="Times New Roman"/>
          <w:b/>
          <w:sz w:val="20"/>
          <w:szCs w:val="20"/>
        </w:rPr>
        <w:t>(s)</w:t>
      </w:r>
      <w:r w:rsidRPr="00E04270">
        <w:rPr>
          <w:rFonts w:ascii="Arial" w:eastAsia="Times New Roman" w:hAnsi="Arial" w:cs="Times New Roman"/>
          <w:b/>
          <w:sz w:val="20"/>
          <w:szCs w:val="20"/>
        </w:rPr>
        <w:t>:</w:t>
      </w:r>
      <w:r w:rsidRPr="00E04270">
        <w:rPr>
          <w:rFonts w:ascii="Arial" w:eastAsia="Times New Roman" w:hAnsi="Arial" w:cs="Times New Roman"/>
          <w:sz w:val="20"/>
          <w:szCs w:val="20"/>
        </w:rPr>
        <w:t xml:space="preserve">  </w:t>
      </w:r>
      <w:r w:rsidRPr="001839D3">
        <w:rPr>
          <w:rFonts w:ascii="Arial" w:eastAsia="Times New Roman" w:hAnsi="Arial" w:cs="Times New Roman"/>
          <w:color w:val="ED0000"/>
          <w:sz w:val="20"/>
          <w:szCs w:val="20"/>
        </w:rPr>
        <w:t>EULANDFILL</w:t>
      </w:r>
    </w:p>
    <w:p w14:paraId="3434251A" w14:textId="77777777" w:rsidR="00E04270" w:rsidRPr="00E04270" w:rsidRDefault="00000000" w:rsidP="0003471C">
      <w:pPr>
        <w:pStyle w:val="Heading5"/>
      </w:pPr>
      <w:r w:rsidRPr="00E04270">
        <w:t xml:space="preserve">POLLUTION CONTROL EQUIPMENT </w:t>
      </w:r>
    </w:p>
    <w:p w14:paraId="7FA1A20A" w14:textId="77777777" w:rsidR="00E04270" w:rsidRPr="00E04270" w:rsidRDefault="00000000" w:rsidP="0003471C">
      <w:pPr>
        <w:spacing w:before="120"/>
        <w:rPr>
          <w:rFonts w:ascii="Arial" w:eastAsia="Times New Roman" w:hAnsi="Arial" w:cs="Times New Roman"/>
          <w:sz w:val="20"/>
          <w:szCs w:val="20"/>
        </w:rPr>
      </w:pPr>
      <w:r w:rsidRPr="001839D3">
        <w:rPr>
          <w:rFonts w:ascii="Arial" w:eastAsia="Times New Roman" w:hAnsi="Arial" w:cs="Times New Roman"/>
          <w:color w:val="ED0000"/>
          <w:sz w:val="20"/>
          <w:szCs w:val="20"/>
        </w:rPr>
        <w:t>{Enter site specific pollution control equipment or NA}</w:t>
      </w:r>
    </w:p>
    <w:p w14:paraId="7D464A13" w14:textId="77777777" w:rsidR="00E04270" w:rsidRPr="00E04270" w:rsidRDefault="00000000" w:rsidP="0003471C">
      <w:pPr>
        <w:pStyle w:val="Heading5"/>
      </w:pPr>
      <w:r w:rsidRPr="00E04270">
        <w:t>I.  EMISSION LIMIT(S)</w:t>
      </w:r>
    </w:p>
    <w:p w14:paraId="3F98DB0A" w14:textId="77777777" w:rsidR="00E04270" w:rsidRPr="00E04270" w:rsidRDefault="00000000" w:rsidP="0003471C">
      <w:pPr>
        <w:spacing w:before="120"/>
        <w:jc w:val="both"/>
        <w:rPr>
          <w:rFonts w:ascii="Arial" w:eastAsia="Times New Roman" w:hAnsi="Arial" w:cs="Times New Roman"/>
          <w:sz w:val="20"/>
          <w:szCs w:val="20"/>
        </w:rPr>
      </w:pPr>
      <w:r w:rsidRPr="00E04270">
        <w:rPr>
          <w:rFonts w:ascii="Arial" w:eastAsia="Times New Roman" w:hAnsi="Arial" w:cs="Times New Roman"/>
          <w:sz w:val="20"/>
          <w:szCs w:val="20"/>
        </w:rPr>
        <w:t>NA</w:t>
      </w:r>
    </w:p>
    <w:p w14:paraId="3F664E4F" w14:textId="77777777" w:rsidR="00E04270" w:rsidRPr="00E04270" w:rsidRDefault="00000000" w:rsidP="0003471C">
      <w:pPr>
        <w:pStyle w:val="Heading5"/>
      </w:pPr>
      <w:r w:rsidRPr="00E04270">
        <w:t>II.  MATERIAL LIMIT(S)</w:t>
      </w:r>
    </w:p>
    <w:p w14:paraId="1DB292DA" w14:textId="77777777" w:rsidR="00E04270" w:rsidRPr="00E04270" w:rsidRDefault="00000000" w:rsidP="0003471C">
      <w:pPr>
        <w:spacing w:before="120"/>
        <w:jc w:val="both"/>
        <w:rPr>
          <w:rFonts w:ascii="Arial" w:eastAsia="Times New Roman" w:hAnsi="Arial" w:cs="Times New Roman"/>
          <w:sz w:val="20"/>
          <w:szCs w:val="20"/>
        </w:rPr>
      </w:pPr>
      <w:r w:rsidRPr="00E04270">
        <w:rPr>
          <w:rFonts w:ascii="Arial" w:eastAsia="Times New Roman" w:hAnsi="Arial" w:cs="Times New Roman"/>
          <w:sz w:val="20"/>
          <w:szCs w:val="20"/>
        </w:rPr>
        <w:t>NA</w:t>
      </w:r>
    </w:p>
    <w:p w14:paraId="4C99F463" w14:textId="77777777" w:rsidR="00E04270" w:rsidRPr="00E04270" w:rsidRDefault="00000000" w:rsidP="0003471C">
      <w:pPr>
        <w:pStyle w:val="Heading5"/>
      </w:pPr>
      <w:r w:rsidRPr="00E04270">
        <w:t xml:space="preserve">III.  PROCESS/OPERATIONAL RESTRICTION(S) </w:t>
      </w:r>
    </w:p>
    <w:p w14:paraId="6B722969" w14:textId="77777777" w:rsidR="00E04270" w:rsidRPr="00E04270" w:rsidRDefault="00000000" w:rsidP="0003471C">
      <w:pPr>
        <w:spacing w:before="120"/>
        <w:jc w:val="both"/>
        <w:rPr>
          <w:rFonts w:ascii="Arial" w:eastAsia="Times New Roman" w:hAnsi="Arial" w:cs="Arial"/>
          <w:sz w:val="20"/>
          <w:szCs w:val="20"/>
        </w:rPr>
      </w:pPr>
      <w:r w:rsidRPr="00E04270">
        <w:rPr>
          <w:rFonts w:ascii="Arial" w:eastAsia="Times New Roman" w:hAnsi="Arial" w:cs="Arial"/>
          <w:sz w:val="20"/>
          <w:szCs w:val="20"/>
        </w:rPr>
        <w:t>NA</w:t>
      </w:r>
    </w:p>
    <w:p w14:paraId="7034F4DF" w14:textId="77777777" w:rsidR="00E04270" w:rsidRPr="00E04270" w:rsidRDefault="00000000" w:rsidP="0003471C">
      <w:pPr>
        <w:pStyle w:val="Heading5"/>
      </w:pPr>
      <w:r w:rsidRPr="00E04270">
        <w:t>IV.  DESIGN/EQUIPMENT PARAMETER(S)</w:t>
      </w:r>
    </w:p>
    <w:p w14:paraId="1C7D2374"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NA</w:t>
      </w:r>
    </w:p>
    <w:p w14:paraId="49A3C271" w14:textId="77777777" w:rsidR="00E04270" w:rsidRPr="00E04270" w:rsidRDefault="00000000" w:rsidP="0003471C">
      <w:pPr>
        <w:pStyle w:val="Heading5"/>
        <w:spacing w:after="20"/>
      </w:pPr>
      <w:r w:rsidRPr="00E04270">
        <w:t>V.  TESTING/SAMPLING</w:t>
      </w:r>
    </w:p>
    <w:p w14:paraId="2A67472A" w14:textId="77777777" w:rsidR="00E04270" w:rsidRPr="00E04270" w:rsidRDefault="00000000" w:rsidP="0003471C">
      <w:pPr>
        <w:jc w:val="both"/>
        <w:rPr>
          <w:rFonts w:ascii="Arial" w:eastAsia="Times New Roman" w:hAnsi="Arial" w:cs="Times New Roman"/>
          <w:b/>
          <w:bCs/>
          <w:sz w:val="20"/>
          <w:szCs w:val="20"/>
        </w:rPr>
      </w:pPr>
      <w:r w:rsidRPr="00E04270">
        <w:rPr>
          <w:rFonts w:ascii="Arial" w:eastAsia="Times New Roman" w:hAnsi="Arial" w:cs="Times New Roman"/>
          <w:sz w:val="20"/>
          <w:szCs w:val="20"/>
        </w:rPr>
        <w:t xml:space="preserve">Records shall be maintained on file for a period of five years.  </w:t>
      </w:r>
      <w:r w:rsidRPr="00E04270">
        <w:rPr>
          <w:rFonts w:ascii="Arial" w:eastAsia="Times New Roman" w:hAnsi="Arial" w:cs="Times New Roman"/>
          <w:b/>
          <w:bCs/>
          <w:sz w:val="20"/>
          <w:szCs w:val="20"/>
        </w:rPr>
        <w:t>(R 336.1213(3)(b)(ii))</w:t>
      </w:r>
    </w:p>
    <w:p w14:paraId="4713F9A8" w14:textId="4679B4CA" w:rsidR="00E04270" w:rsidRPr="00E04270" w:rsidRDefault="00000000" w:rsidP="00CA7956">
      <w:pPr>
        <w:numPr>
          <w:ilvl w:val="0"/>
          <w:numId w:val="6"/>
        </w:numPr>
        <w:spacing w:before="160"/>
        <w:rPr>
          <w:rFonts w:ascii="Arial" w:eastAsia="Arial" w:hAnsi="Arial" w:cs="Arial"/>
          <w:sz w:val="20"/>
          <w:szCs w:val="20"/>
        </w:rPr>
      </w:pPr>
      <w:r w:rsidRPr="00E04270">
        <w:rPr>
          <w:rFonts w:ascii="Arial" w:eastAsia="Arial" w:hAnsi="Arial" w:cs="Arial"/>
          <w:sz w:val="20"/>
          <w:szCs w:val="20"/>
        </w:rPr>
        <w:t xml:space="preserve">The permittee shall determine the NMOC mass emission rate by testing at owner's expense, in accordance with the Department requirements.  Testing shall be performed using procedures and calculations, as described in Appendices 5 and 7.  No less than 30 days prior to testing, the permittee shall submit a complete test plan to the AQD.  The AQD must approve the final plan prior to testing, including any modifications to the method in the test protocol </w:t>
      </w:r>
      <w:r w:rsidRPr="00E04270">
        <w:rPr>
          <w:rFonts w:ascii="Arial" w:eastAsia="Arial" w:hAnsi="Arial" w:cs="Arial"/>
          <w:color w:val="000000"/>
          <w:sz w:val="20"/>
          <w:szCs w:val="20"/>
        </w:rPr>
        <w:t>that are proposed after initial submittal</w:t>
      </w:r>
      <w:r w:rsidRPr="00E04270">
        <w:rPr>
          <w:rFonts w:ascii="Arial" w:eastAsia="Arial" w:hAnsi="Arial" w:cs="Arial"/>
          <w:szCs w:val="20"/>
        </w:rPr>
        <w:t xml:space="preserve">.  </w:t>
      </w:r>
      <w:r w:rsidRPr="00E04270">
        <w:rPr>
          <w:rFonts w:ascii="Arial" w:eastAsia="Arial" w:hAnsi="Arial" w:cs="Arial"/>
          <w:sz w:val="20"/>
          <w:szCs w:val="20"/>
        </w:rPr>
        <w:t xml:space="preserve">The permittee must submit </w:t>
      </w:r>
      <w:r w:rsidRPr="00E04270">
        <w:rPr>
          <w:rFonts w:ascii="Arial" w:eastAsia="Arial" w:hAnsi="Arial" w:cs="Arial"/>
          <w:color w:val="000000"/>
          <w:sz w:val="20"/>
          <w:szCs w:val="20"/>
        </w:rPr>
        <w:t xml:space="preserve">a complete report of the test results to the AQD </w:t>
      </w:r>
      <w:r w:rsidRPr="00E04270">
        <w:rPr>
          <w:rFonts w:ascii="Arial" w:eastAsia="Arial" w:hAnsi="Arial" w:cs="Arial"/>
          <w:sz w:val="20"/>
          <w:szCs w:val="20"/>
        </w:rPr>
        <w:t xml:space="preserve">within 60 days following the last date of the test.  </w:t>
      </w:r>
      <w:r w:rsidRPr="00E04270">
        <w:rPr>
          <w:rFonts w:ascii="Arial" w:eastAsia="Arial" w:hAnsi="Arial" w:cs="Arial"/>
          <w:b/>
          <w:bCs/>
          <w:sz w:val="20"/>
          <w:szCs w:val="20"/>
        </w:rPr>
        <w:t>(R 336.1213(3), R</w:t>
      </w:r>
      <w:r w:rsidR="008D3A84">
        <w:rPr>
          <w:rFonts w:ascii="Arial" w:eastAsia="Arial" w:hAnsi="Arial" w:cs="Arial"/>
          <w:b/>
          <w:bCs/>
          <w:sz w:val="20"/>
          <w:szCs w:val="20"/>
        </w:rPr>
        <w:t> </w:t>
      </w:r>
      <w:r w:rsidRPr="00E04270">
        <w:rPr>
          <w:rFonts w:ascii="Arial" w:eastAsia="Arial" w:hAnsi="Arial" w:cs="Arial"/>
          <w:b/>
          <w:bCs/>
          <w:sz w:val="20"/>
          <w:szCs w:val="20"/>
        </w:rPr>
        <w:t>336.2001, R 336.2003, R</w:t>
      </w:r>
      <w:r w:rsidR="006511CF">
        <w:rPr>
          <w:rFonts w:ascii="Arial" w:eastAsia="Arial" w:hAnsi="Arial" w:cs="Arial"/>
          <w:b/>
          <w:bCs/>
          <w:sz w:val="20"/>
          <w:szCs w:val="20"/>
        </w:rPr>
        <w:t> </w:t>
      </w:r>
      <w:r w:rsidRPr="00E04270">
        <w:rPr>
          <w:rFonts w:ascii="Arial" w:eastAsia="Arial" w:hAnsi="Arial" w:cs="Arial"/>
          <w:b/>
          <w:bCs/>
          <w:sz w:val="20"/>
          <w:szCs w:val="20"/>
        </w:rPr>
        <w:t>336.2004, 40 CFR 62.16714(e)(1), 40 CFR 62.16718(a)(1))</w:t>
      </w:r>
    </w:p>
    <w:p w14:paraId="645D859C" w14:textId="77777777" w:rsidR="00E04270" w:rsidRPr="00E04270" w:rsidRDefault="00000000" w:rsidP="00CA7956">
      <w:pPr>
        <w:numPr>
          <w:ilvl w:val="0"/>
          <w:numId w:val="5"/>
        </w:numPr>
        <w:spacing w:before="160"/>
        <w:rPr>
          <w:rFonts w:ascii="Arial" w:eastAsia="Arial" w:hAnsi="Arial" w:cs="Arial"/>
          <w:sz w:val="20"/>
          <w:szCs w:val="20"/>
        </w:rPr>
      </w:pPr>
      <w:r w:rsidRPr="00E04270">
        <w:rPr>
          <w:rFonts w:ascii="Arial" w:eastAsia="Arial" w:hAnsi="Arial" w:cs="Arial"/>
          <w:sz w:val="20"/>
          <w:szCs w:val="20"/>
        </w:rPr>
        <w:t xml:space="preserve">Upon completion of each Tier test, the permittee must compare the results to the NMOC mass emission rate standard of 34 Mg per year.  If the results are equal to or greater than 34 Mg per year, then the permittee may perform the next higher tier test or submit a gas collection and control system design plan within one year as specified in 40 CFR 62.16724(d) and install and operate a gas collection and control system within 30 months according to 40 CFR 62.16714(b) and (c).  </w:t>
      </w:r>
      <w:r w:rsidRPr="00E04270">
        <w:rPr>
          <w:rFonts w:ascii="Arial" w:eastAsia="Arial" w:hAnsi="Arial" w:cs="Arial"/>
          <w:b/>
          <w:bCs/>
          <w:sz w:val="20"/>
          <w:szCs w:val="20"/>
        </w:rPr>
        <w:t>(40 CFR 62.16718(a)(2), (3) and (4))</w:t>
      </w:r>
    </w:p>
    <w:p w14:paraId="72DB9ADE" w14:textId="77777777" w:rsidR="00E04270" w:rsidRPr="00E04270" w:rsidRDefault="00000000" w:rsidP="00CA7956">
      <w:pPr>
        <w:numPr>
          <w:ilvl w:val="0"/>
          <w:numId w:val="5"/>
        </w:numPr>
        <w:spacing w:before="160"/>
        <w:rPr>
          <w:rFonts w:ascii="Arial" w:eastAsia="Arial" w:hAnsi="Arial" w:cs="Arial"/>
          <w:sz w:val="20"/>
          <w:szCs w:val="20"/>
        </w:rPr>
      </w:pPr>
      <w:r w:rsidRPr="00E04270">
        <w:rPr>
          <w:rFonts w:ascii="Arial" w:eastAsia="Arial" w:hAnsi="Arial" w:cs="Arial"/>
          <w:sz w:val="20"/>
          <w:szCs w:val="20"/>
        </w:rPr>
        <w:t xml:space="preserve">Tier 1 or Tier 2 NMOC emission results must be recalculated annually if the NMOC mass emission rate is less than 34 Mg per year.  </w:t>
      </w:r>
      <w:r w:rsidRPr="00E04270">
        <w:rPr>
          <w:rFonts w:ascii="Arial" w:eastAsia="Arial" w:hAnsi="Arial" w:cs="Arial"/>
          <w:b/>
          <w:bCs/>
          <w:sz w:val="20"/>
          <w:szCs w:val="20"/>
        </w:rPr>
        <w:t>(40 CFR 62.16718(a)(2) and (3))</w:t>
      </w:r>
    </w:p>
    <w:p w14:paraId="6DD137BF" w14:textId="77777777" w:rsidR="00E04270" w:rsidRPr="00E04270" w:rsidRDefault="00000000" w:rsidP="00CA7956">
      <w:pPr>
        <w:numPr>
          <w:ilvl w:val="0"/>
          <w:numId w:val="5"/>
        </w:numPr>
        <w:spacing w:before="160"/>
        <w:rPr>
          <w:rFonts w:ascii="Arial" w:eastAsia="Arial" w:hAnsi="Arial" w:cs="Arial"/>
          <w:sz w:val="20"/>
          <w:szCs w:val="20"/>
        </w:rPr>
      </w:pPr>
      <w:r w:rsidRPr="00E04270">
        <w:rPr>
          <w:rFonts w:ascii="Arial" w:eastAsia="Arial" w:hAnsi="Arial" w:cs="Arial"/>
          <w:sz w:val="20"/>
          <w:szCs w:val="20"/>
        </w:rPr>
        <w:t xml:space="preserve">Tier 2 testing must be performed at least once every five years when being used to demonstrate the facility NMOC emissions are less than 34 Mg per year. </w:t>
      </w:r>
      <w:r w:rsidRPr="00E04270">
        <w:rPr>
          <w:rFonts w:ascii="Arial" w:eastAsia="Arial" w:hAnsi="Arial" w:cs="Arial"/>
          <w:b/>
          <w:bCs/>
          <w:sz w:val="20"/>
          <w:szCs w:val="20"/>
        </w:rPr>
        <w:t xml:space="preserve"> (40 CFR 62.16718(a)(3))</w:t>
      </w:r>
    </w:p>
    <w:p w14:paraId="0E549965" w14:textId="77777777" w:rsidR="00E04270" w:rsidRPr="00E04270" w:rsidRDefault="00000000" w:rsidP="00CA7956">
      <w:pPr>
        <w:numPr>
          <w:ilvl w:val="0"/>
          <w:numId w:val="5"/>
        </w:numPr>
        <w:spacing w:before="160"/>
        <w:rPr>
          <w:rFonts w:ascii="Arial" w:eastAsia="Arial" w:hAnsi="Arial" w:cs="Arial"/>
          <w:b/>
          <w:bCs/>
          <w:sz w:val="20"/>
          <w:szCs w:val="20"/>
        </w:rPr>
      </w:pPr>
      <w:r w:rsidRPr="00E04270">
        <w:rPr>
          <w:rFonts w:ascii="Arial" w:eastAsia="Arial" w:hAnsi="Arial" w:cs="Arial"/>
          <w:sz w:val="20"/>
          <w:szCs w:val="20"/>
        </w:rPr>
        <w:t xml:space="preserve">Tier 3 testing must be performed to determine a site-specific methane generation rate constant.  </w:t>
      </w:r>
      <w:r w:rsidRPr="00E04270">
        <w:rPr>
          <w:rFonts w:ascii="Arial" w:eastAsia="Arial" w:hAnsi="Arial" w:cs="Arial"/>
          <w:b/>
          <w:bCs/>
          <w:sz w:val="20"/>
          <w:szCs w:val="20"/>
        </w:rPr>
        <w:t>(40 CFR 62.16718(a)(4))</w:t>
      </w:r>
    </w:p>
    <w:p w14:paraId="5E8D66AB" w14:textId="77777777" w:rsidR="00E04270" w:rsidRPr="00E04270" w:rsidRDefault="00000000" w:rsidP="00CA7956">
      <w:pPr>
        <w:numPr>
          <w:ilvl w:val="0"/>
          <w:numId w:val="5"/>
        </w:numPr>
        <w:spacing w:before="160"/>
        <w:rPr>
          <w:rFonts w:ascii="Arial" w:eastAsia="Arial" w:hAnsi="Arial" w:cs="Arial"/>
          <w:b/>
          <w:bCs/>
          <w:sz w:val="20"/>
          <w:szCs w:val="20"/>
        </w:rPr>
      </w:pPr>
      <w:r w:rsidRPr="00E04270">
        <w:rPr>
          <w:rFonts w:ascii="Arial" w:eastAsia="Arial" w:hAnsi="Arial" w:cs="Arial"/>
          <w:sz w:val="20"/>
          <w:szCs w:val="20"/>
        </w:rPr>
        <w:lastRenderedPageBreak/>
        <w:t xml:space="preserve">Tier 4 testing to determine surface methane emissions, as described in Appendix 5, is allowed only if the permittee can demonstrate that NMOC emissions are greater than or equal to 34 Mg per year but less than 50 Mg per year using Tier 1 or Tier 2.  If both Tier 1 and Tier 2 indicate NMOC emissions are 50 Mg per year or greater, then Tier 4 cannot be used.  </w:t>
      </w:r>
      <w:r w:rsidRPr="00E04270">
        <w:rPr>
          <w:rFonts w:ascii="Arial" w:eastAsia="Arial" w:hAnsi="Arial" w:cs="Arial"/>
          <w:b/>
          <w:bCs/>
          <w:sz w:val="20"/>
          <w:szCs w:val="20"/>
        </w:rPr>
        <w:t>(40 CFR 62.16718(a)(6))</w:t>
      </w:r>
    </w:p>
    <w:p w14:paraId="71A8AA0D" w14:textId="77777777" w:rsidR="00E04270" w:rsidRPr="00E04270" w:rsidRDefault="00000000" w:rsidP="00CA7956">
      <w:pPr>
        <w:numPr>
          <w:ilvl w:val="0"/>
          <w:numId w:val="5"/>
        </w:numPr>
        <w:spacing w:before="160"/>
        <w:rPr>
          <w:rFonts w:ascii="Arial" w:eastAsia="Arial" w:hAnsi="Arial" w:cs="Arial"/>
          <w:sz w:val="20"/>
          <w:szCs w:val="20"/>
        </w:rPr>
      </w:pPr>
      <w:r w:rsidRPr="00E04270">
        <w:rPr>
          <w:rFonts w:ascii="Arial" w:eastAsia="Arial" w:hAnsi="Arial" w:cs="Arial"/>
          <w:sz w:val="20"/>
          <w:szCs w:val="20"/>
        </w:rPr>
        <w:t xml:space="preserve">Tier 4 testing is allowed to demonstrate that surface methane emissions are below the standard of 500 ppm. Surface emission monitoring must be conducted on a quarterly basis.  </w:t>
      </w:r>
      <w:r w:rsidRPr="00E04270">
        <w:rPr>
          <w:rFonts w:ascii="Arial" w:eastAsia="Arial" w:hAnsi="Arial" w:cs="Arial"/>
          <w:b/>
          <w:bCs/>
          <w:sz w:val="20"/>
          <w:szCs w:val="20"/>
        </w:rPr>
        <w:t>(40 CFR 62.16718(a)(6))</w:t>
      </w:r>
    </w:p>
    <w:p w14:paraId="6E909F31" w14:textId="77777777" w:rsidR="00E04270" w:rsidRPr="00E04270" w:rsidRDefault="00000000" w:rsidP="00CA7956">
      <w:pPr>
        <w:numPr>
          <w:ilvl w:val="0"/>
          <w:numId w:val="5"/>
        </w:numPr>
        <w:spacing w:before="160"/>
        <w:rPr>
          <w:rFonts w:ascii="Arial" w:eastAsia="Arial" w:hAnsi="Arial" w:cs="Arial"/>
          <w:sz w:val="20"/>
          <w:szCs w:val="20"/>
        </w:rPr>
      </w:pPr>
      <w:r w:rsidRPr="00E04270">
        <w:rPr>
          <w:rFonts w:ascii="Arial" w:eastAsia="Arial" w:hAnsi="Arial" w:cs="Arial"/>
          <w:sz w:val="20"/>
          <w:szCs w:val="20"/>
        </w:rPr>
        <w:t xml:space="preserve">If there is any measured concentration of methane of 500 ppm or greater from the surface of the landfill, the permittee must submit a gas collection and control system design plan within 1 year of the first measured concentration of methane of 500 ppm or greater from the surface of the landfill according to 40 CFR 62.16724(d) and install and operate a gas collection and control system according to 40 CFR 62.16714(b) and (c) within 30 months of the most recent NMOC emission rate report in which the NMOC emission rate equals or exceeds 34 Mg per year based on Tier 2.  </w:t>
      </w:r>
      <w:r w:rsidRPr="00E04270">
        <w:rPr>
          <w:rFonts w:ascii="Arial" w:eastAsia="Arial" w:hAnsi="Arial" w:cs="Arial"/>
          <w:b/>
          <w:bCs/>
          <w:sz w:val="20"/>
          <w:szCs w:val="20"/>
        </w:rPr>
        <w:t>(40 CFR 62.16718(a)(6)(v))</w:t>
      </w:r>
    </w:p>
    <w:p w14:paraId="3D381F59" w14:textId="77777777" w:rsidR="00E04270" w:rsidRPr="00E04270" w:rsidRDefault="00000000" w:rsidP="00CA7956">
      <w:pPr>
        <w:numPr>
          <w:ilvl w:val="0"/>
          <w:numId w:val="6"/>
        </w:numPr>
        <w:spacing w:before="160"/>
        <w:rPr>
          <w:rFonts w:ascii="Arial" w:eastAsia="Arial" w:hAnsi="Arial" w:cs="Arial"/>
          <w:sz w:val="20"/>
          <w:szCs w:val="20"/>
        </w:rPr>
      </w:pPr>
      <w:r w:rsidRPr="00E04270">
        <w:rPr>
          <w:rFonts w:ascii="Arial" w:eastAsia="Arial" w:hAnsi="Arial" w:cs="Arial"/>
          <w:sz w:val="20"/>
          <w:szCs w:val="20"/>
        </w:rPr>
        <w:t xml:space="preserve">The permittee may use other methods to determine the NMOC concentration or a site-specific methane generation rate constant as an alternative to the methods required in Tier 2 (40 CFR 62.16718(a)(3)) and Tier 3 (40 CFR 62.16718(a)(4)) if the method has been approved by USEPA prior to submitting a test protocol to AQD.  </w:t>
      </w:r>
      <w:r w:rsidRPr="00E04270">
        <w:rPr>
          <w:rFonts w:ascii="Arial" w:eastAsia="Arial" w:hAnsi="Arial" w:cs="Arial"/>
          <w:b/>
          <w:bCs/>
          <w:sz w:val="20"/>
          <w:szCs w:val="20"/>
        </w:rPr>
        <w:t>(40 CFR 62.16718(a)(5))</w:t>
      </w:r>
    </w:p>
    <w:p w14:paraId="79875B2F" w14:textId="77777777" w:rsidR="00E04270" w:rsidRPr="00E04270" w:rsidRDefault="00000000" w:rsidP="00CA7956">
      <w:pPr>
        <w:spacing w:before="160"/>
        <w:rPr>
          <w:rFonts w:ascii="Arial" w:eastAsia="Times New Roman" w:hAnsi="Arial" w:cs="Times New Roman"/>
          <w:b/>
          <w:sz w:val="20"/>
          <w:szCs w:val="20"/>
        </w:rPr>
      </w:pPr>
      <w:r w:rsidRPr="00E04270">
        <w:rPr>
          <w:rFonts w:ascii="Arial" w:eastAsia="Times New Roman" w:hAnsi="Arial" w:cs="Times New Roman"/>
          <w:b/>
          <w:sz w:val="20"/>
          <w:szCs w:val="20"/>
        </w:rPr>
        <w:t>See Appendices 5 and 7</w:t>
      </w:r>
    </w:p>
    <w:p w14:paraId="2A5CDD32" w14:textId="77777777" w:rsidR="00E04270" w:rsidRPr="00E04270" w:rsidRDefault="00000000" w:rsidP="0003471C">
      <w:pPr>
        <w:pStyle w:val="Heading5"/>
        <w:spacing w:after="20"/>
      </w:pPr>
      <w:r w:rsidRPr="00E04270">
        <w:t>VI.  MONITORING/RECORDKEEPING</w:t>
      </w:r>
    </w:p>
    <w:p w14:paraId="479E90BE" w14:textId="77777777" w:rsidR="00E04270" w:rsidRPr="00E04270" w:rsidRDefault="00000000" w:rsidP="0003471C">
      <w:pPr>
        <w:rPr>
          <w:rFonts w:ascii="Arial" w:eastAsia="Times New Roman" w:hAnsi="Arial" w:cs="Times New Roman"/>
          <w:b/>
          <w:sz w:val="20"/>
          <w:szCs w:val="20"/>
        </w:rPr>
      </w:pPr>
      <w:r w:rsidRPr="00E04270">
        <w:rPr>
          <w:rFonts w:ascii="Arial" w:eastAsia="Times New Roman" w:hAnsi="Arial" w:cs="Times New Roman"/>
          <w:sz w:val="20"/>
          <w:szCs w:val="20"/>
        </w:rPr>
        <w:t xml:space="preserve">Records shall be maintained on file for a period of five years.  </w:t>
      </w:r>
      <w:r w:rsidRPr="00E04270">
        <w:rPr>
          <w:rFonts w:ascii="Arial" w:eastAsia="Times New Roman" w:hAnsi="Arial" w:cs="Times New Roman"/>
          <w:b/>
          <w:sz w:val="20"/>
          <w:szCs w:val="20"/>
        </w:rPr>
        <w:t>(R 336.1213(3)(b)(ii))</w:t>
      </w:r>
    </w:p>
    <w:p w14:paraId="1E322C9F" w14:textId="61EBA530" w:rsidR="00E04270" w:rsidRPr="00E04270" w:rsidRDefault="00000000" w:rsidP="0003471C">
      <w:pPr>
        <w:numPr>
          <w:ilvl w:val="0"/>
          <w:numId w:val="7"/>
        </w:numPr>
        <w:rPr>
          <w:rFonts w:ascii="Arial" w:eastAsia="Times New Roman" w:hAnsi="Arial" w:cs="Arial"/>
          <w:sz w:val="20"/>
          <w:szCs w:val="20"/>
        </w:rPr>
      </w:pPr>
      <w:r w:rsidRPr="00E04270">
        <w:rPr>
          <w:rFonts w:ascii="Arial" w:eastAsia="Times New Roman" w:hAnsi="Arial" w:cs="Arial"/>
          <w:sz w:val="20"/>
          <w:szCs w:val="20"/>
        </w:rPr>
        <w:t xml:space="preserve">The permittee must calculate the annual NMOC emission rates using methods outlined in Appendix 7.  </w:t>
      </w:r>
      <w:r w:rsidRPr="00E04270">
        <w:rPr>
          <w:rFonts w:ascii="Arial" w:eastAsia="Times New Roman" w:hAnsi="Arial" w:cs="Arial"/>
          <w:b/>
          <w:sz w:val="20"/>
          <w:szCs w:val="20"/>
        </w:rPr>
        <w:t>(40</w:t>
      </w:r>
      <w:r w:rsidR="0003471C">
        <w:rPr>
          <w:rFonts w:ascii="Arial" w:eastAsia="Times New Roman" w:hAnsi="Arial" w:cs="Arial"/>
          <w:b/>
          <w:sz w:val="20"/>
          <w:szCs w:val="20"/>
        </w:rPr>
        <w:t> </w:t>
      </w:r>
      <w:r w:rsidRPr="00E04270">
        <w:rPr>
          <w:rFonts w:ascii="Arial" w:eastAsia="Times New Roman" w:hAnsi="Arial" w:cs="Arial"/>
          <w:b/>
          <w:sz w:val="20"/>
          <w:szCs w:val="20"/>
        </w:rPr>
        <w:t>CFR 62.16718(a)(1))</w:t>
      </w:r>
    </w:p>
    <w:p w14:paraId="7A73083B" w14:textId="77777777" w:rsidR="00E04270" w:rsidRPr="00E04270" w:rsidRDefault="00000000" w:rsidP="0003471C">
      <w:pPr>
        <w:numPr>
          <w:ilvl w:val="0"/>
          <w:numId w:val="7"/>
        </w:numPr>
        <w:rPr>
          <w:rFonts w:ascii="Arial" w:eastAsia="Times New Roman" w:hAnsi="Arial" w:cs="Arial"/>
          <w:sz w:val="20"/>
          <w:szCs w:val="20"/>
        </w:rPr>
      </w:pPr>
      <w:r w:rsidRPr="00E04270">
        <w:rPr>
          <w:rFonts w:ascii="Arial" w:eastAsia="Times New Roman" w:hAnsi="Arial" w:cs="Arial"/>
          <w:sz w:val="20"/>
          <w:szCs w:val="20"/>
        </w:rPr>
        <w:t xml:space="preserve">Except as provided in 40 CFR 62.16724(d)(2), each MSW landfill subject to the provisions of 40 CFR 62.16714(e) must keep for at least 5 years up-to-date, readily accessible, on-site records of the design capacity report that triggered 40 CFR 62.16714(e), the current amount of solid waste </w:t>
      </w:r>
      <w:proofErr w:type="gramStart"/>
      <w:r w:rsidRPr="00E04270">
        <w:rPr>
          <w:rFonts w:ascii="Arial" w:eastAsia="Times New Roman" w:hAnsi="Arial" w:cs="Arial"/>
          <w:sz w:val="20"/>
          <w:szCs w:val="20"/>
        </w:rPr>
        <w:t>in-place</w:t>
      </w:r>
      <w:proofErr w:type="gramEnd"/>
      <w:r w:rsidRPr="00E04270">
        <w:rPr>
          <w:rFonts w:ascii="Arial" w:eastAsia="Times New Roman" w:hAnsi="Arial" w:cs="Arial"/>
          <w:sz w:val="20"/>
          <w:szCs w:val="20"/>
        </w:rPr>
        <w:t xml:space="preserve">, and the year-by-year waste acceptance rate.  Off-site records may be maintained if they are retrievable within 4 hours.  Either paper copy or electronic formats are acceptable.  </w:t>
      </w:r>
      <w:r w:rsidRPr="00E04270">
        <w:rPr>
          <w:rFonts w:ascii="Arial" w:eastAsia="Times New Roman" w:hAnsi="Arial" w:cs="Arial"/>
          <w:b/>
          <w:sz w:val="20"/>
          <w:szCs w:val="20"/>
        </w:rPr>
        <w:t>(40 CFR 62.16726(a))</w:t>
      </w:r>
      <w:r w:rsidRPr="00E04270">
        <w:rPr>
          <w:rFonts w:ascii="Arial" w:eastAsia="Times New Roman" w:hAnsi="Arial" w:cs="Arial"/>
          <w:sz w:val="20"/>
          <w:szCs w:val="20"/>
        </w:rPr>
        <w:t xml:space="preserve">  </w:t>
      </w:r>
      <w:r w:rsidRPr="00E04270">
        <w:rPr>
          <w:rFonts w:ascii="Arial" w:eastAsia="Times New Roman" w:hAnsi="Arial" w:cs="Arial"/>
          <w:b/>
          <w:bCs/>
          <w:sz w:val="20"/>
          <w:szCs w:val="20"/>
        </w:rPr>
        <w:t xml:space="preserve"> </w:t>
      </w:r>
    </w:p>
    <w:p w14:paraId="36D91D2D" w14:textId="77777777" w:rsidR="00E04270" w:rsidRPr="00E04270" w:rsidRDefault="00000000" w:rsidP="0003471C">
      <w:pPr>
        <w:numPr>
          <w:ilvl w:val="0"/>
          <w:numId w:val="7"/>
        </w:numPr>
        <w:rPr>
          <w:rFonts w:ascii="Arial" w:eastAsia="Times New Roman" w:hAnsi="Arial" w:cs="Arial"/>
          <w:sz w:val="20"/>
          <w:szCs w:val="20"/>
        </w:rPr>
      </w:pPr>
      <w:r w:rsidRPr="00E04270">
        <w:rPr>
          <w:rFonts w:ascii="Arial" w:eastAsia="Times New Roman" w:hAnsi="Arial" w:cs="Arial"/>
          <w:sz w:val="20"/>
          <w:szCs w:val="20"/>
        </w:rPr>
        <w:t xml:space="preserve">If the landfill is permanently closed, a closure notification shall be submitted to the appropriate AQD District Supervisor within 30 days, except for exemption allowed under 40 CFR 62.16711(g)(4).  </w:t>
      </w:r>
      <w:r w:rsidRPr="00E04270">
        <w:rPr>
          <w:rFonts w:ascii="Arial" w:eastAsia="Times New Roman" w:hAnsi="Arial" w:cs="Arial"/>
          <w:b/>
          <w:sz w:val="20"/>
          <w:szCs w:val="20"/>
        </w:rPr>
        <w:t>(40 CFR 62.16714(e)(1)(ii)(B))</w:t>
      </w:r>
    </w:p>
    <w:p w14:paraId="55A63700" w14:textId="0A23ED90" w:rsidR="00E04270" w:rsidRPr="00E04270" w:rsidRDefault="00000000" w:rsidP="0003471C">
      <w:pPr>
        <w:rPr>
          <w:rFonts w:ascii="Arial" w:eastAsia="Times New Roman" w:hAnsi="Arial" w:cs="Arial"/>
          <w:sz w:val="20"/>
          <w:szCs w:val="20"/>
        </w:rPr>
      </w:pPr>
      <w:r w:rsidRPr="001839D3">
        <w:rPr>
          <w:rFonts w:ascii="Arial" w:eastAsia="Calibri" w:hAnsi="Arial" w:cs="Times New Roman"/>
          <w:color w:val="ED0000"/>
          <w:sz w:val="20"/>
          <w:szCs w:val="20"/>
        </w:rPr>
        <w:t>OPTIONAL</w:t>
      </w:r>
      <w:r w:rsidR="00674853" w:rsidRPr="001839D3">
        <w:rPr>
          <w:rFonts w:ascii="Arial" w:eastAsia="Calibri" w:hAnsi="Arial" w:cs="Times New Roman"/>
          <w:color w:val="ED0000"/>
          <w:sz w:val="20"/>
          <w:szCs w:val="20"/>
        </w:rPr>
        <w:t>:</w:t>
      </w:r>
      <w:r w:rsidR="00674853" w:rsidRPr="001839D3">
        <w:rPr>
          <w:rFonts w:ascii="Arial" w:eastAsia="Calibri" w:hAnsi="Arial" w:cs="Times New Roman"/>
          <w:b/>
          <w:bCs/>
          <w:color w:val="ED0000"/>
          <w:sz w:val="20"/>
          <w:szCs w:val="20"/>
        </w:rPr>
        <w:t xml:space="preserve"> </w:t>
      </w:r>
      <w:r w:rsidR="00552650" w:rsidRPr="001839D3">
        <w:rPr>
          <w:rFonts w:ascii="Arial" w:eastAsia="Times New Roman" w:hAnsi="Arial" w:cs="Times New Roman"/>
          <w:color w:val="ED0000"/>
          <w:sz w:val="20"/>
          <w:szCs w:val="20"/>
        </w:rPr>
        <w:t xml:space="preserve">Use if the owner or operator of the affected landfill has employed leachate recirculation or added liquids based on a Research, Development, and Demonstration permit (issued through Resource Conservation and Recovery Act, Subtitle D, Part 258) within the last 10 years for an annual </w:t>
      </w:r>
      <w:proofErr w:type="gramStart"/>
      <w:r w:rsidR="00552650" w:rsidRPr="001839D3">
        <w:rPr>
          <w:rFonts w:ascii="Arial" w:eastAsia="Times New Roman" w:hAnsi="Arial" w:cs="Times New Roman"/>
          <w:color w:val="ED0000"/>
          <w:sz w:val="20"/>
          <w:szCs w:val="20"/>
        </w:rPr>
        <w:t>liquids</w:t>
      </w:r>
      <w:proofErr w:type="gramEnd"/>
      <w:r w:rsidR="00552650" w:rsidRPr="001839D3">
        <w:rPr>
          <w:rFonts w:ascii="Arial" w:eastAsia="Times New Roman" w:hAnsi="Arial" w:cs="Times New Roman"/>
          <w:color w:val="ED0000"/>
          <w:sz w:val="20"/>
          <w:szCs w:val="20"/>
        </w:rPr>
        <w:t xml:space="preserve"> addition report.  </w:t>
      </w:r>
      <w:r w:rsidR="00674853" w:rsidRPr="001839D3">
        <w:rPr>
          <w:rFonts w:ascii="Arial" w:eastAsia="Calibri" w:hAnsi="Arial" w:cs="Times New Roman"/>
          <w:b/>
          <w:bCs/>
          <w:color w:val="ED0000"/>
          <w:sz w:val="20"/>
          <w:szCs w:val="20"/>
        </w:rPr>
        <w:t>{if using this option, make sure to use optional condition 7 under REPORTING as well.}</w:t>
      </w:r>
    </w:p>
    <w:p w14:paraId="6498D4E9" w14:textId="77777777" w:rsidR="00E04270" w:rsidRPr="00E04270" w:rsidRDefault="00000000" w:rsidP="0003471C">
      <w:pPr>
        <w:numPr>
          <w:ilvl w:val="0"/>
          <w:numId w:val="7"/>
        </w:numPr>
        <w:rPr>
          <w:rFonts w:ascii="Arial" w:eastAsia="Times New Roman" w:hAnsi="Arial" w:cs="Times New Roman"/>
          <w:b/>
          <w:bCs/>
          <w:sz w:val="20"/>
          <w:szCs w:val="20"/>
        </w:rPr>
      </w:pPr>
      <w:r w:rsidRPr="00E04270">
        <w:rPr>
          <w:rFonts w:ascii="Arial" w:eastAsia="Times New Roman" w:hAnsi="Arial" w:cs="Arial"/>
          <w:color w:val="000000"/>
          <w:sz w:val="20"/>
          <w:szCs w:val="20"/>
        </w:rPr>
        <w:t xml:space="preserve">If reporting leachate or other liquids addition under 40 CFR 62.16724(l), the permittee must keep records of any engineering calculations or company records used to estimate the quantities of leachate or liquids added, the surface areas for which the leachate or liquids were applied, and the estimates of annual waste acceptance or total waste in place in the areas where leachate or liquids were applied.  </w:t>
      </w:r>
      <w:r w:rsidRPr="00E04270">
        <w:rPr>
          <w:rFonts w:ascii="Arial" w:eastAsia="Times New Roman" w:hAnsi="Arial" w:cs="Arial"/>
          <w:b/>
          <w:bCs/>
          <w:color w:val="000000"/>
          <w:sz w:val="20"/>
          <w:szCs w:val="20"/>
        </w:rPr>
        <w:t>(</w:t>
      </w:r>
      <w:r w:rsidRPr="00E04270">
        <w:rPr>
          <w:rFonts w:ascii="Arial" w:eastAsia="Times New Roman" w:hAnsi="Arial" w:cs="Arial"/>
          <w:b/>
          <w:bCs/>
          <w:color w:val="000000"/>
          <w:sz w:val="20"/>
          <w:szCs w:val="20"/>
          <w:shd w:val="clear" w:color="auto" w:fill="FFFFFF"/>
        </w:rPr>
        <w:t>40 CFR 62.16726(j)</w:t>
      </w:r>
      <w:r w:rsidRPr="00E04270">
        <w:rPr>
          <w:rFonts w:ascii="Arial" w:eastAsia="Times New Roman" w:hAnsi="Arial" w:cs="Arial"/>
          <w:b/>
          <w:bCs/>
          <w:color w:val="000000"/>
          <w:sz w:val="20"/>
          <w:szCs w:val="20"/>
        </w:rPr>
        <w:t>)</w:t>
      </w:r>
    </w:p>
    <w:p w14:paraId="14A5CE93" w14:textId="77777777" w:rsidR="00E04270" w:rsidRPr="00E04270" w:rsidRDefault="00000000" w:rsidP="0003471C">
      <w:pPr>
        <w:jc w:val="both"/>
        <w:rPr>
          <w:rFonts w:ascii="Arial" w:eastAsia="Times New Roman" w:hAnsi="Arial" w:cs="Times New Roman"/>
          <w:b/>
          <w:sz w:val="20"/>
          <w:szCs w:val="20"/>
        </w:rPr>
      </w:pPr>
      <w:r w:rsidRPr="00E04270">
        <w:rPr>
          <w:rFonts w:ascii="Arial" w:eastAsia="Times New Roman" w:hAnsi="Arial" w:cs="Times New Roman"/>
          <w:b/>
          <w:sz w:val="20"/>
          <w:szCs w:val="20"/>
        </w:rPr>
        <w:t>See Appendix 7</w:t>
      </w:r>
    </w:p>
    <w:p w14:paraId="73BD6A97" w14:textId="77777777" w:rsidR="00E04270" w:rsidRPr="00E04270" w:rsidRDefault="00000000" w:rsidP="0003471C">
      <w:pPr>
        <w:pStyle w:val="Heading5"/>
      </w:pPr>
      <w:r w:rsidRPr="00E04270">
        <w:t>VII.  REPORTING</w:t>
      </w:r>
    </w:p>
    <w:p w14:paraId="0E764179" w14:textId="77777777" w:rsidR="00E04270" w:rsidRPr="00E04270" w:rsidRDefault="00000000" w:rsidP="00CA7956">
      <w:pPr>
        <w:numPr>
          <w:ilvl w:val="0"/>
          <w:numId w:val="9"/>
        </w:numPr>
        <w:spacing w:before="160"/>
        <w:rPr>
          <w:rFonts w:ascii="Arial" w:eastAsia="Times New Roman" w:hAnsi="Arial" w:cs="Times New Roman"/>
          <w:sz w:val="20"/>
          <w:szCs w:val="20"/>
        </w:rPr>
      </w:pPr>
      <w:r w:rsidRPr="00E04270">
        <w:rPr>
          <w:rFonts w:ascii="Arial" w:eastAsia="Times New Roman" w:hAnsi="Arial" w:cs="Times New Roman"/>
          <w:sz w:val="20"/>
          <w:szCs w:val="20"/>
        </w:rPr>
        <w:t xml:space="preserve">Prompt reporting of deviations pursuant to General Conditions 21 and 22 of Part A.  </w:t>
      </w:r>
      <w:r w:rsidRPr="00E04270">
        <w:rPr>
          <w:rFonts w:ascii="Arial" w:eastAsia="Times New Roman" w:hAnsi="Arial" w:cs="Times New Roman"/>
          <w:b/>
          <w:sz w:val="20"/>
          <w:szCs w:val="20"/>
        </w:rPr>
        <w:t>(R 336.1213(3)(c)(ii))</w:t>
      </w:r>
    </w:p>
    <w:p w14:paraId="34205754" w14:textId="624D9BB8" w:rsidR="00E04270" w:rsidRPr="00E04270" w:rsidRDefault="00000000" w:rsidP="00CA7956">
      <w:pPr>
        <w:numPr>
          <w:ilvl w:val="0"/>
          <w:numId w:val="9"/>
        </w:numPr>
        <w:spacing w:before="160"/>
        <w:rPr>
          <w:rFonts w:ascii="Arial" w:eastAsia="Times New Roman" w:hAnsi="Arial" w:cs="Times New Roman"/>
          <w:sz w:val="20"/>
          <w:szCs w:val="20"/>
        </w:rPr>
      </w:pPr>
      <w:r w:rsidRPr="00E04270">
        <w:rPr>
          <w:rFonts w:ascii="Arial" w:eastAsia="Times New Roman" w:hAnsi="Arial" w:cs="Times New Roman"/>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E04270">
        <w:rPr>
          <w:rFonts w:ascii="Arial" w:eastAsia="Times New Roman" w:hAnsi="Arial" w:cs="Times New Roman"/>
          <w:b/>
          <w:sz w:val="20"/>
          <w:szCs w:val="20"/>
        </w:rPr>
        <w:t>(R 336.1213(3)(c)(</w:t>
      </w:r>
      <w:proofErr w:type="spellStart"/>
      <w:r w:rsidRPr="00E04270">
        <w:rPr>
          <w:rFonts w:ascii="Arial" w:eastAsia="Times New Roman" w:hAnsi="Arial" w:cs="Times New Roman"/>
          <w:b/>
          <w:sz w:val="20"/>
          <w:szCs w:val="20"/>
        </w:rPr>
        <w:t>i</w:t>
      </w:r>
      <w:proofErr w:type="spellEnd"/>
      <w:r w:rsidRPr="00E04270">
        <w:rPr>
          <w:rFonts w:ascii="Arial" w:eastAsia="Times New Roman" w:hAnsi="Arial" w:cs="Times New Roman"/>
          <w:b/>
          <w:sz w:val="20"/>
          <w:szCs w:val="20"/>
        </w:rPr>
        <w:t>))</w:t>
      </w:r>
    </w:p>
    <w:p w14:paraId="6FD6DC65" w14:textId="194FEDD5" w:rsidR="00E04270" w:rsidRPr="00E04270" w:rsidRDefault="00000000" w:rsidP="00CA7956">
      <w:pPr>
        <w:numPr>
          <w:ilvl w:val="0"/>
          <w:numId w:val="9"/>
        </w:numPr>
        <w:spacing w:before="160"/>
        <w:rPr>
          <w:rFonts w:ascii="Arial" w:eastAsia="Times New Roman" w:hAnsi="Arial" w:cs="Times New Roman"/>
          <w:sz w:val="20"/>
          <w:szCs w:val="20"/>
        </w:rPr>
      </w:pPr>
      <w:r w:rsidRPr="00E04270">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E04270">
        <w:rPr>
          <w:rFonts w:ascii="Arial" w:eastAsia="Times New Roman" w:hAnsi="Arial" w:cs="Times New Roman"/>
          <w:b/>
          <w:sz w:val="20"/>
          <w:szCs w:val="20"/>
        </w:rPr>
        <w:t>(R 336.1213(4)(c))</w:t>
      </w:r>
    </w:p>
    <w:p w14:paraId="30E38EF1" w14:textId="4EBE7F6D" w:rsidR="00E04270" w:rsidRPr="00E04270" w:rsidRDefault="00000000" w:rsidP="00CA7956">
      <w:pPr>
        <w:numPr>
          <w:ilvl w:val="0"/>
          <w:numId w:val="9"/>
        </w:numPr>
        <w:spacing w:before="160"/>
        <w:rPr>
          <w:rFonts w:ascii="Arial" w:eastAsia="Times New Roman" w:hAnsi="Arial" w:cs="Arial"/>
          <w:sz w:val="20"/>
          <w:szCs w:val="20"/>
        </w:rPr>
      </w:pPr>
      <w:r w:rsidRPr="00E04270">
        <w:rPr>
          <w:rFonts w:ascii="Arial" w:eastAsia="Times New Roman" w:hAnsi="Arial" w:cs="Arial"/>
          <w:sz w:val="20"/>
          <w:szCs w:val="20"/>
        </w:rPr>
        <w:lastRenderedPageBreak/>
        <w:t xml:space="preserve">The permittee must submit the NMOC emission rate report annually </w:t>
      </w:r>
      <w:r w:rsidR="003E7750">
        <w:rPr>
          <w:rFonts w:ascii="Arial" w:eastAsia="Times New Roman" w:hAnsi="Arial" w:cs="Arial"/>
          <w:sz w:val="20"/>
          <w:szCs w:val="20"/>
        </w:rPr>
        <w:t xml:space="preserve">by March 15 for the previous calendar year </w:t>
      </w:r>
      <w:r w:rsidRPr="00E04270">
        <w:rPr>
          <w:rFonts w:ascii="Arial" w:eastAsia="Times New Roman" w:hAnsi="Arial" w:cs="Arial"/>
          <w:sz w:val="20"/>
          <w:szCs w:val="20"/>
        </w:rPr>
        <w:t xml:space="preserve">following the procedure specified in 40 CFR 62.16724(j)(2), except as provided for in </w:t>
      </w:r>
      <w:r w:rsidRPr="00E04270">
        <w:rPr>
          <w:rFonts w:ascii="Arial" w:eastAsia="Roboto" w:hAnsi="Arial" w:cs="Arial"/>
          <w:sz w:val="20"/>
          <w:szCs w:val="20"/>
        </w:rPr>
        <w:t>40 CFR 62.16724(c)(3)</w:t>
      </w:r>
      <w:r w:rsidRPr="00E04270">
        <w:rPr>
          <w:rFonts w:ascii="Arial" w:eastAsia="Times New Roman" w:hAnsi="Arial" w:cs="Arial"/>
          <w:sz w:val="20"/>
          <w:szCs w:val="20"/>
        </w:rPr>
        <w:t xml:space="preserve">.  </w:t>
      </w:r>
      <w:r w:rsidR="008D3A84">
        <w:rPr>
          <w:rFonts w:ascii="Arial" w:eastAsia="Times New Roman" w:hAnsi="Arial" w:cs="Arial"/>
          <w:sz w:val="20"/>
          <w:szCs w:val="20"/>
        </w:rPr>
        <w:t>A</w:t>
      </w:r>
      <w:r w:rsidRPr="00E04270">
        <w:rPr>
          <w:rFonts w:ascii="Arial" w:eastAsia="Times New Roman" w:hAnsi="Arial" w:cs="Arial"/>
          <w:sz w:val="20"/>
          <w:szCs w:val="20"/>
        </w:rPr>
        <w:t xml:space="preserve">dditional information </w:t>
      </w:r>
      <w:r w:rsidR="008D3A84">
        <w:rPr>
          <w:rFonts w:ascii="Arial" w:eastAsia="Times New Roman" w:hAnsi="Arial" w:cs="Arial"/>
          <w:sz w:val="20"/>
          <w:szCs w:val="20"/>
        </w:rPr>
        <w:t xml:space="preserve">may be requested </w:t>
      </w:r>
      <w:r w:rsidRPr="00E04270">
        <w:rPr>
          <w:rFonts w:ascii="Arial" w:eastAsia="Times New Roman" w:hAnsi="Arial" w:cs="Arial"/>
          <w:sz w:val="20"/>
          <w:szCs w:val="20"/>
        </w:rPr>
        <w:t xml:space="preserve">as necessary to verify the reported NMOC emission rate.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rPr>
        <w:t>40 CFR 62.16724(c))</w:t>
      </w:r>
    </w:p>
    <w:p w14:paraId="24EF9303" w14:textId="77777777" w:rsidR="00E04270" w:rsidRPr="00E04270" w:rsidRDefault="00000000" w:rsidP="00CA7956">
      <w:pPr>
        <w:numPr>
          <w:ilvl w:val="0"/>
          <w:numId w:val="10"/>
        </w:numPr>
        <w:tabs>
          <w:tab w:val="clear" w:pos="360"/>
        </w:tabs>
        <w:spacing w:before="160"/>
        <w:ind w:left="720"/>
        <w:rPr>
          <w:rFonts w:ascii="Arial" w:eastAsia="Times New Roman" w:hAnsi="Arial" w:cs="Arial"/>
          <w:b/>
          <w:bCs/>
          <w:sz w:val="20"/>
          <w:szCs w:val="20"/>
        </w:rPr>
      </w:pPr>
      <w:r w:rsidRPr="00E04270">
        <w:rPr>
          <w:rFonts w:ascii="Arial" w:eastAsia="Times New Roman" w:hAnsi="Arial" w:cs="Arial"/>
          <w:sz w:val="20"/>
          <w:szCs w:val="20"/>
        </w:rPr>
        <w:t xml:space="preserve">The NMOC emission rate report must contain an annual or 5-year estimate of the NMOC emission rate calculated using the formula and procedures provided in 40 CFR 62.16718(a) or (b), as applicable.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shd w:val="clear" w:color="auto" w:fill="FFFFFF"/>
        </w:rPr>
        <w:t>40 CFR 62.16724(c)(1))</w:t>
      </w:r>
    </w:p>
    <w:p w14:paraId="15E79D4E" w14:textId="77777777" w:rsidR="00E04270" w:rsidRPr="00E04270" w:rsidRDefault="00000000" w:rsidP="00CA7956">
      <w:pPr>
        <w:numPr>
          <w:ilvl w:val="0"/>
          <w:numId w:val="10"/>
        </w:numPr>
        <w:tabs>
          <w:tab w:val="clear" w:pos="360"/>
        </w:tabs>
        <w:spacing w:before="160"/>
        <w:ind w:left="720"/>
        <w:rPr>
          <w:rFonts w:ascii="Arial" w:eastAsia="Times New Roman" w:hAnsi="Arial" w:cs="Arial"/>
          <w:sz w:val="20"/>
          <w:szCs w:val="20"/>
        </w:rPr>
      </w:pPr>
      <w:r w:rsidRPr="00E04270">
        <w:rPr>
          <w:rFonts w:ascii="Arial" w:eastAsia="Times New Roman" w:hAnsi="Arial" w:cs="Arial"/>
          <w:sz w:val="20"/>
          <w:szCs w:val="20"/>
        </w:rPr>
        <w:t xml:space="preserve">The NMOC emission rate report must include all the data, calculations, sample reports and measurements used to estimate the annual or 5-year emissions.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shd w:val="clear" w:color="auto" w:fill="FFFFFF"/>
        </w:rPr>
        <w:t>40 CFR 62.16724(c)(2))</w:t>
      </w:r>
    </w:p>
    <w:p w14:paraId="718A6A30" w14:textId="77777777" w:rsidR="00E04270" w:rsidRPr="00E04270" w:rsidRDefault="00000000" w:rsidP="00CA7956">
      <w:pPr>
        <w:numPr>
          <w:ilvl w:val="0"/>
          <w:numId w:val="10"/>
        </w:numPr>
        <w:tabs>
          <w:tab w:val="clear" w:pos="360"/>
        </w:tabs>
        <w:spacing w:before="160"/>
        <w:ind w:left="720"/>
        <w:rPr>
          <w:rFonts w:ascii="Arial" w:eastAsia="Times New Roman" w:hAnsi="Arial" w:cs="Arial"/>
          <w:b/>
          <w:bCs/>
          <w:sz w:val="20"/>
          <w:szCs w:val="20"/>
        </w:rPr>
      </w:pPr>
      <w:r w:rsidRPr="00E04270">
        <w:rPr>
          <w:rFonts w:ascii="Arial" w:eastAsia="Times New Roman" w:hAnsi="Arial" w:cs="Arial"/>
          <w:sz w:val="20"/>
          <w:szCs w:val="20"/>
        </w:rPr>
        <w:t xml:space="preserve">If the estimated NMOC emission rate as reported in the annual report is less than 34 Mg per year in each of the next 5 consecutive years, the permittee may elect to submit, following the procedure specified in </w:t>
      </w:r>
      <w:r w:rsidRPr="00E04270">
        <w:rPr>
          <w:rFonts w:ascii="Arial" w:eastAsia="Times New Roman" w:hAnsi="Arial" w:cs="Times New Roman"/>
          <w:sz w:val="20"/>
          <w:szCs w:val="20"/>
        </w:rPr>
        <w:t>40 CFR 62.16724(j)(2)</w:t>
      </w:r>
      <w:r w:rsidRPr="00E04270">
        <w:rPr>
          <w:rFonts w:ascii="Arial" w:eastAsia="Times New Roman" w:hAnsi="Arial" w:cs="Arial"/>
          <w:sz w:val="20"/>
          <w:szCs w:val="20"/>
        </w:rPr>
        <w:t xml:space="preserve">, an estimate of the NMOC emission rate for the next 5-year period in lieu of the annual report.  This estimate must include the current amount of solid waste-in-place and the estimated waste acceptance rate for each year of the 5 years for which an NMOC emission rate is estimated.  All data and calculations upon which this estimate is based must be provided.  This estimate must be revised at least once every 5 years.  If the actual waste acceptance rate exceeds the estimated waste acceptance rate in any year reported in the 5-year estimate, a revised 5-year estimate must be submitted.  The revised estimate must cover the 5-year period beginning with the year in which the actual waste acceptance rate exceeded the estimated waste acceptance rate. </w:t>
      </w:r>
      <w:r w:rsidRPr="00E04270">
        <w:rPr>
          <w:rFonts w:ascii="Arial" w:eastAsia="Times New Roman" w:hAnsi="Arial" w:cs="Arial"/>
          <w:color w:val="333333"/>
          <w:sz w:val="20"/>
          <w:szCs w:val="20"/>
        </w:rPr>
        <w:t xml:space="preserve"> </w:t>
      </w:r>
      <w:r w:rsidRPr="00E04270">
        <w:rPr>
          <w:rFonts w:ascii="Arial" w:eastAsia="Times New Roman" w:hAnsi="Arial" w:cs="Arial"/>
          <w:b/>
          <w:bCs/>
          <w:color w:val="333333"/>
          <w:sz w:val="20"/>
          <w:szCs w:val="20"/>
        </w:rPr>
        <w:t>(40 CFR 62.16724(c)(3))</w:t>
      </w:r>
    </w:p>
    <w:p w14:paraId="66189DC2" w14:textId="77777777" w:rsidR="00E04270" w:rsidRPr="00E04270" w:rsidRDefault="00000000" w:rsidP="00CA7956">
      <w:pPr>
        <w:numPr>
          <w:ilvl w:val="0"/>
          <w:numId w:val="9"/>
        </w:numPr>
        <w:spacing w:before="160"/>
        <w:rPr>
          <w:rFonts w:ascii="Arial" w:eastAsia="Times New Roman" w:hAnsi="Arial" w:cs="Arial"/>
          <w:sz w:val="20"/>
          <w:szCs w:val="20"/>
        </w:rPr>
      </w:pPr>
      <w:r w:rsidRPr="00E04270">
        <w:rPr>
          <w:rFonts w:ascii="Arial" w:eastAsia="Times New Roman" w:hAnsi="Arial" w:cs="Arial"/>
          <w:sz w:val="20"/>
          <w:szCs w:val="20"/>
        </w:rPr>
        <w:t xml:space="preserve">The permittee must submit reports electronically according to 40 CFR 62.16724(j)(1) and (2) as follows: </w:t>
      </w:r>
    </w:p>
    <w:p w14:paraId="59691216" w14:textId="52C5824E" w:rsidR="00E04270" w:rsidRPr="00E04270" w:rsidRDefault="00000000" w:rsidP="00CA7956">
      <w:pPr>
        <w:numPr>
          <w:ilvl w:val="1"/>
          <w:numId w:val="9"/>
        </w:numPr>
        <w:spacing w:before="160"/>
        <w:rPr>
          <w:rFonts w:ascii="Arial" w:eastAsia="Times New Roman" w:hAnsi="Arial" w:cs="Arial"/>
          <w:sz w:val="20"/>
          <w:szCs w:val="20"/>
        </w:rPr>
      </w:pPr>
      <w:r w:rsidRPr="00E04270">
        <w:rPr>
          <w:rFonts w:ascii="Arial" w:eastAsia="Times New Roman" w:hAnsi="Arial" w:cs="Arial"/>
          <w:sz w:val="20"/>
          <w:szCs w:val="20"/>
        </w:rPr>
        <w:t xml:space="preserve">Within 60 days after the date of completing each performance test (as defined in 40 CFR 60.8), the permittee must submit the results of each performance test.  For data collected using test methods supported by the USEPA's </w:t>
      </w:r>
      <w:hyperlink r:id="rId7" w:history="1">
        <w:r w:rsidR="00E04270" w:rsidRPr="0003471C">
          <w:rPr>
            <w:rStyle w:val="Hyperlink"/>
            <w:rFonts w:ascii="Arial" w:eastAsia="Times New Roman" w:hAnsi="Arial" w:cs="Arial"/>
            <w:sz w:val="20"/>
            <w:szCs w:val="20"/>
          </w:rPr>
          <w:t>Electronic Reporting Tool</w:t>
        </w:r>
      </w:hyperlink>
      <w:r w:rsidRPr="00E04270">
        <w:rPr>
          <w:rFonts w:ascii="Arial" w:eastAsia="Times New Roman" w:hAnsi="Arial" w:cs="Arial"/>
          <w:sz w:val="20"/>
          <w:szCs w:val="20"/>
        </w:rPr>
        <w:t xml:space="preserve"> (ERT) as listed on the EPA's ERT website at the time of the test, submit the results of the performance test to the USEPA via the Compliance and Emissions Data Reporting Interface (CEDRI).  The CEDRI can be accessed through the EPA's </w:t>
      </w:r>
      <w:hyperlink r:id="rId8" w:history="1">
        <w:r w:rsidR="00E04270" w:rsidRPr="0003471C">
          <w:rPr>
            <w:rStyle w:val="Hyperlink"/>
            <w:rFonts w:ascii="Arial" w:eastAsia="Times New Roman" w:hAnsi="Arial" w:cs="Arial"/>
            <w:sz w:val="20"/>
            <w:szCs w:val="20"/>
          </w:rPr>
          <w:t>CDX</w:t>
        </w:r>
      </w:hyperlink>
      <w:r w:rsidRPr="00E04270">
        <w:rPr>
          <w:rFonts w:ascii="Arial" w:eastAsia="Times New Roman" w:hAnsi="Arial" w:cs="Arial"/>
          <w:sz w:val="20"/>
          <w:szCs w:val="20"/>
        </w:rPr>
        <w:t xml:space="preserve">.  Performance test data must be submitted in a file format generated through the use of the EPA's ERT or an alternative file format consistent with the extensible markup language (XML) schema listed on the EPA's ERT website, once the XML schema is available.  For data collected using test methods that are not supported by the EPA's ERT as listed on the EPA's ERT website at the time of the test, submit the results of the performance test to the USEPA at the appropriate address listed in 40 CFR 60.4.  </w:t>
      </w:r>
      <w:r w:rsidRPr="00E04270">
        <w:rPr>
          <w:rFonts w:ascii="Arial" w:eastAsia="Times New Roman" w:hAnsi="Arial" w:cs="Arial"/>
          <w:b/>
          <w:bCs/>
          <w:sz w:val="20"/>
          <w:szCs w:val="20"/>
        </w:rPr>
        <w:t>(40 CFR 62.16724(j)(1)(</w:t>
      </w:r>
      <w:proofErr w:type="spellStart"/>
      <w:r w:rsidRPr="00E04270">
        <w:rPr>
          <w:rFonts w:ascii="Arial" w:eastAsia="Times New Roman" w:hAnsi="Arial" w:cs="Arial"/>
          <w:b/>
          <w:bCs/>
          <w:sz w:val="20"/>
          <w:szCs w:val="20"/>
        </w:rPr>
        <w:t>i</w:t>
      </w:r>
      <w:proofErr w:type="spellEnd"/>
      <w:r w:rsidRPr="00E04270">
        <w:rPr>
          <w:rFonts w:ascii="Arial" w:eastAsia="Times New Roman" w:hAnsi="Arial" w:cs="Arial"/>
          <w:b/>
          <w:bCs/>
          <w:sz w:val="20"/>
          <w:szCs w:val="20"/>
        </w:rPr>
        <w:t>) and (ii))</w:t>
      </w:r>
    </w:p>
    <w:p w14:paraId="2EE7C470" w14:textId="0B49D47B" w:rsidR="00E04270" w:rsidRPr="00E04270" w:rsidRDefault="00000000" w:rsidP="00CA7956">
      <w:pPr>
        <w:numPr>
          <w:ilvl w:val="1"/>
          <w:numId w:val="9"/>
        </w:numPr>
        <w:spacing w:before="160"/>
        <w:rPr>
          <w:rFonts w:ascii="Arial" w:eastAsia="Times New Roman" w:hAnsi="Arial" w:cs="Arial"/>
          <w:sz w:val="20"/>
          <w:szCs w:val="20"/>
        </w:rPr>
      </w:pPr>
      <w:r w:rsidRPr="00E04270">
        <w:rPr>
          <w:rFonts w:ascii="Arial" w:eastAsia="Times New Roman" w:hAnsi="Arial" w:cs="Arial"/>
          <w:sz w:val="20"/>
          <w:szCs w:val="20"/>
        </w:rPr>
        <w:t xml:space="preserve">Each permittee must submit reports to the USEPA via the CEDRI (CEDRI can be accessed through the EPA's CDX).  The permittee must use the appropriate electronic report in CEDRI for this subpart or an alternate electronic file format consistent with the XML schema listed on the </w:t>
      </w:r>
      <w:hyperlink r:id="rId9" w:history="1">
        <w:r w:rsidR="00E04270" w:rsidRPr="0003471C">
          <w:rPr>
            <w:rStyle w:val="Hyperlink"/>
            <w:rFonts w:ascii="Arial" w:eastAsia="Times New Roman" w:hAnsi="Arial" w:cs="Arial"/>
            <w:sz w:val="20"/>
            <w:szCs w:val="20"/>
          </w:rPr>
          <w:t>CEDRI website</w:t>
        </w:r>
      </w:hyperlink>
      <w:r w:rsidRPr="00E04270">
        <w:rPr>
          <w:rFonts w:ascii="Arial" w:eastAsia="Times New Roman" w:hAnsi="Arial" w:cs="Arial"/>
          <w:sz w:val="20"/>
          <w:szCs w:val="20"/>
        </w:rPr>
        <w:t xml:space="preserve">.  If the reporting form specific to this subpart is not available in CEDRI at the time that the report is due, the permittee must submit the report to the USEPA at the appropriate address listed in 40 CFR 60.4.  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E04270">
        <w:rPr>
          <w:rFonts w:ascii="Arial" w:eastAsia="Times New Roman" w:hAnsi="Arial" w:cs="Arial"/>
          <w:b/>
          <w:bCs/>
          <w:sz w:val="20"/>
          <w:szCs w:val="20"/>
        </w:rPr>
        <w:t>(40 CFR 62.16724(j)(2))</w:t>
      </w:r>
    </w:p>
    <w:p w14:paraId="051C9C0C" w14:textId="097FA251" w:rsidR="00E04270" w:rsidRPr="00E04270" w:rsidRDefault="00000000" w:rsidP="00CA7956">
      <w:pPr>
        <w:numPr>
          <w:ilvl w:val="0"/>
          <w:numId w:val="9"/>
        </w:numPr>
        <w:spacing w:before="160"/>
        <w:rPr>
          <w:rFonts w:ascii="Arial" w:eastAsia="Times New Roman" w:hAnsi="Arial" w:cs="Times New Roman"/>
          <w:b/>
          <w:spacing w:val="-2"/>
          <w:sz w:val="20"/>
          <w:szCs w:val="20"/>
        </w:rPr>
      </w:pPr>
      <w:r w:rsidRPr="00E04270">
        <w:rPr>
          <w:rFonts w:ascii="Arial" w:eastAsia="Times New Roman" w:hAnsi="Arial" w:cs="Times New Roman"/>
          <w:spacing w:val="-2"/>
          <w:sz w:val="20"/>
          <w:szCs w:val="20"/>
        </w:rPr>
        <w:t xml:space="preserve">The permittee shall submit any NMOC test reports to the AQD, in a format approved by the AQD.  </w:t>
      </w:r>
      <w:r w:rsidRPr="00E04270">
        <w:rPr>
          <w:rFonts w:ascii="Arial" w:eastAsia="Times New Roman" w:hAnsi="Arial" w:cs="Times New Roman"/>
          <w:b/>
          <w:spacing w:val="-2"/>
          <w:sz w:val="20"/>
          <w:szCs w:val="20"/>
        </w:rPr>
        <w:t xml:space="preserve">(R 336.1213(3)(c), </w:t>
      </w:r>
      <w:r w:rsidR="0003471C">
        <w:rPr>
          <w:rFonts w:ascii="Arial" w:eastAsia="Times New Roman" w:hAnsi="Arial" w:cs="Times New Roman"/>
          <w:b/>
          <w:spacing w:val="-2"/>
          <w:sz w:val="20"/>
          <w:szCs w:val="20"/>
        </w:rPr>
        <w:t>R 336.2001(4)</w:t>
      </w:r>
      <w:r w:rsidRPr="00E04270">
        <w:rPr>
          <w:rFonts w:ascii="Arial" w:eastAsia="Times New Roman" w:hAnsi="Arial" w:cs="Times New Roman"/>
          <w:b/>
          <w:spacing w:val="-2"/>
          <w:sz w:val="20"/>
          <w:szCs w:val="20"/>
        </w:rPr>
        <w:t>)</w:t>
      </w:r>
    </w:p>
    <w:p w14:paraId="1F20E912" w14:textId="7E279227" w:rsidR="00E04270" w:rsidRPr="00E04270" w:rsidRDefault="00000000" w:rsidP="00CA7956">
      <w:pPr>
        <w:spacing w:before="160"/>
        <w:rPr>
          <w:rFonts w:ascii="Arial" w:eastAsia="Times New Roman" w:hAnsi="Arial" w:cs="Times New Roman"/>
          <w:sz w:val="20"/>
          <w:szCs w:val="20"/>
        </w:rPr>
      </w:pPr>
      <w:r w:rsidRPr="001839D3">
        <w:rPr>
          <w:rFonts w:ascii="Arial" w:eastAsia="Times New Roman" w:hAnsi="Arial" w:cs="Times New Roman"/>
          <w:b/>
          <w:bCs/>
          <w:color w:val="ED0000"/>
          <w:sz w:val="20"/>
          <w:szCs w:val="20"/>
        </w:rPr>
        <w:t>OPTIONAL:</w:t>
      </w:r>
      <w:r w:rsidRPr="001839D3">
        <w:rPr>
          <w:rFonts w:ascii="Arial" w:eastAsia="Times New Roman" w:hAnsi="Arial" w:cs="Times New Roman"/>
          <w:color w:val="ED0000"/>
          <w:sz w:val="20"/>
          <w:szCs w:val="20"/>
        </w:rPr>
        <w:t xml:space="preserve">  Use if the owner or operator of the affected landfill has employed leachate recirculation or added liquids based on a Research, Development, and Demonstration permit (issued through Resource Conservation and Recovery Act, Subtitle D, Part 258) within the last 10 years for an annual </w:t>
      </w:r>
      <w:proofErr w:type="gramStart"/>
      <w:r w:rsidRPr="001839D3">
        <w:rPr>
          <w:rFonts w:ascii="Arial" w:eastAsia="Times New Roman" w:hAnsi="Arial" w:cs="Times New Roman"/>
          <w:color w:val="ED0000"/>
          <w:sz w:val="20"/>
          <w:szCs w:val="20"/>
        </w:rPr>
        <w:t>liquids</w:t>
      </w:r>
      <w:proofErr w:type="gramEnd"/>
      <w:r w:rsidRPr="001839D3">
        <w:rPr>
          <w:rFonts w:ascii="Arial" w:eastAsia="Times New Roman" w:hAnsi="Arial" w:cs="Times New Roman"/>
          <w:color w:val="ED0000"/>
          <w:sz w:val="20"/>
          <w:szCs w:val="20"/>
        </w:rPr>
        <w:t xml:space="preserve"> addition report. </w:t>
      </w:r>
      <w:r w:rsidR="00552650" w:rsidRPr="001839D3">
        <w:rPr>
          <w:rFonts w:ascii="Arial" w:eastAsia="Calibri" w:hAnsi="Arial" w:cs="Times New Roman"/>
          <w:b/>
          <w:bCs/>
          <w:color w:val="ED0000"/>
          <w:sz w:val="20"/>
          <w:szCs w:val="20"/>
        </w:rPr>
        <w:t>{if using this option, make sure to use optional condition 4 under MONITORING</w:t>
      </w:r>
      <w:r w:rsidR="00EC2AA9" w:rsidRPr="001839D3">
        <w:rPr>
          <w:rFonts w:ascii="Arial" w:eastAsia="Calibri" w:hAnsi="Arial" w:cs="Times New Roman"/>
          <w:b/>
          <w:bCs/>
          <w:color w:val="ED0000"/>
          <w:sz w:val="20"/>
          <w:szCs w:val="20"/>
        </w:rPr>
        <w:t>/RECORDKEEPING</w:t>
      </w:r>
      <w:r w:rsidR="00552650" w:rsidRPr="001839D3">
        <w:rPr>
          <w:rFonts w:ascii="Arial" w:eastAsia="Calibri" w:hAnsi="Arial" w:cs="Times New Roman"/>
          <w:b/>
          <w:bCs/>
          <w:color w:val="ED0000"/>
          <w:sz w:val="20"/>
          <w:szCs w:val="20"/>
        </w:rPr>
        <w:t xml:space="preserve"> as well.}</w:t>
      </w:r>
    </w:p>
    <w:p w14:paraId="4C9A0878" w14:textId="532A68BB" w:rsidR="00E04270" w:rsidRPr="00E04270" w:rsidRDefault="00000000" w:rsidP="00CA7956">
      <w:pPr>
        <w:numPr>
          <w:ilvl w:val="0"/>
          <w:numId w:val="9"/>
        </w:numPr>
        <w:spacing w:before="160"/>
        <w:rPr>
          <w:rFonts w:ascii="Arial" w:eastAsia="Times New Roman" w:hAnsi="Arial" w:cs="Arial"/>
          <w:bCs/>
          <w:sz w:val="20"/>
          <w:szCs w:val="20"/>
        </w:rPr>
      </w:pPr>
      <w:r w:rsidRPr="00E04270">
        <w:rPr>
          <w:rFonts w:ascii="Arial" w:eastAsia="Times New Roman" w:hAnsi="Arial" w:cs="Arial"/>
          <w:bCs/>
          <w:sz w:val="20"/>
          <w:szCs w:val="20"/>
        </w:rPr>
        <w:t>Annually, the permittee must submit a liquids addition report, to the AQD, within 365 days after the date the previous report was submitted with the following information:</w:t>
      </w:r>
    </w:p>
    <w:p w14:paraId="4C43AE86" w14:textId="77777777" w:rsidR="00E04270" w:rsidRPr="00E04270" w:rsidRDefault="00000000" w:rsidP="00CA7956">
      <w:pPr>
        <w:numPr>
          <w:ilvl w:val="0"/>
          <w:numId w:val="12"/>
        </w:numPr>
        <w:spacing w:before="160"/>
        <w:ind w:left="720"/>
        <w:rPr>
          <w:rFonts w:ascii="Arial" w:eastAsia="Times New Roman" w:hAnsi="Arial" w:cs="Arial"/>
          <w:bCs/>
          <w:sz w:val="20"/>
          <w:szCs w:val="20"/>
        </w:rPr>
      </w:pPr>
      <w:r w:rsidRPr="00E04270">
        <w:rPr>
          <w:rFonts w:ascii="Arial" w:eastAsia="Times New Roman" w:hAnsi="Arial" w:cs="Arial"/>
          <w:sz w:val="20"/>
          <w:szCs w:val="20"/>
        </w:rPr>
        <w:t xml:space="preserve">Volume of leachate recirculated (gallons per year) and the reported basis of those estimates (records or engineering estimates).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shd w:val="clear" w:color="auto" w:fill="FFFFFF"/>
        </w:rPr>
        <w:t>40 CFR 62.16724(l)(1)</w:t>
      </w:r>
      <w:r w:rsidRPr="00E04270">
        <w:rPr>
          <w:rFonts w:ascii="Arial" w:eastAsia="Times New Roman" w:hAnsi="Arial" w:cs="Arial"/>
          <w:b/>
          <w:bCs/>
          <w:sz w:val="20"/>
          <w:szCs w:val="20"/>
        </w:rPr>
        <w:t>)</w:t>
      </w:r>
    </w:p>
    <w:p w14:paraId="5B8B16BB" w14:textId="77777777" w:rsidR="00E04270" w:rsidRPr="00E04270" w:rsidRDefault="00000000" w:rsidP="00CA7956">
      <w:pPr>
        <w:numPr>
          <w:ilvl w:val="0"/>
          <w:numId w:val="12"/>
        </w:numPr>
        <w:spacing w:before="160"/>
        <w:ind w:left="720"/>
        <w:rPr>
          <w:rFonts w:ascii="Arial" w:eastAsia="Times New Roman" w:hAnsi="Arial" w:cs="Arial"/>
          <w:bCs/>
          <w:sz w:val="20"/>
          <w:szCs w:val="20"/>
        </w:rPr>
      </w:pPr>
      <w:r w:rsidRPr="00E04270">
        <w:rPr>
          <w:rFonts w:ascii="Arial" w:eastAsia="Times New Roman" w:hAnsi="Arial" w:cs="Arial"/>
          <w:sz w:val="20"/>
          <w:szCs w:val="20"/>
        </w:rPr>
        <w:lastRenderedPageBreak/>
        <w:t xml:space="preserve">Total volume of all other liquids added (gallons per year) and the reported basis of those estimates (records or engineering estimates).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shd w:val="clear" w:color="auto" w:fill="FFFFFF"/>
        </w:rPr>
        <w:t>40 CFR 62.16724(l)(2)</w:t>
      </w:r>
      <w:r w:rsidRPr="00E04270">
        <w:rPr>
          <w:rFonts w:ascii="Arial" w:eastAsia="Times New Roman" w:hAnsi="Arial" w:cs="Arial"/>
          <w:b/>
          <w:bCs/>
          <w:sz w:val="20"/>
          <w:szCs w:val="20"/>
        </w:rPr>
        <w:t>)</w:t>
      </w:r>
    </w:p>
    <w:p w14:paraId="01F3EBCA" w14:textId="77777777" w:rsidR="00E04270" w:rsidRPr="00E04270" w:rsidRDefault="00000000" w:rsidP="00CA7956">
      <w:pPr>
        <w:numPr>
          <w:ilvl w:val="0"/>
          <w:numId w:val="12"/>
        </w:numPr>
        <w:spacing w:before="160"/>
        <w:ind w:left="720"/>
        <w:jc w:val="both"/>
        <w:rPr>
          <w:rFonts w:ascii="Arial" w:eastAsia="Times New Roman" w:hAnsi="Arial" w:cs="Arial"/>
          <w:b/>
          <w:bCs/>
          <w:sz w:val="20"/>
          <w:szCs w:val="20"/>
        </w:rPr>
      </w:pPr>
      <w:r w:rsidRPr="00E04270">
        <w:rPr>
          <w:rFonts w:ascii="Arial" w:eastAsia="Times New Roman" w:hAnsi="Arial" w:cs="Arial"/>
          <w:sz w:val="20"/>
          <w:szCs w:val="20"/>
        </w:rPr>
        <w:t xml:space="preserve">Surface area (acres) over which the leachate is recirculated (or otherwise applied).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shd w:val="clear" w:color="auto" w:fill="FFFFFF"/>
        </w:rPr>
        <w:t>40 CFR 62.16724(l)(3))</w:t>
      </w:r>
    </w:p>
    <w:p w14:paraId="05A94E6C" w14:textId="77777777" w:rsidR="00E04270" w:rsidRPr="00E04270" w:rsidRDefault="00000000" w:rsidP="00CA7956">
      <w:pPr>
        <w:numPr>
          <w:ilvl w:val="0"/>
          <w:numId w:val="12"/>
        </w:numPr>
        <w:spacing w:before="160"/>
        <w:ind w:left="720"/>
        <w:jc w:val="both"/>
        <w:rPr>
          <w:rFonts w:ascii="Arial" w:eastAsia="Times New Roman" w:hAnsi="Arial" w:cs="Arial"/>
          <w:b/>
          <w:bCs/>
          <w:sz w:val="20"/>
          <w:szCs w:val="20"/>
        </w:rPr>
      </w:pPr>
      <w:r w:rsidRPr="00E04270">
        <w:rPr>
          <w:rFonts w:ascii="Arial" w:eastAsia="Times New Roman" w:hAnsi="Arial" w:cs="Arial"/>
          <w:sz w:val="20"/>
          <w:szCs w:val="20"/>
        </w:rPr>
        <w:t xml:space="preserve">Surface area (acres) over which any other liquids are applied.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shd w:val="clear" w:color="auto" w:fill="FFFFFF"/>
        </w:rPr>
        <w:t>40 CFR 62.16724(l)(4)</w:t>
      </w:r>
      <w:r w:rsidRPr="00E04270">
        <w:rPr>
          <w:rFonts w:ascii="Arial" w:eastAsia="Times New Roman" w:hAnsi="Arial" w:cs="Arial"/>
          <w:b/>
          <w:bCs/>
          <w:sz w:val="20"/>
          <w:szCs w:val="20"/>
        </w:rPr>
        <w:t>)</w:t>
      </w:r>
    </w:p>
    <w:p w14:paraId="4B3234E4" w14:textId="77777777" w:rsidR="00E04270" w:rsidRPr="00E04270" w:rsidRDefault="00000000" w:rsidP="00CA7956">
      <w:pPr>
        <w:numPr>
          <w:ilvl w:val="0"/>
          <w:numId w:val="12"/>
        </w:numPr>
        <w:spacing w:before="160"/>
        <w:ind w:left="720"/>
        <w:jc w:val="both"/>
        <w:rPr>
          <w:rFonts w:ascii="Arial" w:eastAsia="Times New Roman" w:hAnsi="Arial" w:cs="Arial"/>
          <w:b/>
          <w:bCs/>
          <w:sz w:val="20"/>
          <w:szCs w:val="20"/>
        </w:rPr>
      </w:pPr>
      <w:r w:rsidRPr="00E04270">
        <w:rPr>
          <w:rFonts w:ascii="Arial" w:eastAsia="Times New Roman" w:hAnsi="Arial" w:cs="Arial"/>
          <w:sz w:val="20"/>
          <w:szCs w:val="20"/>
        </w:rPr>
        <w:t xml:space="preserve">The total waste disposed (megagrams) in the areas with recirculated leachate and/or added liquids based on on-site records to the extent data are available, or engineering estimates and the reported basis of those estimates.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shd w:val="clear" w:color="auto" w:fill="FFFFFF"/>
        </w:rPr>
        <w:t>40 CFR 62.16724(l)(5)</w:t>
      </w:r>
      <w:r w:rsidRPr="00E04270">
        <w:rPr>
          <w:rFonts w:ascii="Arial" w:eastAsia="Times New Roman" w:hAnsi="Arial" w:cs="Arial"/>
          <w:b/>
          <w:bCs/>
          <w:sz w:val="20"/>
          <w:szCs w:val="20"/>
        </w:rPr>
        <w:t>)</w:t>
      </w:r>
    </w:p>
    <w:p w14:paraId="6023ED60" w14:textId="77777777" w:rsidR="00E04270" w:rsidRPr="00E04270" w:rsidRDefault="00000000" w:rsidP="00CA7956">
      <w:pPr>
        <w:numPr>
          <w:ilvl w:val="0"/>
          <w:numId w:val="12"/>
        </w:numPr>
        <w:spacing w:before="160"/>
        <w:ind w:left="720"/>
        <w:jc w:val="both"/>
        <w:rPr>
          <w:rFonts w:ascii="Arial" w:eastAsia="Times New Roman" w:hAnsi="Arial" w:cs="Arial"/>
          <w:b/>
          <w:bCs/>
          <w:sz w:val="20"/>
          <w:szCs w:val="20"/>
        </w:rPr>
      </w:pPr>
      <w:r w:rsidRPr="00E04270">
        <w:rPr>
          <w:rFonts w:ascii="Arial" w:eastAsia="Times New Roman" w:hAnsi="Arial" w:cs="Arial"/>
          <w:sz w:val="20"/>
          <w:szCs w:val="20"/>
        </w:rPr>
        <w:t xml:space="preserve">The annual waste acceptance rates (megagrams per year) in the areas with recirculated leachate and/or added liquids, based on on-site records to the extent data are available, or engineering estimates.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shd w:val="clear" w:color="auto" w:fill="FFFFFF"/>
        </w:rPr>
        <w:t>40 CFR 62.16724(l)(6</w:t>
      </w:r>
      <w:r w:rsidRPr="00E04270">
        <w:rPr>
          <w:rFonts w:ascii="Arial" w:eastAsia="Times New Roman" w:hAnsi="Arial" w:cs="Arial"/>
          <w:b/>
          <w:bCs/>
          <w:sz w:val="20"/>
          <w:szCs w:val="20"/>
        </w:rPr>
        <w:t>)</w:t>
      </w:r>
    </w:p>
    <w:p w14:paraId="5D5675A2" w14:textId="77777777" w:rsidR="00E04270" w:rsidRPr="00E04270" w:rsidRDefault="00000000" w:rsidP="00CA7956">
      <w:pPr>
        <w:numPr>
          <w:ilvl w:val="0"/>
          <w:numId w:val="12"/>
        </w:numPr>
        <w:spacing w:before="160"/>
        <w:ind w:left="720"/>
        <w:jc w:val="both"/>
        <w:rPr>
          <w:rFonts w:ascii="Arial" w:eastAsia="Times New Roman" w:hAnsi="Arial" w:cs="Arial"/>
          <w:sz w:val="20"/>
          <w:szCs w:val="20"/>
        </w:rPr>
      </w:pPr>
      <w:r w:rsidRPr="001839D3">
        <w:rPr>
          <w:rFonts w:ascii="Arial" w:eastAsia="Times New Roman" w:hAnsi="Arial" w:cs="Arial"/>
          <w:color w:val="ED0000"/>
          <w:sz w:val="20"/>
          <w:szCs w:val="20"/>
        </w:rPr>
        <w:t xml:space="preserve">The initial report must contain items (a) through (f) for the initial annual reporting period as well as for each of the previous 10 years, to the extent historical data are available in on-site records, and the report must be submitted no later than June 21, 2022.  Subsequent annual reports must contain items (a) through (f) and be submitted no later than 365 days after the date the previous report was submitted and contain data for the most recent 365 days.  </w:t>
      </w:r>
      <w:r w:rsidRPr="001839D3">
        <w:rPr>
          <w:rFonts w:ascii="Arial" w:eastAsia="Times New Roman" w:hAnsi="Arial" w:cs="Arial"/>
          <w:b/>
          <w:bCs/>
          <w:color w:val="ED0000"/>
          <w:sz w:val="20"/>
          <w:szCs w:val="20"/>
        </w:rPr>
        <w:t>(</w:t>
      </w:r>
      <w:r w:rsidRPr="001839D3">
        <w:rPr>
          <w:rFonts w:ascii="Arial" w:eastAsia="Times New Roman" w:hAnsi="Arial" w:cs="Arial"/>
          <w:b/>
          <w:bCs/>
          <w:color w:val="ED0000"/>
          <w:sz w:val="20"/>
          <w:szCs w:val="20"/>
          <w:shd w:val="clear" w:color="auto" w:fill="FFFFFF"/>
        </w:rPr>
        <w:t>40 CFR 62.16724(l)(7)</w:t>
      </w:r>
      <w:r w:rsidRPr="001839D3">
        <w:rPr>
          <w:rFonts w:ascii="Arial" w:eastAsia="Times New Roman" w:hAnsi="Arial" w:cs="Arial"/>
          <w:b/>
          <w:bCs/>
          <w:color w:val="ED0000"/>
          <w:sz w:val="20"/>
          <w:szCs w:val="20"/>
        </w:rPr>
        <w:t>)</w:t>
      </w:r>
    </w:p>
    <w:p w14:paraId="639B29FA" w14:textId="77777777" w:rsidR="00E04270" w:rsidRPr="00E04270" w:rsidRDefault="00000000" w:rsidP="00CA7956">
      <w:pPr>
        <w:spacing w:before="160"/>
        <w:jc w:val="both"/>
        <w:rPr>
          <w:rFonts w:ascii="Arial" w:eastAsia="Times New Roman" w:hAnsi="Arial" w:cs="Arial"/>
          <w:b/>
          <w:sz w:val="20"/>
          <w:szCs w:val="20"/>
        </w:rPr>
      </w:pPr>
      <w:r w:rsidRPr="00E04270">
        <w:rPr>
          <w:rFonts w:ascii="Arial" w:eastAsia="Times New Roman" w:hAnsi="Arial" w:cs="Arial"/>
          <w:b/>
          <w:sz w:val="20"/>
          <w:szCs w:val="20"/>
        </w:rPr>
        <w:t>See Appendix 8</w:t>
      </w:r>
    </w:p>
    <w:p w14:paraId="52534D4B" w14:textId="77777777" w:rsidR="00E04270" w:rsidRPr="00E04270" w:rsidRDefault="00000000" w:rsidP="0003471C">
      <w:pPr>
        <w:pStyle w:val="Heading5"/>
      </w:pPr>
      <w:r w:rsidRPr="00E04270">
        <w:t>VIII.  STACK/VENT RESTRICTION(S)</w:t>
      </w:r>
    </w:p>
    <w:p w14:paraId="1B80D8EB" w14:textId="77777777" w:rsidR="00E04270" w:rsidRPr="00E04270" w:rsidRDefault="00000000" w:rsidP="0003471C">
      <w:pPr>
        <w:spacing w:before="120"/>
        <w:jc w:val="both"/>
        <w:rPr>
          <w:rFonts w:ascii="Arial" w:eastAsia="Times New Roman" w:hAnsi="Arial" w:cs="Times New Roman"/>
          <w:sz w:val="20"/>
          <w:szCs w:val="20"/>
        </w:rPr>
      </w:pPr>
      <w:r w:rsidRPr="00E04270">
        <w:rPr>
          <w:rFonts w:ascii="Arial" w:eastAsia="Times New Roman" w:hAnsi="Arial" w:cs="Times New Roman"/>
          <w:sz w:val="20"/>
          <w:szCs w:val="20"/>
        </w:rPr>
        <w:t>NA</w:t>
      </w:r>
    </w:p>
    <w:p w14:paraId="79DE7A63" w14:textId="77777777" w:rsidR="00E04270" w:rsidRPr="00E04270" w:rsidRDefault="00000000" w:rsidP="0003471C">
      <w:pPr>
        <w:pStyle w:val="Heading5"/>
      </w:pPr>
      <w:r w:rsidRPr="00E04270">
        <w:t>IX.  OTHER REQUIREMENT(S)</w:t>
      </w:r>
    </w:p>
    <w:p w14:paraId="09834484" w14:textId="77777777" w:rsidR="00E04270" w:rsidRPr="00E04270" w:rsidRDefault="00000000" w:rsidP="0003471C">
      <w:pPr>
        <w:numPr>
          <w:ilvl w:val="0"/>
          <w:numId w:val="8"/>
        </w:numPr>
        <w:tabs>
          <w:tab w:val="left" w:pos="1050"/>
        </w:tabs>
        <w:spacing w:before="120"/>
        <w:rPr>
          <w:rFonts w:ascii="Arial" w:eastAsia="Times New Roman" w:hAnsi="Arial" w:cs="Arial"/>
          <w:sz w:val="20"/>
          <w:szCs w:val="20"/>
        </w:rPr>
      </w:pPr>
      <w:r w:rsidRPr="00E04270">
        <w:rPr>
          <w:rFonts w:ascii="Arial" w:eastAsia="Times New Roman" w:hAnsi="Arial" w:cs="Arial"/>
          <w:sz w:val="20"/>
          <w:szCs w:val="20"/>
        </w:rPr>
        <w:t xml:space="preserve">If the NMOC emission rate is calculated to be equal to or greater than 34 Mg per year, the permittee must install a collection and control system in compliance with 40 CFR 62.16714(b) and (c) or conduct a surface emission monitoring demonstration using the Tier 4 procedures specified in Appendix 5 if Tier 1 or 2 testing demonstrates NMOC emissions less than 50 Mg per year.  If the permittee chooses or is required to install a gas collection and control system, they must submit a gas collection and control system design plan within one year as specified in 40 CFR 62.16724(d) and install and operate a gas collection and control system within 30 months according to 40 CFR 62.16714(b) and (c).  Additionally, within 90 days of determining NMOC emissions are above 34 Mg per year, the permittee shall apply for a revision of this permit to reflect applicable requirements of 40 CFR Part 62, Subpart OOO.  </w:t>
      </w:r>
      <w:r w:rsidRPr="00E04270">
        <w:rPr>
          <w:rFonts w:ascii="Arial" w:eastAsia="Times New Roman" w:hAnsi="Arial" w:cs="Arial"/>
          <w:b/>
          <w:sz w:val="20"/>
          <w:szCs w:val="20"/>
        </w:rPr>
        <w:t>(R 336.1216(2), 40 CFR 62.16718(a)(4)(</w:t>
      </w:r>
      <w:proofErr w:type="spellStart"/>
      <w:r w:rsidRPr="00E04270">
        <w:rPr>
          <w:rFonts w:ascii="Arial" w:eastAsia="Times New Roman" w:hAnsi="Arial" w:cs="Arial"/>
          <w:b/>
          <w:sz w:val="20"/>
          <w:szCs w:val="20"/>
        </w:rPr>
        <w:t>i</w:t>
      </w:r>
      <w:proofErr w:type="spellEnd"/>
      <w:r w:rsidRPr="00E04270">
        <w:rPr>
          <w:rFonts w:ascii="Arial" w:eastAsia="Times New Roman" w:hAnsi="Arial" w:cs="Arial"/>
          <w:b/>
          <w:sz w:val="20"/>
          <w:szCs w:val="20"/>
        </w:rPr>
        <w:t>)(A) and (B))</w:t>
      </w:r>
    </w:p>
    <w:p w14:paraId="651184E6" w14:textId="77777777" w:rsidR="00E04270" w:rsidRPr="00E04270" w:rsidRDefault="00000000" w:rsidP="0003471C">
      <w:pPr>
        <w:numPr>
          <w:ilvl w:val="0"/>
          <w:numId w:val="8"/>
        </w:numPr>
        <w:spacing w:before="120"/>
        <w:rPr>
          <w:rFonts w:ascii="Arial" w:eastAsia="Times New Roman" w:hAnsi="Arial" w:cs="Arial"/>
          <w:sz w:val="20"/>
          <w:szCs w:val="20"/>
        </w:rPr>
      </w:pPr>
      <w:r w:rsidRPr="00E04270">
        <w:rPr>
          <w:rFonts w:ascii="Arial" w:eastAsia="Times New Roman" w:hAnsi="Arial" w:cs="Arial"/>
          <w:sz w:val="20"/>
          <w:szCs w:val="20"/>
        </w:rPr>
        <w:t xml:space="preserve">The permittee is exempted from the requirements to submit an NMOC emission rate report, after installing a collection and control system that complies with 40 CFR 62.16714(b) and (c), during such time as the collection and control system is in operation and in compliance with 40 CFR 62.16716 and 40 CFR 62.16720.  </w:t>
      </w:r>
      <w:r w:rsidRPr="00E04270">
        <w:rPr>
          <w:rFonts w:ascii="Arial" w:eastAsia="Times New Roman" w:hAnsi="Arial" w:cs="Arial"/>
          <w:b/>
          <w:bCs/>
          <w:sz w:val="20"/>
          <w:szCs w:val="20"/>
        </w:rPr>
        <w:t>(</w:t>
      </w:r>
      <w:r w:rsidRPr="00E04270">
        <w:rPr>
          <w:rFonts w:ascii="Arial" w:eastAsia="Times New Roman" w:hAnsi="Arial" w:cs="Arial"/>
          <w:b/>
          <w:bCs/>
          <w:color w:val="333333"/>
          <w:sz w:val="20"/>
          <w:szCs w:val="20"/>
          <w:shd w:val="clear" w:color="auto" w:fill="FFFFFF"/>
        </w:rPr>
        <w:t>40 CFR 62.16724(c)(4))</w:t>
      </w:r>
    </w:p>
    <w:p w14:paraId="4997C20F" w14:textId="77777777" w:rsidR="00E04270" w:rsidRPr="00E04270" w:rsidRDefault="00000000" w:rsidP="0003471C">
      <w:pPr>
        <w:numPr>
          <w:ilvl w:val="0"/>
          <w:numId w:val="8"/>
        </w:numPr>
        <w:spacing w:before="120"/>
        <w:rPr>
          <w:rFonts w:ascii="Arial" w:eastAsia="Times New Roman" w:hAnsi="Arial" w:cs="Arial"/>
          <w:b/>
          <w:color w:val="000000"/>
          <w:sz w:val="20"/>
          <w:szCs w:val="20"/>
        </w:rPr>
      </w:pPr>
      <w:r w:rsidRPr="00E04270">
        <w:rPr>
          <w:rFonts w:ascii="Arial" w:eastAsia="Times New Roman" w:hAnsi="Arial" w:cs="Arial"/>
          <w:color w:val="000000"/>
          <w:sz w:val="20"/>
          <w:szCs w:val="20"/>
        </w:rPr>
        <w:t xml:space="preserve">The permittee shall comply with all applicable provisions of the Federal Plan Requirements for Municipal Solid Waste Landfills as specified in 40 CFR Part 62, Subparts A and OOO. </w:t>
      </w:r>
      <w:r w:rsidRPr="00E04270">
        <w:rPr>
          <w:rFonts w:ascii="Arial" w:eastAsia="Times New Roman" w:hAnsi="Arial" w:cs="Arial"/>
          <w:b/>
          <w:color w:val="000000"/>
          <w:sz w:val="20"/>
          <w:szCs w:val="20"/>
        </w:rPr>
        <w:t xml:space="preserve"> (40 CFR Part 62, Subparts A and OOO)</w:t>
      </w:r>
    </w:p>
    <w:p w14:paraId="58C8AEC8" w14:textId="77777777" w:rsidR="00E04270" w:rsidRPr="00E04270" w:rsidRDefault="00000000" w:rsidP="0003471C">
      <w:pPr>
        <w:spacing w:before="120"/>
        <w:rPr>
          <w:rFonts w:ascii="Arial" w:eastAsia="Times New Roman" w:hAnsi="Arial" w:cs="Times New Roman"/>
          <w:sz w:val="20"/>
          <w:szCs w:val="20"/>
        </w:rPr>
      </w:pPr>
      <w:r w:rsidRPr="001839D3">
        <w:rPr>
          <w:rFonts w:ascii="Arial" w:eastAsia="Times New Roman" w:hAnsi="Arial" w:cs="Times New Roman"/>
          <w:b/>
          <w:bCs/>
          <w:color w:val="ED0000"/>
          <w:sz w:val="20"/>
          <w:szCs w:val="20"/>
        </w:rPr>
        <w:t>OPTIONAL</w:t>
      </w:r>
      <w:r w:rsidRPr="001839D3">
        <w:rPr>
          <w:rFonts w:ascii="Arial" w:eastAsia="Times New Roman" w:hAnsi="Arial" w:cs="Times New Roman"/>
          <w:color w:val="ED0000"/>
          <w:sz w:val="20"/>
          <w:szCs w:val="20"/>
        </w:rPr>
        <w:t>: Use the following condition only if a major source of HAPs as defined in 40 CFR 63.2.</w:t>
      </w:r>
    </w:p>
    <w:p w14:paraId="25E6092C" w14:textId="77777777" w:rsidR="00E04270" w:rsidRPr="00E04270" w:rsidRDefault="00000000" w:rsidP="0003471C">
      <w:pPr>
        <w:numPr>
          <w:ilvl w:val="0"/>
          <w:numId w:val="8"/>
        </w:numPr>
        <w:spacing w:before="120"/>
        <w:jc w:val="both"/>
        <w:rPr>
          <w:rFonts w:ascii="Arial" w:eastAsia="Times New Roman" w:hAnsi="Arial" w:cs="Times New Roman"/>
          <w:b/>
          <w:bCs/>
          <w:sz w:val="20"/>
          <w:szCs w:val="20"/>
        </w:rPr>
      </w:pPr>
      <w:r w:rsidRPr="00E04270">
        <w:rPr>
          <w:rFonts w:ascii="Arial" w:eastAsia="Times New Roman" w:hAnsi="Arial" w:cs="Times New Roman"/>
          <w:sz w:val="20"/>
          <w:szCs w:val="20"/>
        </w:rPr>
        <w:t xml:space="preserve">The permittee must comply with all applicable provisions of the National Emissions Standards for Hazardous Air Pollutants: Municipal Solid Waste Landfills as specified in 40 CFR Part 63, Subparts A and AAAA.  </w:t>
      </w:r>
      <w:r w:rsidRPr="00E04270">
        <w:rPr>
          <w:rFonts w:ascii="Arial" w:eastAsia="Times New Roman" w:hAnsi="Arial" w:cs="Times New Roman"/>
          <w:b/>
          <w:bCs/>
          <w:sz w:val="20"/>
          <w:szCs w:val="20"/>
        </w:rPr>
        <w:t>(40 CFR Part 63, Subparts A and AAAA)</w:t>
      </w:r>
    </w:p>
    <w:p w14:paraId="5CAA6FE7" w14:textId="77777777" w:rsidR="00E04270" w:rsidRPr="00E04270" w:rsidRDefault="00000000" w:rsidP="0003471C">
      <w:pPr>
        <w:spacing w:before="240" w:after="0" w:line="240" w:lineRule="auto"/>
        <w:jc w:val="both"/>
        <w:rPr>
          <w:rFonts w:ascii="Arial" w:eastAsia="Times New Roman" w:hAnsi="Arial" w:cs="Times New Roman"/>
          <w:sz w:val="20"/>
          <w:szCs w:val="20"/>
        </w:rPr>
      </w:pPr>
      <w:r w:rsidRPr="00E04270">
        <w:rPr>
          <w:rFonts w:ascii="Arial" w:eastAsia="Times New Roman" w:hAnsi="Arial" w:cs="Times New Roman"/>
          <w:color w:val="0000FF"/>
          <w:sz w:val="20"/>
          <w:szCs w:val="20"/>
        </w:rPr>
        <w:t>Remove these footnotes if no PTIs are associated with this flexible group.</w:t>
      </w:r>
    </w:p>
    <w:p w14:paraId="1193E9B5" w14:textId="77777777" w:rsidR="00E04270" w:rsidRPr="0003471C" w:rsidRDefault="00000000" w:rsidP="0003471C">
      <w:pPr>
        <w:spacing w:before="240" w:after="20" w:line="240" w:lineRule="auto"/>
        <w:jc w:val="both"/>
        <w:rPr>
          <w:rFonts w:ascii="Arial" w:eastAsia="Times New Roman" w:hAnsi="Arial" w:cs="Times New Roman"/>
          <w:b/>
          <w:sz w:val="20"/>
          <w:szCs w:val="20"/>
        </w:rPr>
      </w:pPr>
      <w:r w:rsidRPr="0003471C">
        <w:rPr>
          <w:rFonts w:ascii="Arial" w:eastAsia="Times New Roman" w:hAnsi="Arial" w:cs="Times New Roman"/>
          <w:b/>
          <w:sz w:val="20"/>
          <w:szCs w:val="20"/>
        </w:rPr>
        <w:t>Footnotes:</w:t>
      </w:r>
    </w:p>
    <w:p w14:paraId="727970BC" w14:textId="77777777" w:rsidR="00E04270" w:rsidRPr="00E04270" w:rsidRDefault="00000000" w:rsidP="0003471C">
      <w:pPr>
        <w:spacing w:before="20" w:after="20"/>
        <w:jc w:val="both"/>
        <w:rPr>
          <w:rFonts w:ascii="Arial" w:eastAsia="Times New Roman" w:hAnsi="Arial" w:cs="Times New Roman"/>
          <w:sz w:val="20"/>
          <w:szCs w:val="20"/>
        </w:rPr>
      </w:pPr>
      <w:r w:rsidRPr="00E04270">
        <w:rPr>
          <w:rFonts w:ascii="Arial" w:eastAsia="Times New Roman" w:hAnsi="Arial" w:cs="Times New Roman"/>
          <w:sz w:val="20"/>
          <w:szCs w:val="20"/>
          <w:vertAlign w:val="superscript"/>
        </w:rPr>
        <w:t>1</w:t>
      </w:r>
      <w:r w:rsidRPr="00E04270">
        <w:rPr>
          <w:rFonts w:ascii="Arial" w:eastAsia="Times New Roman" w:hAnsi="Arial" w:cs="Times New Roman"/>
          <w:sz w:val="20"/>
          <w:szCs w:val="20"/>
        </w:rPr>
        <w:t>This condition is state-only enforceable and was established pursuant to Rule 201(1)(b).</w:t>
      </w:r>
    </w:p>
    <w:p w14:paraId="37E6CE0A" w14:textId="77777777" w:rsidR="00E04270" w:rsidRPr="00E04270" w:rsidRDefault="00000000" w:rsidP="0003471C">
      <w:pPr>
        <w:spacing w:before="20" w:after="20"/>
        <w:jc w:val="both"/>
        <w:rPr>
          <w:rFonts w:ascii="Arial" w:eastAsia="Times New Roman" w:hAnsi="Arial" w:cs="Times New Roman"/>
          <w:szCs w:val="20"/>
        </w:rPr>
      </w:pPr>
      <w:r w:rsidRPr="00E04270">
        <w:rPr>
          <w:rFonts w:ascii="Arial" w:eastAsia="Times New Roman" w:hAnsi="Arial" w:cs="Times New Roman"/>
          <w:sz w:val="20"/>
          <w:szCs w:val="20"/>
          <w:vertAlign w:val="superscript"/>
        </w:rPr>
        <w:t>2</w:t>
      </w:r>
      <w:r w:rsidRPr="00E04270">
        <w:rPr>
          <w:rFonts w:ascii="Arial" w:eastAsia="Times New Roman" w:hAnsi="Arial" w:cs="Times New Roman"/>
          <w:sz w:val="20"/>
          <w:szCs w:val="20"/>
        </w:rPr>
        <w:t>This condition is federally enforceable and was established pursuant to Rule 201(1)(a).</w:t>
      </w:r>
    </w:p>
    <w:p w14:paraId="0B521839" w14:textId="77777777" w:rsidR="00E04270" w:rsidRPr="00E04270" w:rsidRDefault="00000000" w:rsidP="00E04270">
      <w:pPr>
        <w:spacing w:after="0" w:line="240" w:lineRule="auto"/>
        <w:jc w:val="both"/>
        <w:rPr>
          <w:rFonts w:ascii="Arial" w:eastAsia="Times New Roman" w:hAnsi="Arial" w:cs="Times New Roman"/>
          <w:sz w:val="20"/>
          <w:szCs w:val="20"/>
        </w:rPr>
      </w:pPr>
      <w:r w:rsidRPr="00E04270">
        <w:rPr>
          <w:rFonts w:ascii="Arial" w:eastAsia="Times New Roman" w:hAnsi="Arial" w:cs="Times New Roman"/>
          <w:sz w:val="20"/>
          <w:szCs w:val="20"/>
        </w:rPr>
        <w:br w:type="page"/>
      </w:r>
    </w:p>
    <w:p w14:paraId="7DDC1562" w14:textId="77777777" w:rsidR="00E04270" w:rsidRPr="00E04270" w:rsidRDefault="00000000" w:rsidP="0003471C">
      <w:pPr>
        <w:pStyle w:val="Heading3"/>
      </w:pPr>
      <w:bookmarkStart w:id="13" w:name="_Toc1453518"/>
      <w:bookmarkStart w:id="14" w:name="_Toc32635131"/>
      <w:bookmarkEnd w:id="1"/>
      <w:bookmarkEnd w:id="2"/>
      <w:bookmarkEnd w:id="3"/>
      <w:r w:rsidRPr="00E04270">
        <w:lastRenderedPageBreak/>
        <w:t>E.  NON-APPLICABLE REQUIREMENTS</w:t>
      </w:r>
      <w:bookmarkEnd w:id="13"/>
      <w:bookmarkEnd w:id="14"/>
    </w:p>
    <w:p w14:paraId="092E38D4" w14:textId="77777777" w:rsidR="00E04270" w:rsidRPr="00E04270" w:rsidRDefault="00000000" w:rsidP="0003471C">
      <w:pPr>
        <w:spacing w:before="120"/>
        <w:rPr>
          <w:rFonts w:ascii="Arial" w:eastAsia="Calibri" w:hAnsi="Arial" w:cs="Arial"/>
          <w:sz w:val="20"/>
          <w:szCs w:val="20"/>
        </w:rPr>
      </w:pPr>
      <w:bookmarkStart w:id="15" w:name="_Toc366569209"/>
      <w:bookmarkStart w:id="16" w:name="_Toc366642171"/>
      <w:bookmarkStart w:id="17" w:name="_Toc369327740"/>
      <w:r w:rsidRPr="00E04270">
        <w:rPr>
          <w:rFonts w:ascii="Arial" w:eastAsia="Calibri" w:hAnsi="Arial" w:cs="Arial"/>
          <w:sz w:val="20"/>
          <w:szCs w:val="20"/>
        </w:rPr>
        <w:t>At the time of the ROP issuance, the AQD has determined that no non-applicable requirements have been identified for incorporation into the permit shield provision set forth in the General Conditions in Part A pursuant to Rule 213(6)(a)(ii).”</w:t>
      </w:r>
    </w:p>
    <w:p w14:paraId="2F26D58D"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color w:val="0000FF"/>
          <w:sz w:val="20"/>
          <w:szCs w:val="20"/>
        </w:rPr>
        <w:t>If the facility requests an entry into this section, refer to the ROP Manual 4.B.2, “ROP Shell Instructions.”</w:t>
      </w:r>
    </w:p>
    <w:p w14:paraId="33D16FE8" w14:textId="77777777" w:rsidR="00E04270" w:rsidRPr="00E04270" w:rsidRDefault="00000000" w:rsidP="00E04270">
      <w:pPr>
        <w:spacing w:after="0" w:line="240" w:lineRule="auto"/>
        <w:jc w:val="both"/>
        <w:rPr>
          <w:rFonts w:ascii="Arial" w:eastAsia="Times New Roman" w:hAnsi="Arial" w:cs="Arial"/>
          <w:sz w:val="19"/>
          <w:szCs w:val="19"/>
        </w:rPr>
      </w:pPr>
      <w:r w:rsidRPr="00E04270">
        <w:rPr>
          <w:rFonts w:ascii="Arial" w:eastAsia="Times New Roman" w:hAnsi="Arial" w:cs="Times New Roman"/>
          <w:sz w:val="20"/>
          <w:szCs w:val="20"/>
        </w:rPr>
        <w:br w:type="page"/>
      </w:r>
      <w:bookmarkStart w:id="18" w:name="_Toc32635134"/>
    </w:p>
    <w:p w14:paraId="03ACAE50" w14:textId="12A7E74A" w:rsidR="0003471C" w:rsidRDefault="00000000" w:rsidP="0003471C">
      <w:pPr>
        <w:pStyle w:val="Heading3"/>
        <w:rPr>
          <w:sz w:val="22"/>
          <w:szCs w:val="22"/>
        </w:rPr>
      </w:pPr>
      <w:bookmarkStart w:id="19" w:name="_Toc367698521"/>
      <w:bookmarkStart w:id="20" w:name="_Toc522874202"/>
      <w:bookmarkStart w:id="21" w:name="_Toc522874203"/>
      <w:bookmarkStart w:id="22" w:name="_Hlk522788426"/>
      <w:r w:rsidRPr="00E04270">
        <w:lastRenderedPageBreak/>
        <w:t>APPENDICES</w:t>
      </w:r>
      <w:bookmarkEnd w:id="19"/>
      <w:bookmarkEnd w:id="20"/>
    </w:p>
    <w:p w14:paraId="6B839881" w14:textId="1958EDEF" w:rsidR="00E04270" w:rsidRPr="0003471C" w:rsidRDefault="00000000" w:rsidP="0003471C">
      <w:pPr>
        <w:pStyle w:val="Heading4C"/>
      </w:pPr>
      <w:r w:rsidRPr="0003471C">
        <w:t>Appendix 1.  Acronyms and Abbreviations</w:t>
      </w:r>
      <w:bookmarkEnd w:id="21"/>
    </w:p>
    <w:p w14:paraId="7B04CDDE" w14:textId="77777777" w:rsidR="00E03DAF" w:rsidRPr="00E03DAF" w:rsidRDefault="00000000" w:rsidP="0003471C">
      <w:pPr>
        <w:pStyle w:val="Caption"/>
      </w:pPr>
      <w:bookmarkStart w:id="23" w:name="_Toc159502622"/>
      <w:bookmarkStart w:id="24" w:name="_Hlk210651666"/>
      <w:bookmarkEnd w:id="22"/>
      <w:r w:rsidRPr="00E03DAF">
        <w:t>COMMON ACRONYMS</w:t>
      </w:r>
      <w:bookmarkEnd w:id="23"/>
    </w:p>
    <w:p w14:paraId="6E6BA35A"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AQD</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Air Quality Division</w:t>
      </w:r>
    </w:p>
    <w:p w14:paraId="3266B4BA"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BACT</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Best Available Control Technology</w:t>
      </w:r>
    </w:p>
    <w:p w14:paraId="293005E2"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CAA</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Clean Air Act</w:t>
      </w:r>
    </w:p>
    <w:p w14:paraId="325E7F6D"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CAM</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Compliance Assurance Monitoring</w:t>
      </w:r>
    </w:p>
    <w:p w14:paraId="6E4B47A5"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Times New Roman" w:hAnsi="Arial" w:cs="Arial"/>
          <w:sz w:val="19"/>
          <w:szCs w:val="19"/>
        </w:rPr>
        <w:t>CEM</w:t>
      </w:r>
      <w:r w:rsidRPr="00E03DAF">
        <w:rPr>
          <w:rFonts w:ascii="Arial" w:eastAsia="Times New Roman" w:hAnsi="Arial" w:cs="Arial"/>
          <w:sz w:val="19"/>
          <w:szCs w:val="19"/>
        </w:rPr>
        <w:tab/>
      </w:r>
      <w:r w:rsidRPr="00E03DAF">
        <w:rPr>
          <w:rFonts w:ascii="Arial" w:eastAsia="Times New Roman" w:hAnsi="Arial" w:cs="Arial"/>
          <w:sz w:val="19"/>
          <w:szCs w:val="19"/>
        </w:rPr>
        <w:tab/>
      </w:r>
      <w:r w:rsidRPr="00E03DAF">
        <w:rPr>
          <w:rFonts w:ascii="Arial" w:eastAsia="Calibri" w:hAnsi="Arial" w:cs="Arial"/>
          <w:color w:val="000000"/>
          <w:sz w:val="20"/>
          <w:szCs w:val="20"/>
        </w:rPr>
        <w:t>Continuous Emission Monitoring</w:t>
      </w:r>
    </w:p>
    <w:p w14:paraId="590876FB"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CEMS</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Continuous Emission Monitoring System</w:t>
      </w:r>
    </w:p>
    <w:p w14:paraId="34C966B5"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CFR</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Code of Federal Regulations</w:t>
      </w:r>
    </w:p>
    <w:p w14:paraId="2D75FA55"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COM</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 xml:space="preserve">Continuous Opacity Monitoring </w:t>
      </w:r>
    </w:p>
    <w:p w14:paraId="22115AC9"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Department/department/EGLE</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Michigan Department of Environment, Great Lakes, and Energy</w:t>
      </w:r>
    </w:p>
    <w:p w14:paraId="0ED48493"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EU</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Emission Unit</w:t>
      </w:r>
    </w:p>
    <w:p w14:paraId="09EEADAF"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FG</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Flexible Group</w:t>
      </w:r>
    </w:p>
    <w:p w14:paraId="2489C17B"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GACS</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Gallons of Applied Coating Solids</w:t>
      </w:r>
    </w:p>
    <w:p w14:paraId="53D05A48"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GC</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General Condition</w:t>
      </w:r>
    </w:p>
    <w:p w14:paraId="7B246ABF"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GHGs</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Greenhouse Gases</w:t>
      </w:r>
    </w:p>
    <w:p w14:paraId="3F20257C"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HVLP</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High Volume Low Pressure*</w:t>
      </w:r>
    </w:p>
    <w:p w14:paraId="4F4AE8E0"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ID</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Identification</w:t>
      </w:r>
    </w:p>
    <w:p w14:paraId="07D4C99F"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IRSL</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Initial Risk Screening Level</w:t>
      </w:r>
    </w:p>
    <w:p w14:paraId="09478FFD"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ITSL</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Initial Threshold Screening Level</w:t>
      </w:r>
    </w:p>
    <w:p w14:paraId="196B8B5E"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LAER</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Lowest Achievable Emission Rate</w:t>
      </w:r>
    </w:p>
    <w:p w14:paraId="4DCE604D"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MACT</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Maximum Achievable Control Technology</w:t>
      </w:r>
    </w:p>
    <w:p w14:paraId="01514AEF"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MAP</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Malfunction Abatement Plan</w:t>
      </w:r>
    </w:p>
    <w:p w14:paraId="26B467F3"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MSDS</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Material Safety Data Sheet</w:t>
      </w:r>
    </w:p>
    <w:p w14:paraId="7204A6CC"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NA</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Not Applicable</w:t>
      </w:r>
    </w:p>
    <w:p w14:paraId="377FDD6E"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NAAQS</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National Ambient Air Quality Standards</w:t>
      </w:r>
    </w:p>
    <w:p w14:paraId="3F5E83D3"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NESHAP</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National Emission Standard for Hazardous Air Pollutants</w:t>
      </w:r>
    </w:p>
    <w:p w14:paraId="27F41EB4"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NSPS</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New Source Performance Standards</w:t>
      </w:r>
    </w:p>
    <w:p w14:paraId="5B4AAC31"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NSR</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New Source Review</w:t>
      </w:r>
    </w:p>
    <w:p w14:paraId="5ABCB49B"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PS</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Performance Specification</w:t>
      </w:r>
    </w:p>
    <w:p w14:paraId="1469923A"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PSD</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Prevention of Significant Deterioration</w:t>
      </w:r>
    </w:p>
    <w:p w14:paraId="311B6E79"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PTE</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Permanent Total Enclosure</w:t>
      </w:r>
    </w:p>
    <w:p w14:paraId="0469E2AA"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PTI</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Permit to Install</w:t>
      </w:r>
    </w:p>
    <w:p w14:paraId="6D294AE7"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RACT</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Reasonable Available Control Technology</w:t>
      </w:r>
    </w:p>
    <w:p w14:paraId="642B7421"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ROP</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Renewable Operating Permit</w:t>
      </w:r>
    </w:p>
    <w:p w14:paraId="72130BB3"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SC</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Special Condition</w:t>
      </w:r>
    </w:p>
    <w:p w14:paraId="5FB4B994"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SCR</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Selective Catalytic Reduction</w:t>
      </w:r>
    </w:p>
    <w:p w14:paraId="33403DCE"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SLEIS</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State and Local Emissions Inventory System</w:t>
      </w:r>
    </w:p>
    <w:p w14:paraId="428FD5E9"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SNCR</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Selective Non-Catalytic Reduction</w:t>
      </w:r>
    </w:p>
    <w:p w14:paraId="230E2FD3"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SRN</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State Registration Number</w:t>
      </w:r>
    </w:p>
    <w:p w14:paraId="724D85DE"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TBD</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To Be Determined</w:t>
      </w:r>
    </w:p>
    <w:p w14:paraId="23159C26"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TEQ</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Toxicity Equivalence Quotient</w:t>
      </w:r>
    </w:p>
    <w:p w14:paraId="0F141315"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USEPA/EPA</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United States Environmental Protection Agency</w:t>
      </w:r>
    </w:p>
    <w:p w14:paraId="102CC5BA" w14:textId="77777777" w:rsidR="00E03DAF" w:rsidRPr="00E03DAF" w:rsidRDefault="00000000" w:rsidP="0003471C">
      <w:pPr>
        <w:spacing w:after="0"/>
        <w:ind w:left="2880" w:hanging="2880"/>
        <w:rPr>
          <w:rFonts w:ascii="Arial" w:eastAsia="Calibri" w:hAnsi="Arial" w:cs="Arial"/>
          <w:color w:val="000000"/>
          <w:sz w:val="20"/>
          <w:szCs w:val="20"/>
        </w:rPr>
      </w:pPr>
      <w:r w:rsidRPr="00E03DAF">
        <w:rPr>
          <w:rFonts w:ascii="Arial" w:eastAsia="Calibri" w:hAnsi="Arial" w:cs="Arial"/>
          <w:color w:val="000000"/>
          <w:sz w:val="20"/>
          <w:szCs w:val="20"/>
        </w:rPr>
        <w:t>VE</w:t>
      </w:r>
      <w:r w:rsidRPr="00E03DAF">
        <w:rPr>
          <w:rFonts w:ascii="Arial" w:eastAsia="Calibri" w:hAnsi="Arial" w:cs="Arial"/>
          <w:color w:val="000000"/>
          <w:sz w:val="20"/>
          <w:szCs w:val="20"/>
        </w:rPr>
        <w:tab/>
      </w:r>
      <w:r w:rsidRPr="00E03DAF">
        <w:rPr>
          <w:rFonts w:ascii="Arial" w:eastAsia="Calibri" w:hAnsi="Arial" w:cs="Arial"/>
          <w:color w:val="000000"/>
          <w:sz w:val="20"/>
          <w:szCs w:val="20"/>
        </w:rPr>
        <w:tab/>
        <w:t>Visible Emissions</w:t>
      </w:r>
    </w:p>
    <w:p w14:paraId="3C9156E0" w14:textId="439EA1D4" w:rsidR="00E03DAF" w:rsidRPr="00E03DAF" w:rsidRDefault="00000000" w:rsidP="0003471C">
      <w:pPr>
        <w:spacing w:before="240" w:after="0" w:line="240" w:lineRule="auto"/>
        <w:rPr>
          <w:rFonts w:ascii="Arial" w:eastAsia="Times New Roman" w:hAnsi="Arial" w:cs="Times New Roman"/>
          <w:sz w:val="20"/>
          <w:szCs w:val="20"/>
        </w:rPr>
      </w:pPr>
      <w:r w:rsidRPr="00E03DAF">
        <w:rPr>
          <w:rFonts w:ascii="Arial" w:eastAsia="Times New Roman" w:hAnsi="Arial" w:cs="Arial"/>
          <w:sz w:val="19"/>
          <w:szCs w:val="19"/>
        </w:rPr>
        <w:t xml:space="preserve">*For HVLP applicators, the pressure measured at the gun air cap shall not exceed 10 </w:t>
      </w:r>
      <w:proofErr w:type="spellStart"/>
      <w:r w:rsidRPr="00E03DAF">
        <w:rPr>
          <w:rFonts w:ascii="Arial" w:eastAsia="Times New Roman" w:hAnsi="Arial" w:cs="Arial"/>
          <w:sz w:val="19"/>
          <w:szCs w:val="19"/>
        </w:rPr>
        <w:t>psig</w:t>
      </w:r>
      <w:proofErr w:type="spellEnd"/>
      <w:r>
        <w:rPr>
          <w:rFonts w:ascii="Arial" w:eastAsia="Times New Roman" w:hAnsi="Arial" w:cs="Arial"/>
          <w:sz w:val="19"/>
          <w:szCs w:val="19"/>
        </w:rPr>
        <w:t>.</w:t>
      </w:r>
    </w:p>
    <w:bookmarkEnd w:id="24"/>
    <w:p w14:paraId="461DF48E" w14:textId="7B85650B" w:rsidR="006511CF" w:rsidRDefault="00000000">
      <w:pPr>
        <w:rPr>
          <w:rFonts w:ascii="Arial" w:eastAsia="Times New Roman" w:hAnsi="Arial" w:cs="Times New Roman"/>
          <w:sz w:val="20"/>
          <w:szCs w:val="20"/>
        </w:rPr>
      </w:pPr>
      <w:r>
        <w:rPr>
          <w:rFonts w:ascii="Arial" w:eastAsia="Times New Roman" w:hAnsi="Arial" w:cs="Times New Roman"/>
          <w:sz w:val="20"/>
          <w:szCs w:val="20"/>
        </w:rPr>
        <w:br w:type="page"/>
      </w:r>
    </w:p>
    <w:p w14:paraId="5DA15F26" w14:textId="77777777" w:rsidR="006511CF" w:rsidRPr="006511CF" w:rsidRDefault="00000000" w:rsidP="0003471C">
      <w:pPr>
        <w:pStyle w:val="Caption"/>
      </w:pPr>
      <w:bookmarkStart w:id="25" w:name="_Toc159502623"/>
      <w:r w:rsidRPr="006511CF">
        <w:lastRenderedPageBreak/>
        <w:t>POLLUTANT / MEASUREMENT ABBREVIATION</w:t>
      </w:r>
      <w:r w:rsidRPr="0003471C">
        <w:t>S</w:t>
      </w:r>
      <w:bookmarkEnd w:id="25"/>
    </w:p>
    <w:p w14:paraId="39496264" w14:textId="007924D8" w:rsidR="006511CF" w:rsidRPr="006511CF" w:rsidRDefault="00000000" w:rsidP="0003471C">
      <w:pPr>
        <w:spacing w:after="0"/>
        <w:ind w:left="2880" w:hanging="2880"/>
        <w:rPr>
          <w:rFonts w:ascii="Arial" w:eastAsia="Calibri" w:hAnsi="Arial" w:cs="Arial"/>
          <w:color w:val="000000"/>
          <w:sz w:val="20"/>
          <w:szCs w:val="20"/>
        </w:rPr>
      </w:pPr>
      <w:proofErr w:type="spellStart"/>
      <w:r w:rsidRPr="006511CF">
        <w:rPr>
          <w:rFonts w:ascii="Arial" w:eastAsia="Calibri" w:hAnsi="Arial" w:cs="Arial"/>
          <w:color w:val="000000"/>
          <w:sz w:val="20"/>
          <w:szCs w:val="20"/>
        </w:rPr>
        <w:t>acfm</w:t>
      </w:r>
      <w:proofErr w:type="spellEnd"/>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Actual cubic feet per minute</w:t>
      </w:r>
    </w:p>
    <w:p w14:paraId="4F506214" w14:textId="42871BFB"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BTU</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British Thermal Unit</w:t>
      </w:r>
    </w:p>
    <w:p w14:paraId="59CF8B9B" w14:textId="544937C9"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°C</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Degrees Celsius</w:t>
      </w:r>
    </w:p>
    <w:p w14:paraId="0A2B9A32" w14:textId="17EE09E4"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CO</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Carbon Monoxide</w:t>
      </w:r>
    </w:p>
    <w:p w14:paraId="45C71E52" w14:textId="21FE2A93"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CO</w:t>
      </w:r>
      <w:r w:rsidRPr="006511CF">
        <w:rPr>
          <w:rFonts w:ascii="Arial" w:eastAsia="Calibri" w:hAnsi="Arial" w:cs="Arial"/>
          <w:color w:val="000000"/>
          <w:sz w:val="20"/>
          <w:szCs w:val="20"/>
          <w:vertAlign w:val="subscript"/>
        </w:rPr>
        <w:t>2</w:t>
      </w:r>
      <w:r w:rsidRPr="006511CF">
        <w:rPr>
          <w:rFonts w:ascii="Arial" w:eastAsia="Calibri" w:hAnsi="Arial" w:cs="Arial"/>
          <w:color w:val="000000"/>
          <w:sz w:val="20"/>
          <w:szCs w:val="20"/>
        </w:rPr>
        <w:t>e</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Carbon Dioxide Equivalent</w:t>
      </w:r>
    </w:p>
    <w:p w14:paraId="02E30570" w14:textId="2EB40C77" w:rsidR="006511CF" w:rsidRPr="006511CF" w:rsidRDefault="00000000" w:rsidP="0003471C">
      <w:pPr>
        <w:spacing w:after="0"/>
        <w:ind w:left="2880" w:hanging="2880"/>
        <w:rPr>
          <w:rFonts w:ascii="Arial" w:eastAsia="Calibri" w:hAnsi="Arial" w:cs="Arial"/>
          <w:color w:val="000000"/>
          <w:sz w:val="20"/>
          <w:szCs w:val="20"/>
        </w:rPr>
      </w:pPr>
      <w:proofErr w:type="spellStart"/>
      <w:r w:rsidRPr="006511CF">
        <w:rPr>
          <w:rFonts w:ascii="Arial" w:eastAsia="Calibri" w:hAnsi="Arial" w:cs="Arial"/>
          <w:color w:val="000000"/>
          <w:sz w:val="20"/>
          <w:szCs w:val="20"/>
        </w:rPr>
        <w:t>dscf</w:t>
      </w:r>
      <w:proofErr w:type="spellEnd"/>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Dry standard cubic foot</w:t>
      </w:r>
    </w:p>
    <w:p w14:paraId="5A543E67" w14:textId="4C4EFA83" w:rsidR="006511CF" w:rsidRPr="006511CF" w:rsidRDefault="00000000" w:rsidP="0003471C">
      <w:pPr>
        <w:spacing w:after="0"/>
        <w:ind w:left="2880" w:hanging="2880"/>
        <w:rPr>
          <w:rFonts w:ascii="Arial" w:eastAsia="Calibri" w:hAnsi="Arial" w:cs="Arial"/>
          <w:color w:val="000000"/>
          <w:sz w:val="20"/>
          <w:szCs w:val="20"/>
        </w:rPr>
      </w:pPr>
      <w:proofErr w:type="spellStart"/>
      <w:r w:rsidRPr="006511CF">
        <w:rPr>
          <w:rFonts w:ascii="Arial" w:eastAsia="Calibri" w:hAnsi="Arial" w:cs="Arial"/>
          <w:color w:val="000000"/>
          <w:sz w:val="20"/>
          <w:szCs w:val="20"/>
        </w:rPr>
        <w:t>dscm</w:t>
      </w:r>
      <w:proofErr w:type="spellEnd"/>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Dry standard cubic meter</w:t>
      </w:r>
    </w:p>
    <w:p w14:paraId="6CEACF68" w14:textId="0CED3FCC"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°F</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Degrees Fahrenheit</w:t>
      </w:r>
    </w:p>
    <w:p w14:paraId="0723BF66" w14:textId="04B51E2D"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gr</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Grains</w:t>
      </w:r>
    </w:p>
    <w:p w14:paraId="01724DDA" w14:textId="33534624"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HAP</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Hazardous Air Pollutant</w:t>
      </w:r>
    </w:p>
    <w:p w14:paraId="1921549A" w14:textId="1CB6A9D9"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Hg</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Mercury</w:t>
      </w:r>
    </w:p>
    <w:p w14:paraId="2EB75876" w14:textId="269EAA59"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hr</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Hour</w:t>
      </w:r>
    </w:p>
    <w:p w14:paraId="4AC974E8" w14:textId="2FF9DADF"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HP</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Horsepower</w:t>
      </w:r>
    </w:p>
    <w:p w14:paraId="2D96B5CC" w14:textId="1F4E5BE1"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H</w:t>
      </w:r>
      <w:r w:rsidRPr="006511CF">
        <w:rPr>
          <w:rFonts w:ascii="Arial" w:eastAsia="Calibri" w:hAnsi="Arial" w:cs="Arial"/>
          <w:color w:val="000000"/>
          <w:sz w:val="20"/>
          <w:szCs w:val="20"/>
          <w:vertAlign w:val="subscript"/>
        </w:rPr>
        <w:t>2</w:t>
      </w:r>
      <w:r w:rsidRPr="006511CF">
        <w:rPr>
          <w:rFonts w:ascii="Arial" w:eastAsia="Calibri" w:hAnsi="Arial" w:cs="Arial"/>
          <w:color w:val="000000"/>
          <w:sz w:val="20"/>
          <w:szCs w:val="20"/>
        </w:rPr>
        <w:t>S</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Hydrogen Sulfide</w:t>
      </w:r>
    </w:p>
    <w:p w14:paraId="09C91640" w14:textId="1C27896D"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kW</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Kilowatt</w:t>
      </w:r>
    </w:p>
    <w:p w14:paraId="02673F24" w14:textId="33CFE766" w:rsidR="006511CF" w:rsidRPr="006511CF" w:rsidRDefault="00000000" w:rsidP="0003471C">
      <w:pPr>
        <w:spacing w:after="0"/>
        <w:ind w:left="2880" w:hanging="2880"/>
        <w:rPr>
          <w:rFonts w:ascii="Arial" w:eastAsia="Calibri" w:hAnsi="Arial" w:cs="Arial"/>
          <w:color w:val="000000"/>
          <w:sz w:val="20"/>
          <w:szCs w:val="20"/>
        </w:rPr>
      </w:pPr>
      <w:proofErr w:type="spellStart"/>
      <w:r w:rsidRPr="006511CF">
        <w:rPr>
          <w:rFonts w:ascii="Arial" w:eastAsia="Calibri" w:hAnsi="Arial" w:cs="Arial"/>
          <w:color w:val="000000"/>
          <w:sz w:val="20"/>
          <w:szCs w:val="20"/>
        </w:rPr>
        <w:t>lb</w:t>
      </w:r>
      <w:proofErr w:type="spellEnd"/>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Pound</w:t>
      </w:r>
    </w:p>
    <w:p w14:paraId="4DEDE9CC" w14:textId="49ED14DD"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m</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Meter</w:t>
      </w:r>
    </w:p>
    <w:p w14:paraId="3B2F06E9" w14:textId="27462FD6"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mg</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Milligram</w:t>
      </w:r>
    </w:p>
    <w:p w14:paraId="1628F449" w14:textId="4AA5FE82"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mm</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Millimeter</w:t>
      </w:r>
    </w:p>
    <w:p w14:paraId="3C304D9E" w14:textId="5D218BEE"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MM</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Million</w:t>
      </w:r>
    </w:p>
    <w:p w14:paraId="241E699C" w14:textId="6B0206F8"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MW</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Megawatts</w:t>
      </w:r>
    </w:p>
    <w:p w14:paraId="3DC65CE4" w14:textId="47D24C4F"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NMOC</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Non-Methane Organic Compounds</w:t>
      </w:r>
    </w:p>
    <w:p w14:paraId="7DE65AC9" w14:textId="69C6420C"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NO</w:t>
      </w:r>
      <w:r w:rsidRPr="006511CF">
        <w:rPr>
          <w:rFonts w:ascii="Arial" w:eastAsia="Calibri" w:hAnsi="Arial" w:cs="Arial"/>
          <w:color w:val="000000"/>
          <w:sz w:val="20"/>
          <w:szCs w:val="20"/>
          <w:vertAlign w:val="subscript"/>
        </w:rPr>
        <w:t>x</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Oxides of Nitrogen</w:t>
      </w:r>
    </w:p>
    <w:p w14:paraId="0935C78F" w14:textId="75E0ADE8"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ng</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Nanogram</w:t>
      </w:r>
    </w:p>
    <w:p w14:paraId="6F357A36" w14:textId="477C9E88"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PM</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Particulate Matter</w:t>
      </w:r>
    </w:p>
    <w:p w14:paraId="719E4B79" w14:textId="12DAADFC"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PM10</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Particulate Matter equal to or less than 10 microns in diameter</w:t>
      </w:r>
    </w:p>
    <w:p w14:paraId="60C2437C" w14:textId="6A516992"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PM2.5</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Particulate Matter equal to or less than 2.5 microns in diameter</w:t>
      </w:r>
    </w:p>
    <w:p w14:paraId="17A3E6DB" w14:textId="504BFBC0" w:rsidR="006511CF" w:rsidRPr="006511CF" w:rsidRDefault="00000000" w:rsidP="0003471C">
      <w:pPr>
        <w:spacing w:after="0"/>
        <w:ind w:left="2880" w:hanging="2880"/>
        <w:rPr>
          <w:rFonts w:ascii="Arial" w:eastAsia="Calibri" w:hAnsi="Arial" w:cs="Arial"/>
          <w:color w:val="000000"/>
          <w:sz w:val="20"/>
          <w:szCs w:val="20"/>
        </w:rPr>
      </w:pPr>
      <w:proofErr w:type="spellStart"/>
      <w:r w:rsidRPr="006511CF">
        <w:rPr>
          <w:rFonts w:ascii="Arial" w:eastAsia="Calibri" w:hAnsi="Arial" w:cs="Arial"/>
          <w:color w:val="000000"/>
          <w:sz w:val="20"/>
          <w:szCs w:val="20"/>
        </w:rPr>
        <w:t>pph</w:t>
      </w:r>
      <w:proofErr w:type="spellEnd"/>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Pounds per hour</w:t>
      </w:r>
    </w:p>
    <w:p w14:paraId="05DC2E3D" w14:textId="0E05DC4E"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ppm</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Parts per million</w:t>
      </w:r>
    </w:p>
    <w:p w14:paraId="6AE682FE" w14:textId="11E150DD"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ppmv</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Parts per million by volume</w:t>
      </w:r>
    </w:p>
    <w:p w14:paraId="283C4A41" w14:textId="0BE7EE6D" w:rsidR="006511CF" w:rsidRPr="006511CF" w:rsidRDefault="00000000" w:rsidP="0003471C">
      <w:pPr>
        <w:spacing w:after="0"/>
        <w:ind w:left="2880" w:hanging="2880"/>
        <w:rPr>
          <w:rFonts w:ascii="Arial" w:eastAsia="Calibri" w:hAnsi="Arial" w:cs="Arial"/>
          <w:color w:val="000000"/>
          <w:sz w:val="20"/>
          <w:szCs w:val="20"/>
        </w:rPr>
      </w:pPr>
      <w:proofErr w:type="spellStart"/>
      <w:r w:rsidRPr="006511CF">
        <w:rPr>
          <w:rFonts w:ascii="Arial" w:eastAsia="Calibri" w:hAnsi="Arial" w:cs="Arial"/>
          <w:color w:val="000000"/>
          <w:sz w:val="20"/>
          <w:szCs w:val="20"/>
        </w:rPr>
        <w:t>ppmw</w:t>
      </w:r>
      <w:proofErr w:type="spellEnd"/>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Parts per million by weight</w:t>
      </w:r>
    </w:p>
    <w:p w14:paraId="2BF95C62" w14:textId="5BB291A7"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psia</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Pounds per square inch absolute</w:t>
      </w:r>
    </w:p>
    <w:p w14:paraId="1859DAFE" w14:textId="6C8AAD80" w:rsidR="006511CF" w:rsidRPr="006511CF" w:rsidRDefault="00000000" w:rsidP="0003471C">
      <w:pPr>
        <w:spacing w:after="0"/>
        <w:ind w:left="2880" w:hanging="2880"/>
        <w:rPr>
          <w:rFonts w:ascii="Arial" w:eastAsia="Calibri" w:hAnsi="Arial" w:cs="Arial"/>
          <w:color w:val="000000"/>
          <w:sz w:val="20"/>
          <w:szCs w:val="20"/>
        </w:rPr>
      </w:pPr>
      <w:proofErr w:type="spellStart"/>
      <w:r w:rsidRPr="006511CF">
        <w:rPr>
          <w:rFonts w:ascii="Arial" w:eastAsia="Calibri" w:hAnsi="Arial" w:cs="Arial"/>
          <w:color w:val="000000"/>
          <w:sz w:val="20"/>
          <w:szCs w:val="20"/>
        </w:rPr>
        <w:t>psig</w:t>
      </w:r>
      <w:proofErr w:type="spellEnd"/>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Pounds per square inch gauge</w:t>
      </w:r>
    </w:p>
    <w:p w14:paraId="4A330F60" w14:textId="1F2EEEAE" w:rsidR="006511CF" w:rsidRPr="006511CF" w:rsidRDefault="00000000" w:rsidP="0003471C">
      <w:pPr>
        <w:spacing w:after="0"/>
        <w:ind w:left="2880" w:hanging="2880"/>
        <w:rPr>
          <w:rFonts w:ascii="Arial" w:eastAsia="Calibri" w:hAnsi="Arial" w:cs="Arial"/>
          <w:color w:val="000000"/>
          <w:sz w:val="20"/>
          <w:szCs w:val="20"/>
        </w:rPr>
      </w:pPr>
      <w:proofErr w:type="spellStart"/>
      <w:r w:rsidRPr="006511CF">
        <w:rPr>
          <w:rFonts w:ascii="Arial" w:eastAsia="Calibri" w:hAnsi="Arial" w:cs="Arial"/>
          <w:color w:val="000000"/>
          <w:sz w:val="20"/>
          <w:szCs w:val="20"/>
        </w:rPr>
        <w:t>scf</w:t>
      </w:r>
      <w:proofErr w:type="spellEnd"/>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Standard cubic feet</w:t>
      </w:r>
    </w:p>
    <w:p w14:paraId="23E1AC32" w14:textId="66874155"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sec</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Seconds</w:t>
      </w:r>
    </w:p>
    <w:p w14:paraId="2397B73C" w14:textId="6DE23597"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SO</w:t>
      </w:r>
      <w:r w:rsidRPr="006511CF">
        <w:rPr>
          <w:rFonts w:ascii="Arial" w:eastAsia="Calibri" w:hAnsi="Arial" w:cs="Arial"/>
          <w:color w:val="000000"/>
          <w:sz w:val="20"/>
          <w:szCs w:val="20"/>
          <w:vertAlign w:val="subscript"/>
        </w:rPr>
        <w:t>2</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Sulfur Dioxide</w:t>
      </w:r>
    </w:p>
    <w:p w14:paraId="0E5D2DB3" w14:textId="1A2EC849"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TAC</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Toxic Air Contaminant</w:t>
      </w:r>
    </w:p>
    <w:p w14:paraId="27AEE8A5" w14:textId="0FC657B0"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Temp</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Temperature</w:t>
      </w:r>
    </w:p>
    <w:p w14:paraId="7C1FD9C1" w14:textId="471EB322"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THC</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Total Hydrocarbons</w:t>
      </w:r>
    </w:p>
    <w:p w14:paraId="6CF1BCD1" w14:textId="7FCB0207" w:rsidR="006511CF" w:rsidRPr="006511CF" w:rsidRDefault="00000000" w:rsidP="0003471C">
      <w:pPr>
        <w:spacing w:after="0"/>
        <w:ind w:left="2880" w:hanging="2880"/>
        <w:rPr>
          <w:rFonts w:ascii="Arial" w:eastAsia="Calibri" w:hAnsi="Arial" w:cs="Arial"/>
          <w:color w:val="000000"/>
          <w:sz w:val="20"/>
          <w:szCs w:val="20"/>
        </w:rPr>
      </w:pPr>
      <w:proofErr w:type="spellStart"/>
      <w:r w:rsidRPr="006511CF">
        <w:rPr>
          <w:rFonts w:ascii="Arial" w:eastAsia="Calibri" w:hAnsi="Arial" w:cs="Arial"/>
          <w:color w:val="000000"/>
          <w:sz w:val="20"/>
          <w:szCs w:val="20"/>
        </w:rPr>
        <w:t>tpy</w:t>
      </w:r>
      <w:proofErr w:type="spellEnd"/>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Tons per year</w:t>
      </w:r>
    </w:p>
    <w:p w14:paraId="10E599EF" w14:textId="2A19CF37"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µg</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Microgram</w:t>
      </w:r>
    </w:p>
    <w:p w14:paraId="534F30FA" w14:textId="3B2F3072"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µm</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Micrometer or Micron</w:t>
      </w:r>
    </w:p>
    <w:p w14:paraId="2016C7C8" w14:textId="1C62597C"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VOC</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Volatile Organic Compounds</w:t>
      </w:r>
    </w:p>
    <w:p w14:paraId="24FAF8C8" w14:textId="6994EB50" w:rsidR="006511CF" w:rsidRPr="006511CF" w:rsidRDefault="00000000" w:rsidP="0003471C">
      <w:pPr>
        <w:spacing w:after="0"/>
        <w:ind w:left="2880" w:hanging="2880"/>
        <w:rPr>
          <w:rFonts w:ascii="Arial" w:eastAsia="Calibri" w:hAnsi="Arial" w:cs="Arial"/>
          <w:color w:val="000000"/>
          <w:sz w:val="20"/>
          <w:szCs w:val="20"/>
        </w:rPr>
      </w:pPr>
      <w:r w:rsidRPr="006511CF">
        <w:rPr>
          <w:rFonts w:ascii="Arial" w:eastAsia="Calibri" w:hAnsi="Arial" w:cs="Arial"/>
          <w:color w:val="000000"/>
          <w:sz w:val="20"/>
          <w:szCs w:val="20"/>
        </w:rPr>
        <w:t>yr</w:t>
      </w:r>
      <w:r w:rsidRPr="006511CF">
        <w:rPr>
          <w:rFonts w:ascii="Arial" w:eastAsia="Calibri" w:hAnsi="Arial" w:cs="Arial"/>
          <w:color w:val="000000"/>
          <w:sz w:val="20"/>
          <w:szCs w:val="20"/>
        </w:rPr>
        <w:tab/>
      </w:r>
      <w:r w:rsidR="0003471C">
        <w:rPr>
          <w:rFonts w:ascii="Arial" w:eastAsia="Calibri" w:hAnsi="Arial" w:cs="Arial"/>
          <w:color w:val="000000"/>
          <w:sz w:val="20"/>
          <w:szCs w:val="20"/>
        </w:rPr>
        <w:tab/>
      </w:r>
      <w:r w:rsidRPr="006511CF">
        <w:rPr>
          <w:rFonts w:ascii="Arial" w:eastAsia="Calibri" w:hAnsi="Arial" w:cs="Arial"/>
          <w:color w:val="000000"/>
          <w:sz w:val="20"/>
          <w:szCs w:val="20"/>
        </w:rPr>
        <w:t>Year</w:t>
      </w:r>
    </w:p>
    <w:p w14:paraId="4B26E22E" w14:textId="77777777" w:rsidR="006511CF" w:rsidRPr="006511CF" w:rsidRDefault="006511CF" w:rsidP="006511CF">
      <w:pPr>
        <w:spacing w:after="0" w:line="240" w:lineRule="auto"/>
        <w:ind w:left="2880" w:hanging="2880"/>
        <w:rPr>
          <w:rFonts w:ascii="Arial" w:eastAsia="Calibri" w:hAnsi="Arial" w:cs="Arial"/>
          <w:color w:val="000000"/>
          <w:sz w:val="20"/>
          <w:szCs w:val="20"/>
        </w:rPr>
      </w:pPr>
    </w:p>
    <w:p w14:paraId="2DBFCA2A" w14:textId="77777777" w:rsidR="006511CF" w:rsidRPr="006511CF" w:rsidRDefault="00000000" w:rsidP="006511CF">
      <w:pPr>
        <w:spacing w:after="0" w:line="240" w:lineRule="auto"/>
        <w:rPr>
          <w:rFonts w:ascii="Arial" w:eastAsia="Calibri" w:hAnsi="Arial" w:cs="Arial"/>
          <w:color w:val="000000"/>
          <w:sz w:val="20"/>
          <w:szCs w:val="20"/>
        </w:rPr>
      </w:pPr>
      <w:r w:rsidRPr="006511CF">
        <w:rPr>
          <w:rFonts w:ascii="Arial" w:eastAsia="Calibri" w:hAnsi="Arial" w:cs="Arial"/>
          <w:color w:val="000000"/>
          <w:sz w:val="20"/>
          <w:szCs w:val="20"/>
        </w:rPr>
        <w:br w:type="page"/>
      </w:r>
    </w:p>
    <w:p w14:paraId="063BBE89" w14:textId="77777777" w:rsidR="00E04270" w:rsidRPr="00E04270" w:rsidRDefault="00000000" w:rsidP="0003471C">
      <w:pPr>
        <w:pStyle w:val="Heading4C"/>
      </w:pPr>
      <w:r w:rsidRPr="00E04270">
        <w:lastRenderedPageBreak/>
        <w:t>Appendix 2.  Schedule of Compliance</w:t>
      </w:r>
      <w:bookmarkEnd w:id="18"/>
    </w:p>
    <w:p w14:paraId="2788FA84" w14:textId="77777777" w:rsidR="00E04270" w:rsidRPr="001839D3" w:rsidRDefault="00000000" w:rsidP="0003471C">
      <w:pPr>
        <w:spacing w:before="120"/>
        <w:rPr>
          <w:rFonts w:ascii="Arial" w:eastAsia="Times New Roman" w:hAnsi="Arial" w:cs="Arial"/>
          <w:b/>
          <w:color w:val="ED0000"/>
          <w:sz w:val="20"/>
          <w:szCs w:val="20"/>
        </w:rPr>
      </w:pPr>
      <w:bookmarkStart w:id="26" w:name="_Toc32635135"/>
      <w:r w:rsidRPr="001839D3">
        <w:rPr>
          <w:rFonts w:ascii="Arial" w:eastAsia="Times New Roman" w:hAnsi="Arial" w:cs="Arial"/>
          <w:b/>
          <w:color w:val="ED0000"/>
          <w:sz w:val="20"/>
          <w:szCs w:val="20"/>
        </w:rPr>
        <w:t>{CHOOSE ONE}</w:t>
      </w:r>
    </w:p>
    <w:p w14:paraId="7DE1F1BC"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The permittee certified in this ROP application that this stationary source is in compliance with all applicable requirements of this ROP except for the following: </w:t>
      </w:r>
      <w:r w:rsidRPr="001839D3">
        <w:rPr>
          <w:rFonts w:ascii="Arial" w:eastAsia="Times New Roman" w:hAnsi="Arial" w:cs="Arial"/>
          <w:color w:val="ED0000"/>
          <w:sz w:val="20"/>
          <w:szCs w:val="20"/>
        </w:rPr>
        <w:t>{Enter condition number(s)}</w:t>
      </w:r>
      <w:r w:rsidRPr="00E04270">
        <w:rPr>
          <w:rFonts w:ascii="Arial" w:eastAsia="Times New Roman" w:hAnsi="Arial" w:cs="Arial"/>
          <w:sz w:val="20"/>
          <w:szCs w:val="20"/>
        </w:rPr>
        <w:t>.  As a result, the permittee was required to submit a Schedule of Compliance as defined in Rule 119(a), pursuant to Rule 210(2) and Rule 213(4).</w:t>
      </w:r>
    </w:p>
    <w:p w14:paraId="0A3DD1D5"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A Schedule of Compliance for any applicable requirements that the permittee is not in compliance with at the time of the ROP issuance is supplemental </w:t>
      </w:r>
      <w:proofErr w:type="gramStart"/>
      <w:r w:rsidRPr="00E04270">
        <w:rPr>
          <w:rFonts w:ascii="Arial" w:eastAsia="Times New Roman" w:hAnsi="Arial" w:cs="Arial"/>
          <w:sz w:val="20"/>
          <w:szCs w:val="20"/>
        </w:rPr>
        <w:t>to</w:t>
      </w:r>
      <w:proofErr w:type="gramEnd"/>
      <w:r w:rsidRPr="00E04270">
        <w:rPr>
          <w:rFonts w:ascii="Arial" w:eastAsia="Times New Roman" w:hAnsi="Arial" w:cs="Arial"/>
          <w:sz w:val="20"/>
          <w:szCs w:val="20"/>
        </w:rPr>
        <w:t>, and shall not sanction non-compliance with, the underlying applicable requirements on which it is based.</w:t>
      </w:r>
    </w:p>
    <w:p w14:paraId="3945245B"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The permittee shall adhere to this schedule of compliance and submit the required certified progress reports accordingly.  </w:t>
      </w:r>
    </w:p>
    <w:p w14:paraId="4213792E" w14:textId="77777777" w:rsidR="00E04270" w:rsidRPr="00E04270" w:rsidRDefault="00000000" w:rsidP="0003471C">
      <w:pPr>
        <w:pStyle w:val="Caption2"/>
      </w:pPr>
      <w:r w:rsidRPr="00E04270">
        <w:t>Compliance Plan</w:t>
      </w:r>
    </w:p>
    <w:p w14:paraId="6962EB68"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The permittee outlined the details of achieving compliance in a narrative Compliance Plan.  The details of the Compliance Plan are outlined below.</w:t>
      </w:r>
    </w:p>
    <w:p w14:paraId="4D9D0A73" w14:textId="77777777" w:rsidR="00E04270" w:rsidRPr="00E04270" w:rsidRDefault="00000000" w:rsidP="0003471C">
      <w:pPr>
        <w:spacing w:before="120"/>
        <w:rPr>
          <w:rFonts w:ascii="Arial" w:eastAsia="Times New Roman" w:hAnsi="Arial" w:cs="Arial"/>
          <w:bCs/>
          <w:color w:val="0000FF"/>
          <w:sz w:val="20"/>
          <w:szCs w:val="20"/>
        </w:rPr>
      </w:pPr>
      <w:r w:rsidRPr="00E04270">
        <w:rPr>
          <w:rFonts w:ascii="Arial" w:eastAsia="Times New Roman" w:hAnsi="Arial" w:cs="Arial"/>
          <w:bCs/>
          <w:color w:val="0000FF"/>
          <w:sz w:val="20"/>
          <w:szCs w:val="20"/>
        </w:rPr>
        <w:t>Insert the narrative details from the Compliance Plan that was submitted</w:t>
      </w:r>
    </w:p>
    <w:p w14:paraId="442C6B12" w14:textId="77777777" w:rsidR="00E04270" w:rsidRPr="00E04270" w:rsidRDefault="00000000" w:rsidP="0003471C">
      <w:pPr>
        <w:pStyle w:val="Caption2"/>
      </w:pPr>
      <w:r w:rsidRPr="00E04270">
        <w:t>Schedule of Compliance</w:t>
      </w:r>
    </w:p>
    <w:p w14:paraId="62B09935"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The following schedule of compliance conforms with the provisions of Rule 119(a) and Rule 213(4).  </w:t>
      </w:r>
    </w:p>
    <w:tbl>
      <w:tblPr>
        <w:tblW w:w="10627"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1"/>
        <w:gridCol w:w="1650"/>
        <w:gridCol w:w="2036"/>
        <w:gridCol w:w="2109"/>
        <w:gridCol w:w="1254"/>
        <w:gridCol w:w="1197"/>
      </w:tblGrid>
      <w:tr w:rsidR="00EE4ACD" w14:paraId="1FFE4523" w14:textId="77777777" w:rsidTr="001839D3">
        <w:trPr>
          <w:tblHeader/>
        </w:trPr>
        <w:tc>
          <w:tcPr>
            <w:tcW w:w="2381" w:type="dxa"/>
            <w:shd w:val="clear" w:color="auto" w:fill="F2F2F2" w:themeFill="background1" w:themeFillShade="F2"/>
          </w:tcPr>
          <w:p w14:paraId="0C464B6E"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Emission Unit/</w:t>
            </w:r>
          </w:p>
          <w:p w14:paraId="7FC86897"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Flexible Group ID and Condition No.</w:t>
            </w:r>
          </w:p>
        </w:tc>
        <w:tc>
          <w:tcPr>
            <w:tcW w:w="1650" w:type="dxa"/>
            <w:shd w:val="clear" w:color="auto" w:fill="F2F2F2" w:themeFill="background1" w:themeFillShade="F2"/>
          </w:tcPr>
          <w:p w14:paraId="46615A72"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Applicable Requirement</w:t>
            </w:r>
          </w:p>
        </w:tc>
        <w:tc>
          <w:tcPr>
            <w:tcW w:w="2036" w:type="dxa"/>
            <w:shd w:val="clear" w:color="auto" w:fill="F2F2F2" w:themeFill="background1" w:themeFillShade="F2"/>
          </w:tcPr>
          <w:p w14:paraId="1FD7AF58"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Remedial Measure</w:t>
            </w:r>
          </w:p>
        </w:tc>
        <w:tc>
          <w:tcPr>
            <w:tcW w:w="2109" w:type="dxa"/>
            <w:shd w:val="clear" w:color="auto" w:fill="F2F2F2" w:themeFill="background1" w:themeFillShade="F2"/>
          </w:tcPr>
          <w:p w14:paraId="306E73F9"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Required Action</w:t>
            </w:r>
          </w:p>
        </w:tc>
        <w:tc>
          <w:tcPr>
            <w:tcW w:w="1254" w:type="dxa"/>
            <w:shd w:val="clear" w:color="auto" w:fill="F2F2F2" w:themeFill="background1" w:themeFillShade="F2"/>
          </w:tcPr>
          <w:p w14:paraId="1863E95B"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Milestone Date</w:t>
            </w:r>
          </w:p>
        </w:tc>
        <w:tc>
          <w:tcPr>
            <w:tcW w:w="1197" w:type="dxa"/>
            <w:shd w:val="clear" w:color="auto" w:fill="F2F2F2" w:themeFill="background1" w:themeFillShade="F2"/>
          </w:tcPr>
          <w:p w14:paraId="4BFC0FFD"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Progress Reports</w:t>
            </w:r>
          </w:p>
        </w:tc>
      </w:tr>
      <w:tr w:rsidR="00EE4ACD" w14:paraId="625EC3F6" w14:textId="77777777" w:rsidTr="0003471C">
        <w:tc>
          <w:tcPr>
            <w:tcW w:w="2381" w:type="dxa"/>
          </w:tcPr>
          <w:p w14:paraId="78AF1C97" w14:textId="77777777" w:rsidR="00E04270" w:rsidRPr="00E04270" w:rsidRDefault="00E04270" w:rsidP="0003471C">
            <w:pPr>
              <w:spacing w:before="60" w:after="60"/>
              <w:rPr>
                <w:rFonts w:ascii="Arial" w:eastAsia="Times New Roman" w:hAnsi="Arial" w:cs="Arial"/>
                <w:sz w:val="20"/>
                <w:szCs w:val="20"/>
              </w:rPr>
            </w:pPr>
          </w:p>
        </w:tc>
        <w:tc>
          <w:tcPr>
            <w:tcW w:w="1650" w:type="dxa"/>
          </w:tcPr>
          <w:p w14:paraId="70E8B4A1" w14:textId="77777777" w:rsidR="00E04270" w:rsidRPr="00E04270" w:rsidRDefault="00E04270" w:rsidP="0003471C">
            <w:pPr>
              <w:spacing w:before="60" w:after="60"/>
              <w:rPr>
                <w:rFonts w:ascii="Arial" w:eastAsia="Times New Roman" w:hAnsi="Arial" w:cs="Arial"/>
                <w:sz w:val="20"/>
                <w:szCs w:val="20"/>
              </w:rPr>
            </w:pPr>
          </w:p>
        </w:tc>
        <w:tc>
          <w:tcPr>
            <w:tcW w:w="2036" w:type="dxa"/>
          </w:tcPr>
          <w:p w14:paraId="2A66745C" w14:textId="77777777" w:rsidR="00E04270" w:rsidRPr="00E04270" w:rsidRDefault="00E04270" w:rsidP="0003471C">
            <w:pPr>
              <w:spacing w:before="60" w:after="60"/>
              <w:rPr>
                <w:rFonts w:ascii="Arial" w:eastAsia="Times New Roman" w:hAnsi="Arial" w:cs="Arial"/>
                <w:sz w:val="20"/>
                <w:szCs w:val="20"/>
              </w:rPr>
            </w:pPr>
          </w:p>
        </w:tc>
        <w:tc>
          <w:tcPr>
            <w:tcW w:w="2109" w:type="dxa"/>
          </w:tcPr>
          <w:p w14:paraId="378AA83E" w14:textId="77777777" w:rsidR="00E04270" w:rsidRPr="00E04270" w:rsidRDefault="00E04270" w:rsidP="0003471C">
            <w:pPr>
              <w:spacing w:before="60" w:after="60"/>
              <w:rPr>
                <w:rFonts w:ascii="Arial" w:eastAsia="Times New Roman" w:hAnsi="Arial" w:cs="Arial"/>
                <w:sz w:val="20"/>
                <w:szCs w:val="20"/>
              </w:rPr>
            </w:pPr>
          </w:p>
        </w:tc>
        <w:tc>
          <w:tcPr>
            <w:tcW w:w="1254" w:type="dxa"/>
          </w:tcPr>
          <w:p w14:paraId="5D651C8D" w14:textId="77777777" w:rsidR="00E04270" w:rsidRPr="00E04270" w:rsidRDefault="00E04270" w:rsidP="0003471C">
            <w:pPr>
              <w:spacing w:before="60" w:after="60"/>
              <w:rPr>
                <w:rFonts w:ascii="Arial" w:eastAsia="Times New Roman" w:hAnsi="Arial" w:cs="Arial"/>
                <w:sz w:val="20"/>
                <w:szCs w:val="20"/>
              </w:rPr>
            </w:pPr>
          </w:p>
        </w:tc>
        <w:tc>
          <w:tcPr>
            <w:tcW w:w="1197" w:type="dxa"/>
          </w:tcPr>
          <w:p w14:paraId="0B0538C0" w14:textId="77777777" w:rsidR="00E04270" w:rsidRPr="00E04270" w:rsidRDefault="00E04270" w:rsidP="0003471C">
            <w:pPr>
              <w:spacing w:before="60" w:after="60"/>
              <w:rPr>
                <w:rFonts w:ascii="Arial" w:eastAsia="Times New Roman" w:hAnsi="Arial" w:cs="Arial"/>
                <w:sz w:val="20"/>
                <w:szCs w:val="20"/>
              </w:rPr>
            </w:pPr>
          </w:p>
        </w:tc>
      </w:tr>
      <w:tr w:rsidR="00EE4ACD" w14:paraId="2F71ADC7" w14:textId="77777777" w:rsidTr="0003471C">
        <w:tc>
          <w:tcPr>
            <w:tcW w:w="2381" w:type="dxa"/>
          </w:tcPr>
          <w:p w14:paraId="6890A6A1" w14:textId="77777777" w:rsidR="00E04270" w:rsidRPr="00E04270" w:rsidRDefault="00E04270" w:rsidP="0003471C">
            <w:pPr>
              <w:spacing w:before="60" w:after="60"/>
              <w:rPr>
                <w:rFonts w:ascii="Arial" w:eastAsia="Times New Roman" w:hAnsi="Arial" w:cs="Arial"/>
                <w:sz w:val="20"/>
                <w:szCs w:val="20"/>
              </w:rPr>
            </w:pPr>
          </w:p>
        </w:tc>
        <w:tc>
          <w:tcPr>
            <w:tcW w:w="1650" w:type="dxa"/>
          </w:tcPr>
          <w:p w14:paraId="10556EC5" w14:textId="77777777" w:rsidR="00E04270" w:rsidRPr="00E04270" w:rsidRDefault="00E04270" w:rsidP="0003471C">
            <w:pPr>
              <w:spacing w:before="60" w:after="60"/>
              <w:rPr>
                <w:rFonts w:ascii="Arial" w:eastAsia="Times New Roman" w:hAnsi="Arial" w:cs="Arial"/>
                <w:sz w:val="20"/>
                <w:szCs w:val="20"/>
              </w:rPr>
            </w:pPr>
          </w:p>
        </w:tc>
        <w:tc>
          <w:tcPr>
            <w:tcW w:w="2036" w:type="dxa"/>
          </w:tcPr>
          <w:p w14:paraId="38872DD8" w14:textId="77777777" w:rsidR="00E04270" w:rsidRPr="00E04270" w:rsidRDefault="00E04270" w:rsidP="0003471C">
            <w:pPr>
              <w:spacing w:before="60" w:after="60"/>
              <w:rPr>
                <w:rFonts w:ascii="Arial" w:eastAsia="Times New Roman" w:hAnsi="Arial" w:cs="Arial"/>
                <w:sz w:val="20"/>
                <w:szCs w:val="20"/>
              </w:rPr>
            </w:pPr>
          </w:p>
        </w:tc>
        <w:tc>
          <w:tcPr>
            <w:tcW w:w="2109" w:type="dxa"/>
          </w:tcPr>
          <w:p w14:paraId="34F68CBD" w14:textId="77777777" w:rsidR="00E04270" w:rsidRPr="00E04270" w:rsidRDefault="00E04270" w:rsidP="0003471C">
            <w:pPr>
              <w:spacing w:before="60" w:after="60"/>
              <w:rPr>
                <w:rFonts w:ascii="Arial" w:eastAsia="Times New Roman" w:hAnsi="Arial" w:cs="Arial"/>
                <w:sz w:val="20"/>
                <w:szCs w:val="20"/>
              </w:rPr>
            </w:pPr>
          </w:p>
        </w:tc>
        <w:tc>
          <w:tcPr>
            <w:tcW w:w="1254" w:type="dxa"/>
          </w:tcPr>
          <w:p w14:paraId="7181FD42" w14:textId="77777777" w:rsidR="00E04270" w:rsidRPr="00E04270" w:rsidRDefault="00E04270" w:rsidP="0003471C">
            <w:pPr>
              <w:spacing w:before="60" w:after="60"/>
              <w:rPr>
                <w:rFonts w:ascii="Arial" w:eastAsia="Times New Roman" w:hAnsi="Arial" w:cs="Arial"/>
                <w:sz w:val="20"/>
                <w:szCs w:val="20"/>
              </w:rPr>
            </w:pPr>
          </w:p>
        </w:tc>
        <w:tc>
          <w:tcPr>
            <w:tcW w:w="1197" w:type="dxa"/>
          </w:tcPr>
          <w:p w14:paraId="22DDBB93" w14:textId="77777777" w:rsidR="00E04270" w:rsidRPr="00E04270" w:rsidRDefault="00E04270" w:rsidP="0003471C">
            <w:pPr>
              <w:spacing w:before="60" w:after="60"/>
              <w:rPr>
                <w:rFonts w:ascii="Arial" w:eastAsia="Times New Roman" w:hAnsi="Arial" w:cs="Arial"/>
                <w:sz w:val="20"/>
                <w:szCs w:val="20"/>
              </w:rPr>
            </w:pPr>
          </w:p>
        </w:tc>
      </w:tr>
      <w:tr w:rsidR="00EE4ACD" w14:paraId="0A5EABDE" w14:textId="77777777" w:rsidTr="0003471C">
        <w:tc>
          <w:tcPr>
            <w:tcW w:w="2381" w:type="dxa"/>
          </w:tcPr>
          <w:p w14:paraId="372467B0" w14:textId="77777777" w:rsidR="00E04270" w:rsidRPr="00E04270" w:rsidRDefault="00E04270" w:rsidP="0003471C">
            <w:pPr>
              <w:spacing w:before="60" w:after="60"/>
              <w:rPr>
                <w:rFonts w:ascii="Arial" w:eastAsia="Times New Roman" w:hAnsi="Arial" w:cs="Arial"/>
                <w:sz w:val="20"/>
                <w:szCs w:val="20"/>
              </w:rPr>
            </w:pPr>
          </w:p>
        </w:tc>
        <w:tc>
          <w:tcPr>
            <w:tcW w:w="1650" w:type="dxa"/>
          </w:tcPr>
          <w:p w14:paraId="0AAA8DDA" w14:textId="77777777" w:rsidR="00E04270" w:rsidRPr="00E04270" w:rsidRDefault="00E04270" w:rsidP="0003471C">
            <w:pPr>
              <w:spacing w:before="60" w:after="60"/>
              <w:rPr>
                <w:rFonts w:ascii="Arial" w:eastAsia="Times New Roman" w:hAnsi="Arial" w:cs="Arial"/>
                <w:sz w:val="20"/>
                <w:szCs w:val="20"/>
              </w:rPr>
            </w:pPr>
          </w:p>
        </w:tc>
        <w:tc>
          <w:tcPr>
            <w:tcW w:w="2036" w:type="dxa"/>
          </w:tcPr>
          <w:p w14:paraId="4C109F8A" w14:textId="77777777" w:rsidR="00E04270" w:rsidRPr="00E04270" w:rsidRDefault="00E04270" w:rsidP="0003471C">
            <w:pPr>
              <w:spacing w:before="60" w:after="60"/>
              <w:rPr>
                <w:rFonts w:ascii="Arial" w:eastAsia="Times New Roman" w:hAnsi="Arial" w:cs="Arial"/>
                <w:sz w:val="20"/>
                <w:szCs w:val="20"/>
              </w:rPr>
            </w:pPr>
          </w:p>
        </w:tc>
        <w:tc>
          <w:tcPr>
            <w:tcW w:w="2109" w:type="dxa"/>
          </w:tcPr>
          <w:p w14:paraId="34C54594" w14:textId="77777777" w:rsidR="00E04270" w:rsidRPr="00E04270" w:rsidRDefault="00E04270" w:rsidP="0003471C">
            <w:pPr>
              <w:spacing w:before="60" w:after="60"/>
              <w:rPr>
                <w:rFonts w:ascii="Arial" w:eastAsia="Times New Roman" w:hAnsi="Arial" w:cs="Arial"/>
                <w:sz w:val="20"/>
                <w:szCs w:val="20"/>
              </w:rPr>
            </w:pPr>
          </w:p>
        </w:tc>
        <w:tc>
          <w:tcPr>
            <w:tcW w:w="1254" w:type="dxa"/>
          </w:tcPr>
          <w:p w14:paraId="0F0B0D72" w14:textId="77777777" w:rsidR="00E04270" w:rsidRPr="00E04270" w:rsidRDefault="00E04270" w:rsidP="0003471C">
            <w:pPr>
              <w:spacing w:before="60" w:after="60"/>
              <w:rPr>
                <w:rFonts w:ascii="Arial" w:eastAsia="Times New Roman" w:hAnsi="Arial" w:cs="Arial"/>
                <w:sz w:val="20"/>
                <w:szCs w:val="20"/>
              </w:rPr>
            </w:pPr>
          </w:p>
        </w:tc>
        <w:tc>
          <w:tcPr>
            <w:tcW w:w="1197" w:type="dxa"/>
          </w:tcPr>
          <w:p w14:paraId="360F7740" w14:textId="77777777" w:rsidR="00E04270" w:rsidRPr="00E04270" w:rsidRDefault="00E04270" w:rsidP="0003471C">
            <w:pPr>
              <w:spacing w:before="60" w:after="60"/>
              <w:rPr>
                <w:rFonts w:ascii="Arial" w:eastAsia="Times New Roman" w:hAnsi="Arial" w:cs="Arial"/>
                <w:sz w:val="20"/>
                <w:szCs w:val="20"/>
              </w:rPr>
            </w:pPr>
          </w:p>
        </w:tc>
      </w:tr>
      <w:tr w:rsidR="00EE4ACD" w14:paraId="54AE5C77" w14:textId="77777777" w:rsidTr="0003471C">
        <w:tc>
          <w:tcPr>
            <w:tcW w:w="2381" w:type="dxa"/>
          </w:tcPr>
          <w:p w14:paraId="6CF4206A" w14:textId="77777777" w:rsidR="00E04270" w:rsidRPr="00E04270" w:rsidRDefault="00E04270" w:rsidP="0003471C">
            <w:pPr>
              <w:spacing w:before="60" w:after="60"/>
              <w:rPr>
                <w:rFonts w:ascii="Arial" w:eastAsia="Times New Roman" w:hAnsi="Arial" w:cs="Arial"/>
                <w:sz w:val="20"/>
                <w:szCs w:val="20"/>
              </w:rPr>
            </w:pPr>
          </w:p>
        </w:tc>
        <w:tc>
          <w:tcPr>
            <w:tcW w:w="1650" w:type="dxa"/>
          </w:tcPr>
          <w:p w14:paraId="6C8C6842" w14:textId="77777777" w:rsidR="00E04270" w:rsidRPr="00E04270" w:rsidRDefault="00E04270" w:rsidP="0003471C">
            <w:pPr>
              <w:spacing w:before="60" w:after="60"/>
              <w:rPr>
                <w:rFonts w:ascii="Arial" w:eastAsia="Times New Roman" w:hAnsi="Arial" w:cs="Arial"/>
                <w:sz w:val="20"/>
                <w:szCs w:val="20"/>
              </w:rPr>
            </w:pPr>
          </w:p>
        </w:tc>
        <w:tc>
          <w:tcPr>
            <w:tcW w:w="2036" w:type="dxa"/>
          </w:tcPr>
          <w:p w14:paraId="61889F97" w14:textId="77777777" w:rsidR="00E04270" w:rsidRPr="00E04270" w:rsidRDefault="00E04270" w:rsidP="0003471C">
            <w:pPr>
              <w:spacing w:before="60" w:after="60"/>
              <w:rPr>
                <w:rFonts w:ascii="Arial" w:eastAsia="Times New Roman" w:hAnsi="Arial" w:cs="Arial"/>
                <w:sz w:val="20"/>
                <w:szCs w:val="20"/>
              </w:rPr>
            </w:pPr>
          </w:p>
        </w:tc>
        <w:tc>
          <w:tcPr>
            <w:tcW w:w="2109" w:type="dxa"/>
          </w:tcPr>
          <w:p w14:paraId="515F482F" w14:textId="77777777" w:rsidR="00E04270" w:rsidRPr="00E04270" w:rsidRDefault="00E04270" w:rsidP="0003471C">
            <w:pPr>
              <w:spacing w:before="60" w:after="60"/>
              <w:rPr>
                <w:rFonts w:ascii="Arial" w:eastAsia="Times New Roman" w:hAnsi="Arial" w:cs="Arial"/>
                <w:sz w:val="20"/>
                <w:szCs w:val="20"/>
              </w:rPr>
            </w:pPr>
          </w:p>
        </w:tc>
        <w:tc>
          <w:tcPr>
            <w:tcW w:w="1254" w:type="dxa"/>
          </w:tcPr>
          <w:p w14:paraId="4F61153B" w14:textId="77777777" w:rsidR="00E04270" w:rsidRPr="00E04270" w:rsidRDefault="00E04270" w:rsidP="0003471C">
            <w:pPr>
              <w:spacing w:before="60" w:after="60"/>
              <w:rPr>
                <w:rFonts w:ascii="Arial" w:eastAsia="Times New Roman" w:hAnsi="Arial" w:cs="Arial"/>
                <w:sz w:val="20"/>
                <w:szCs w:val="20"/>
              </w:rPr>
            </w:pPr>
          </w:p>
        </w:tc>
        <w:tc>
          <w:tcPr>
            <w:tcW w:w="1197" w:type="dxa"/>
          </w:tcPr>
          <w:p w14:paraId="5A785053" w14:textId="77777777" w:rsidR="00E04270" w:rsidRPr="00E04270" w:rsidRDefault="00E04270" w:rsidP="0003471C">
            <w:pPr>
              <w:spacing w:before="60" w:after="60"/>
              <w:rPr>
                <w:rFonts w:ascii="Arial" w:eastAsia="Times New Roman" w:hAnsi="Arial" w:cs="Arial"/>
                <w:sz w:val="20"/>
                <w:szCs w:val="20"/>
              </w:rPr>
            </w:pPr>
          </w:p>
        </w:tc>
      </w:tr>
      <w:tr w:rsidR="00EE4ACD" w14:paraId="74083BB4" w14:textId="77777777" w:rsidTr="0003471C">
        <w:tc>
          <w:tcPr>
            <w:tcW w:w="2381" w:type="dxa"/>
          </w:tcPr>
          <w:p w14:paraId="401E12AE" w14:textId="77777777" w:rsidR="00E04270" w:rsidRPr="00E04270" w:rsidRDefault="00E04270" w:rsidP="0003471C">
            <w:pPr>
              <w:spacing w:before="60" w:after="60"/>
              <w:rPr>
                <w:rFonts w:ascii="Arial" w:eastAsia="Times New Roman" w:hAnsi="Arial" w:cs="Arial"/>
                <w:sz w:val="20"/>
                <w:szCs w:val="20"/>
              </w:rPr>
            </w:pPr>
          </w:p>
        </w:tc>
        <w:tc>
          <w:tcPr>
            <w:tcW w:w="1650" w:type="dxa"/>
          </w:tcPr>
          <w:p w14:paraId="5CBF61B2" w14:textId="77777777" w:rsidR="00E04270" w:rsidRPr="00E04270" w:rsidRDefault="00E04270" w:rsidP="0003471C">
            <w:pPr>
              <w:spacing w:before="60" w:after="60"/>
              <w:rPr>
                <w:rFonts w:ascii="Arial" w:eastAsia="Times New Roman" w:hAnsi="Arial" w:cs="Arial"/>
                <w:sz w:val="20"/>
                <w:szCs w:val="20"/>
              </w:rPr>
            </w:pPr>
          </w:p>
        </w:tc>
        <w:tc>
          <w:tcPr>
            <w:tcW w:w="2036" w:type="dxa"/>
          </w:tcPr>
          <w:p w14:paraId="3513C441" w14:textId="77777777" w:rsidR="00E04270" w:rsidRPr="00E04270" w:rsidRDefault="00E04270" w:rsidP="0003471C">
            <w:pPr>
              <w:spacing w:before="60" w:after="60"/>
              <w:rPr>
                <w:rFonts w:ascii="Arial" w:eastAsia="Times New Roman" w:hAnsi="Arial" w:cs="Arial"/>
                <w:sz w:val="20"/>
                <w:szCs w:val="20"/>
              </w:rPr>
            </w:pPr>
          </w:p>
        </w:tc>
        <w:tc>
          <w:tcPr>
            <w:tcW w:w="2109" w:type="dxa"/>
          </w:tcPr>
          <w:p w14:paraId="525CBC3E" w14:textId="77777777" w:rsidR="00E04270" w:rsidRPr="00E04270" w:rsidRDefault="00E04270" w:rsidP="0003471C">
            <w:pPr>
              <w:spacing w:before="60" w:after="60"/>
              <w:rPr>
                <w:rFonts w:ascii="Arial" w:eastAsia="Times New Roman" w:hAnsi="Arial" w:cs="Arial"/>
                <w:sz w:val="20"/>
                <w:szCs w:val="20"/>
              </w:rPr>
            </w:pPr>
          </w:p>
        </w:tc>
        <w:tc>
          <w:tcPr>
            <w:tcW w:w="1254" w:type="dxa"/>
          </w:tcPr>
          <w:p w14:paraId="4AAE6D11" w14:textId="77777777" w:rsidR="00E04270" w:rsidRPr="00E04270" w:rsidRDefault="00E04270" w:rsidP="0003471C">
            <w:pPr>
              <w:spacing w:before="60" w:after="60"/>
              <w:rPr>
                <w:rFonts w:ascii="Arial" w:eastAsia="Times New Roman" w:hAnsi="Arial" w:cs="Arial"/>
                <w:sz w:val="20"/>
                <w:szCs w:val="20"/>
              </w:rPr>
            </w:pPr>
          </w:p>
        </w:tc>
        <w:tc>
          <w:tcPr>
            <w:tcW w:w="1197" w:type="dxa"/>
          </w:tcPr>
          <w:p w14:paraId="209AF726" w14:textId="77777777" w:rsidR="00E04270" w:rsidRPr="00E04270" w:rsidRDefault="00E04270" w:rsidP="0003471C">
            <w:pPr>
              <w:spacing w:before="60" w:after="60"/>
              <w:rPr>
                <w:rFonts w:ascii="Arial" w:eastAsia="Times New Roman" w:hAnsi="Arial" w:cs="Arial"/>
                <w:sz w:val="20"/>
                <w:szCs w:val="20"/>
              </w:rPr>
            </w:pPr>
          </w:p>
        </w:tc>
      </w:tr>
      <w:tr w:rsidR="00EE4ACD" w14:paraId="639B1C89" w14:textId="77777777" w:rsidTr="0003471C">
        <w:tc>
          <w:tcPr>
            <w:tcW w:w="2381" w:type="dxa"/>
          </w:tcPr>
          <w:p w14:paraId="7AE74C7E" w14:textId="77777777" w:rsidR="00E04270" w:rsidRPr="00E04270" w:rsidRDefault="00E04270" w:rsidP="0003471C">
            <w:pPr>
              <w:spacing w:before="60" w:after="60"/>
              <w:rPr>
                <w:rFonts w:ascii="Arial" w:eastAsia="Times New Roman" w:hAnsi="Arial" w:cs="Arial"/>
                <w:sz w:val="20"/>
                <w:szCs w:val="20"/>
              </w:rPr>
            </w:pPr>
          </w:p>
        </w:tc>
        <w:tc>
          <w:tcPr>
            <w:tcW w:w="1650" w:type="dxa"/>
          </w:tcPr>
          <w:p w14:paraId="166E7164" w14:textId="77777777" w:rsidR="00E04270" w:rsidRPr="00E04270" w:rsidRDefault="00E04270" w:rsidP="0003471C">
            <w:pPr>
              <w:spacing w:before="60" w:after="60"/>
              <w:rPr>
                <w:rFonts w:ascii="Arial" w:eastAsia="Times New Roman" w:hAnsi="Arial" w:cs="Arial"/>
                <w:sz w:val="20"/>
                <w:szCs w:val="20"/>
              </w:rPr>
            </w:pPr>
          </w:p>
        </w:tc>
        <w:tc>
          <w:tcPr>
            <w:tcW w:w="2036" w:type="dxa"/>
          </w:tcPr>
          <w:p w14:paraId="2600C74C" w14:textId="77777777" w:rsidR="00E04270" w:rsidRPr="00E04270" w:rsidRDefault="00E04270" w:rsidP="0003471C">
            <w:pPr>
              <w:spacing w:before="60" w:after="60"/>
              <w:rPr>
                <w:rFonts w:ascii="Arial" w:eastAsia="Times New Roman" w:hAnsi="Arial" w:cs="Arial"/>
                <w:sz w:val="20"/>
                <w:szCs w:val="20"/>
              </w:rPr>
            </w:pPr>
          </w:p>
        </w:tc>
        <w:tc>
          <w:tcPr>
            <w:tcW w:w="2109" w:type="dxa"/>
          </w:tcPr>
          <w:p w14:paraId="06EA6A68" w14:textId="77777777" w:rsidR="00E04270" w:rsidRPr="00E04270" w:rsidRDefault="00E04270" w:rsidP="0003471C">
            <w:pPr>
              <w:spacing w:before="60" w:after="60"/>
              <w:rPr>
                <w:rFonts w:ascii="Arial" w:eastAsia="Times New Roman" w:hAnsi="Arial" w:cs="Arial"/>
                <w:sz w:val="20"/>
                <w:szCs w:val="20"/>
              </w:rPr>
            </w:pPr>
          </w:p>
        </w:tc>
        <w:tc>
          <w:tcPr>
            <w:tcW w:w="1254" w:type="dxa"/>
          </w:tcPr>
          <w:p w14:paraId="6A00C94E" w14:textId="77777777" w:rsidR="00E04270" w:rsidRPr="00E04270" w:rsidRDefault="00E04270" w:rsidP="0003471C">
            <w:pPr>
              <w:spacing w:before="60" w:after="60"/>
              <w:rPr>
                <w:rFonts w:ascii="Arial" w:eastAsia="Times New Roman" w:hAnsi="Arial" w:cs="Arial"/>
                <w:sz w:val="20"/>
                <w:szCs w:val="20"/>
              </w:rPr>
            </w:pPr>
          </w:p>
        </w:tc>
        <w:tc>
          <w:tcPr>
            <w:tcW w:w="1197" w:type="dxa"/>
          </w:tcPr>
          <w:p w14:paraId="3B37B803" w14:textId="77777777" w:rsidR="00E04270" w:rsidRPr="00E04270" w:rsidRDefault="00E04270" w:rsidP="0003471C">
            <w:pPr>
              <w:spacing w:before="60" w:after="60"/>
              <w:rPr>
                <w:rFonts w:ascii="Arial" w:eastAsia="Times New Roman" w:hAnsi="Arial" w:cs="Arial"/>
                <w:sz w:val="20"/>
                <w:szCs w:val="20"/>
              </w:rPr>
            </w:pPr>
          </w:p>
        </w:tc>
      </w:tr>
      <w:tr w:rsidR="00EE4ACD" w14:paraId="2433FF8B" w14:textId="77777777" w:rsidTr="0003471C">
        <w:tc>
          <w:tcPr>
            <w:tcW w:w="2381" w:type="dxa"/>
          </w:tcPr>
          <w:p w14:paraId="50A29E9E" w14:textId="77777777" w:rsidR="00E04270" w:rsidRPr="00E04270" w:rsidRDefault="00E04270" w:rsidP="0003471C">
            <w:pPr>
              <w:spacing w:before="60" w:after="60"/>
              <w:rPr>
                <w:rFonts w:ascii="Arial" w:eastAsia="Times New Roman" w:hAnsi="Arial" w:cs="Arial"/>
                <w:sz w:val="20"/>
                <w:szCs w:val="20"/>
              </w:rPr>
            </w:pPr>
          </w:p>
        </w:tc>
        <w:tc>
          <w:tcPr>
            <w:tcW w:w="1650" w:type="dxa"/>
          </w:tcPr>
          <w:p w14:paraId="09ABEDFE" w14:textId="77777777" w:rsidR="00E04270" w:rsidRPr="00E04270" w:rsidRDefault="00E04270" w:rsidP="0003471C">
            <w:pPr>
              <w:spacing w:before="60" w:after="60"/>
              <w:rPr>
                <w:rFonts w:ascii="Arial" w:eastAsia="Times New Roman" w:hAnsi="Arial" w:cs="Arial"/>
                <w:sz w:val="20"/>
                <w:szCs w:val="20"/>
              </w:rPr>
            </w:pPr>
          </w:p>
        </w:tc>
        <w:tc>
          <w:tcPr>
            <w:tcW w:w="2036" w:type="dxa"/>
          </w:tcPr>
          <w:p w14:paraId="23D5CD8A" w14:textId="77777777" w:rsidR="00E04270" w:rsidRPr="00E04270" w:rsidRDefault="00E04270" w:rsidP="0003471C">
            <w:pPr>
              <w:spacing w:before="60" w:after="60"/>
              <w:rPr>
                <w:rFonts w:ascii="Arial" w:eastAsia="Times New Roman" w:hAnsi="Arial" w:cs="Arial"/>
                <w:sz w:val="20"/>
                <w:szCs w:val="20"/>
              </w:rPr>
            </w:pPr>
          </w:p>
        </w:tc>
        <w:tc>
          <w:tcPr>
            <w:tcW w:w="2109" w:type="dxa"/>
          </w:tcPr>
          <w:p w14:paraId="5C3AFDAC" w14:textId="77777777" w:rsidR="00E04270" w:rsidRPr="00E04270" w:rsidRDefault="00E04270" w:rsidP="0003471C">
            <w:pPr>
              <w:spacing w:before="60" w:after="60"/>
              <w:rPr>
                <w:rFonts w:ascii="Arial" w:eastAsia="Times New Roman" w:hAnsi="Arial" w:cs="Arial"/>
                <w:sz w:val="20"/>
                <w:szCs w:val="20"/>
              </w:rPr>
            </w:pPr>
          </w:p>
        </w:tc>
        <w:tc>
          <w:tcPr>
            <w:tcW w:w="1254" w:type="dxa"/>
          </w:tcPr>
          <w:p w14:paraId="5E22A7D1" w14:textId="77777777" w:rsidR="00E04270" w:rsidRPr="00E04270" w:rsidRDefault="00E04270" w:rsidP="0003471C">
            <w:pPr>
              <w:spacing w:before="60" w:after="60"/>
              <w:rPr>
                <w:rFonts w:ascii="Arial" w:eastAsia="Times New Roman" w:hAnsi="Arial" w:cs="Arial"/>
                <w:sz w:val="20"/>
                <w:szCs w:val="20"/>
              </w:rPr>
            </w:pPr>
          </w:p>
        </w:tc>
        <w:tc>
          <w:tcPr>
            <w:tcW w:w="1197" w:type="dxa"/>
          </w:tcPr>
          <w:p w14:paraId="728CF230" w14:textId="77777777" w:rsidR="00E04270" w:rsidRPr="00E04270" w:rsidRDefault="00E04270" w:rsidP="0003471C">
            <w:pPr>
              <w:spacing w:before="60" w:after="60"/>
              <w:rPr>
                <w:rFonts w:ascii="Arial" w:eastAsia="Times New Roman" w:hAnsi="Arial" w:cs="Arial"/>
                <w:sz w:val="20"/>
                <w:szCs w:val="20"/>
              </w:rPr>
            </w:pPr>
          </w:p>
        </w:tc>
      </w:tr>
      <w:tr w:rsidR="00EE4ACD" w14:paraId="16096E70" w14:textId="77777777" w:rsidTr="0003471C">
        <w:tc>
          <w:tcPr>
            <w:tcW w:w="2381" w:type="dxa"/>
          </w:tcPr>
          <w:p w14:paraId="79DF44BE" w14:textId="77777777" w:rsidR="00E04270" w:rsidRPr="00E04270" w:rsidRDefault="00E04270" w:rsidP="0003471C">
            <w:pPr>
              <w:spacing w:before="60" w:after="60"/>
              <w:rPr>
                <w:rFonts w:ascii="Arial" w:eastAsia="Times New Roman" w:hAnsi="Arial" w:cs="Arial"/>
                <w:sz w:val="20"/>
                <w:szCs w:val="20"/>
              </w:rPr>
            </w:pPr>
          </w:p>
        </w:tc>
        <w:tc>
          <w:tcPr>
            <w:tcW w:w="1650" w:type="dxa"/>
          </w:tcPr>
          <w:p w14:paraId="055D37A5" w14:textId="77777777" w:rsidR="00E04270" w:rsidRPr="00E04270" w:rsidRDefault="00E04270" w:rsidP="0003471C">
            <w:pPr>
              <w:spacing w:before="60" w:after="60"/>
              <w:rPr>
                <w:rFonts w:ascii="Arial" w:eastAsia="Times New Roman" w:hAnsi="Arial" w:cs="Arial"/>
                <w:sz w:val="20"/>
                <w:szCs w:val="20"/>
              </w:rPr>
            </w:pPr>
          </w:p>
        </w:tc>
        <w:tc>
          <w:tcPr>
            <w:tcW w:w="2036" w:type="dxa"/>
          </w:tcPr>
          <w:p w14:paraId="642C69EA" w14:textId="77777777" w:rsidR="00E04270" w:rsidRPr="00E04270" w:rsidRDefault="00E04270" w:rsidP="0003471C">
            <w:pPr>
              <w:spacing w:before="60" w:after="60"/>
              <w:rPr>
                <w:rFonts w:ascii="Arial" w:eastAsia="Times New Roman" w:hAnsi="Arial" w:cs="Arial"/>
                <w:sz w:val="20"/>
                <w:szCs w:val="20"/>
              </w:rPr>
            </w:pPr>
          </w:p>
        </w:tc>
        <w:tc>
          <w:tcPr>
            <w:tcW w:w="2109" w:type="dxa"/>
          </w:tcPr>
          <w:p w14:paraId="16E81FF6" w14:textId="77777777" w:rsidR="00E04270" w:rsidRPr="00E04270" w:rsidRDefault="00E04270" w:rsidP="0003471C">
            <w:pPr>
              <w:spacing w:before="60" w:after="60"/>
              <w:rPr>
                <w:rFonts w:ascii="Arial" w:eastAsia="Times New Roman" w:hAnsi="Arial" w:cs="Arial"/>
                <w:sz w:val="20"/>
                <w:szCs w:val="20"/>
              </w:rPr>
            </w:pPr>
          </w:p>
        </w:tc>
        <w:tc>
          <w:tcPr>
            <w:tcW w:w="1254" w:type="dxa"/>
          </w:tcPr>
          <w:p w14:paraId="621ECDB2" w14:textId="77777777" w:rsidR="00E04270" w:rsidRPr="00E04270" w:rsidRDefault="00E04270" w:rsidP="0003471C">
            <w:pPr>
              <w:spacing w:before="60" w:after="60"/>
              <w:rPr>
                <w:rFonts w:ascii="Arial" w:eastAsia="Times New Roman" w:hAnsi="Arial" w:cs="Arial"/>
                <w:sz w:val="20"/>
                <w:szCs w:val="20"/>
              </w:rPr>
            </w:pPr>
          </w:p>
        </w:tc>
        <w:tc>
          <w:tcPr>
            <w:tcW w:w="1197" w:type="dxa"/>
          </w:tcPr>
          <w:p w14:paraId="52C621BF" w14:textId="77777777" w:rsidR="00E04270" w:rsidRPr="00E04270" w:rsidRDefault="00E04270" w:rsidP="0003471C">
            <w:pPr>
              <w:spacing w:before="60" w:after="60"/>
              <w:rPr>
                <w:rFonts w:ascii="Arial" w:eastAsia="Times New Roman" w:hAnsi="Arial" w:cs="Arial"/>
                <w:sz w:val="20"/>
                <w:szCs w:val="20"/>
              </w:rPr>
            </w:pPr>
          </w:p>
        </w:tc>
      </w:tr>
    </w:tbl>
    <w:p w14:paraId="2A362DC9" w14:textId="77777777" w:rsidR="00E04270" w:rsidRPr="00E04270" w:rsidRDefault="00000000" w:rsidP="0003471C">
      <w:pPr>
        <w:pStyle w:val="Caption2"/>
      </w:pPr>
      <w:r w:rsidRPr="00E04270">
        <w:t>Progress Reports</w:t>
      </w:r>
    </w:p>
    <w:p w14:paraId="56232E85" w14:textId="77777777" w:rsidR="008D3A84" w:rsidRPr="008D3A84" w:rsidRDefault="00000000" w:rsidP="0003471C">
      <w:pPr>
        <w:spacing w:before="120"/>
        <w:rPr>
          <w:rFonts w:ascii="Arial" w:eastAsia="Times New Roman" w:hAnsi="Arial" w:cs="Arial"/>
          <w:sz w:val="20"/>
          <w:szCs w:val="20"/>
        </w:rPr>
      </w:pPr>
      <w:r w:rsidRPr="008D3A84">
        <w:rPr>
          <w:rFonts w:ascii="Arial" w:eastAsia="Times New Roman" w:hAnsi="Arial" w:cs="Arial"/>
          <w:sz w:val="20"/>
          <w:szCs w:val="20"/>
        </w:rPr>
        <w:t xml:space="preserve">The permittee shall submit Certified Progress Reports using the MiEnviro form ROP General Compliance Report.  </w:t>
      </w:r>
      <w:r w:rsidRPr="008D3A84">
        <w:rPr>
          <w:rFonts w:ascii="Arial" w:eastAsia="Times New Roman" w:hAnsi="Arial" w:cs="Arial"/>
          <w:b/>
          <w:sz w:val="20"/>
          <w:szCs w:val="20"/>
        </w:rPr>
        <w:t>(R 336.1213(4)(b))</w:t>
      </w:r>
    </w:p>
    <w:p w14:paraId="64F96005"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Progress reports shall contain the following information:</w:t>
      </w:r>
    </w:p>
    <w:p w14:paraId="79A69A9C" w14:textId="77777777" w:rsidR="00E04270" w:rsidRPr="00E04270" w:rsidRDefault="00000000" w:rsidP="0003471C">
      <w:pPr>
        <w:spacing w:before="120"/>
        <w:rPr>
          <w:rFonts w:ascii="Arial" w:eastAsia="Times New Roman" w:hAnsi="Arial" w:cs="Times New Roman"/>
          <w:b/>
          <w:sz w:val="20"/>
          <w:szCs w:val="20"/>
        </w:rPr>
      </w:pPr>
      <w:r w:rsidRPr="00E04270">
        <w:rPr>
          <w:rFonts w:ascii="Arial" w:eastAsia="Times New Roman" w:hAnsi="Arial" w:cs="Times New Roman"/>
          <w:sz w:val="20"/>
          <w:szCs w:val="20"/>
        </w:rPr>
        <w:t xml:space="preserve">The projected dates for achieving scheduled activities, milestones or compliance as required in the schedule of compliance.  </w:t>
      </w:r>
      <w:r w:rsidRPr="00E04270">
        <w:rPr>
          <w:rFonts w:ascii="Arial" w:eastAsia="Times New Roman" w:hAnsi="Arial" w:cs="Times New Roman"/>
          <w:b/>
          <w:sz w:val="20"/>
          <w:szCs w:val="20"/>
        </w:rPr>
        <w:t>(R 336.1213(4)(b)(</w:t>
      </w:r>
      <w:proofErr w:type="spellStart"/>
      <w:r w:rsidRPr="00E04270">
        <w:rPr>
          <w:rFonts w:ascii="Arial" w:eastAsia="Times New Roman" w:hAnsi="Arial" w:cs="Times New Roman"/>
          <w:b/>
          <w:sz w:val="20"/>
          <w:szCs w:val="20"/>
        </w:rPr>
        <w:t>i</w:t>
      </w:r>
      <w:proofErr w:type="spellEnd"/>
      <w:r w:rsidRPr="00E04270">
        <w:rPr>
          <w:rFonts w:ascii="Arial" w:eastAsia="Times New Roman" w:hAnsi="Arial" w:cs="Times New Roman"/>
          <w:b/>
          <w:sz w:val="20"/>
          <w:szCs w:val="20"/>
        </w:rPr>
        <w:t>))</w:t>
      </w:r>
    </w:p>
    <w:p w14:paraId="4800A34B" w14:textId="77777777" w:rsidR="00E04270" w:rsidRPr="00E04270" w:rsidRDefault="00000000" w:rsidP="0003471C">
      <w:pPr>
        <w:spacing w:before="120"/>
        <w:rPr>
          <w:rFonts w:ascii="Arial" w:eastAsia="Times New Roman" w:hAnsi="Arial" w:cs="Times New Roman"/>
          <w:b/>
          <w:sz w:val="20"/>
          <w:szCs w:val="20"/>
        </w:rPr>
      </w:pPr>
      <w:r w:rsidRPr="00E04270">
        <w:rPr>
          <w:rFonts w:ascii="Arial" w:eastAsia="Times New Roman" w:hAnsi="Arial" w:cs="Times New Roman"/>
          <w:sz w:val="20"/>
          <w:szCs w:val="20"/>
        </w:rPr>
        <w:t xml:space="preserve">The actual dates that the activities, milestones, or compliance are achieved.  </w:t>
      </w:r>
      <w:r w:rsidRPr="00E04270">
        <w:rPr>
          <w:rFonts w:ascii="Arial" w:eastAsia="Times New Roman" w:hAnsi="Arial" w:cs="Times New Roman"/>
          <w:b/>
          <w:sz w:val="20"/>
          <w:szCs w:val="20"/>
        </w:rPr>
        <w:t>(R 336.1213(4)(b)(</w:t>
      </w:r>
      <w:proofErr w:type="spellStart"/>
      <w:r w:rsidRPr="00E04270">
        <w:rPr>
          <w:rFonts w:ascii="Arial" w:eastAsia="Times New Roman" w:hAnsi="Arial" w:cs="Times New Roman"/>
          <w:b/>
          <w:sz w:val="20"/>
          <w:szCs w:val="20"/>
        </w:rPr>
        <w:t>i</w:t>
      </w:r>
      <w:proofErr w:type="spellEnd"/>
      <w:r w:rsidRPr="00E04270">
        <w:rPr>
          <w:rFonts w:ascii="Arial" w:eastAsia="Times New Roman" w:hAnsi="Arial" w:cs="Times New Roman"/>
          <w:b/>
          <w:sz w:val="20"/>
          <w:szCs w:val="20"/>
        </w:rPr>
        <w:t>))</w:t>
      </w:r>
    </w:p>
    <w:p w14:paraId="241A1347"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 xml:space="preserve">An explanation of why any dates in the Schedule of Compliance were not or will not be met.  </w:t>
      </w:r>
      <w:r w:rsidRPr="00E04270">
        <w:rPr>
          <w:rFonts w:ascii="Arial" w:eastAsia="Times New Roman" w:hAnsi="Arial" w:cs="Times New Roman"/>
          <w:b/>
          <w:sz w:val="20"/>
          <w:szCs w:val="20"/>
        </w:rPr>
        <w:t>(R 336.1213(4)(b)(ii))</w:t>
      </w:r>
    </w:p>
    <w:p w14:paraId="32CFE2A4" w14:textId="77777777" w:rsidR="00E04270" w:rsidRPr="00E04270" w:rsidRDefault="00000000" w:rsidP="0003471C">
      <w:pPr>
        <w:spacing w:before="120"/>
        <w:rPr>
          <w:rFonts w:ascii="Arial" w:eastAsia="Times New Roman" w:hAnsi="Arial" w:cs="Times New Roman"/>
          <w:b/>
          <w:sz w:val="20"/>
          <w:szCs w:val="20"/>
        </w:rPr>
      </w:pPr>
      <w:r w:rsidRPr="00E04270">
        <w:rPr>
          <w:rFonts w:ascii="Arial" w:eastAsia="Times New Roman" w:hAnsi="Arial" w:cs="Times New Roman"/>
          <w:sz w:val="20"/>
          <w:szCs w:val="20"/>
        </w:rPr>
        <w:t xml:space="preserve">A description of any preventative or corrective measures adopted in order to ensure that the schedule of compliance is met.  </w:t>
      </w:r>
      <w:r w:rsidRPr="00E04270">
        <w:rPr>
          <w:rFonts w:ascii="Arial" w:eastAsia="Times New Roman" w:hAnsi="Arial" w:cs="Times New Roman"/>
          <w:b/>
          <w:sz w:val="20"/>
          <w:szCs w:val="20"/>
        </w:rPr>
        <w:t>(R 336.1213(4)(b)(ii))</w:t>
      </w:r>
    </w:p>
    <w:p w14:paraId="7F443016" w14:textId="77777777" w:rsidR="00E04270" w:rsidRPr="00E04270" w:rsidRDefault="00000000" w:rsidP="0003471C">
      <w:pPr>
        <w:spacing w:before="120"/>
        <w:jc w:val="both"/>
        <w:rPr>
          <w:rFonts w:ascii="Arial" w:eastAsia="Times New Roman" w:hAnsi="Arial" w:cs="Times New Roman"/>
          <w:sz w:val="20"/>
          <w:szCs w:val="20"/>
        </w:rPr>
      </w:pPr>
      <w:r w:rsidRPr="001839D3">
        <w:rPr>
          <w:rFonts w:ascii="Arial" w:eastAsia="Times New Roman" w:hAnsi="Arial" w:cs="Times New Roman"/>
          <w:b/>
          <w:color w:val="ED0000"/>
          <w:sz w:val="20"/>
          <w:szCs w:val="20"/>
        </w:rPr>
        <w:lastRenderedPageBreak/>
        <w:t>{OR}</w:t>
      </w:r>
    </w:p>
    <w:p w14:paraId="712A45EC" w14:textId="77777777" w:rsidR="00E04270" w:rsidRPr="00E04270" w:rsidRDefault="00000000" w:rsidP="0003471C">
      <w:pPr>
        <w:spacing w:before="120"/>
        <w:rPr>
          <w:rFonts w:ascii="Arial" w:eastAsia="Times New Roman" w:hAnsi="Arial" w:cs="Times New Roman"/>
          <w:b/>
          <w:sz w:val="20"/>
          <w:szCs w:val="20"/>
        </w:rPr>
      </w:pPr>
      <w:r w:rsidRPr="00E04270">
        <w:rPr>
          <w:rFonts w:ascii="Arial" w:eastAsia="Times New Roman" w:hAnsi="Arial" w:cs="Times New Roman"/>
          <w:sz w:val="20"/>
          <w:szCs w:val="20"/>
        </w:rPr>
        <w:t xml:space="preserve">The permittee certified in the ROP application that this stationary source is in compliance with all applicable requirements and the permittee shall continue to comply with all terms and conditions of this ROP.  A Schedule of Compliance is not required.  </w:t>
      </w:r>
      <w:r w:rsidRPr="00E04270">
        <w:rPr>
          <w:rFonts w:ascii="Arial" w:eastAsia="Times New Roman" w:hAnsi="Arial" w:cs="Times New Roman"/>
          <w:b/>
          <w:sz w:val="20"/>
          <w:szCs w:val="20"/>
        </w:rPr>
        <w:t>(R 336.1213(4)(a), R 336.1119(a)(ii))</w:t>
      </w:r>
    </w:p>
    <w:p w14:paraId="332D84E2" w14:textId="77777777" w:rsidR="00E04270" w:rsidRPr="00E04270" w:rsidRDefault="00000000" w:rsidP="0003471C">
      <w:pPr>
        <w:pStyle w:val="Heading4C"/>
      </w:pPr>
      <w:r w:rsidRPr="00E04270">
        <w:t>Appendix 3.  Monitoring Requirements</w:t>
      </w:r>
      <w:bookmarkEnd w:id="26"/>
    </w:p>
    <w:p w14:paraId="302AC6B9" w14:textId="77777777" w:rsidR="00E04270" w:rsidRPr="00E04270" w:rsidRDefault="00000000" w:rsidP="0003471C">
      <w:pPr>
        <w:spacing w:before="240" w:after="240"/>
        <w:rPr>
          <w:rFonts w:ascii="Arial" w:eastAsia="Times New Roman" w:hAnsi="Arial" w:cs="Times New Roman"/>
          <w:sz w:val="20"/>
          <w:szCs w:val="20"/>
        </w:rPr>
      </w:pPr>
      <w:r w:rsidRPr="00E04270">
        <w:rPr>
          <w:rFonts w:ascii="Arial" w:eastAsia="Times New Roman" w:hAnsi="Arial" w:cs="Times New Roman"/>
          <w:sz w:val="20"/>
          <w:szCs w:val="20"/>
        </w:rPr>
        <w:t>Specific monitoring requirement procedures, methods or specifications are detailed in Part A or the appropriate Source-Wide, Emission Unit and/or Flexible Group Special Conditions.  Therefore, this appendix is not applicable.</w:t>
      </w:r>
    </w:p>
    <w:p w14:paraId="1CFD0B12" w14:textId="77777777" w:rsidR="00E04270" w:rsidRPr="00E04270" w:rsidRDefault="00000000" w:rsidP="0003471C">
      <w:pPr>
        <w:pStyle w:val="Heading4C"/>
      </w:pPr>
      <w:bookmarkStart w:id="27" w:name="_Toc32635136"/>
      <w:r w:rsidRPr="00E04270">
        <w:t>Appendix 4.  Recordkeeping</w:t>
      </w:r>
      <w:bookmarkEnd w:id="27"/>
    </w:p>
    <w:p w14:paraId="03620770" w14:textId="77777777" w:rsidR="00E04270" w:rsidRPr="00E04270" w:rsidRDefault="00000000" w:rsidP="0003471C">
      <w:pPr>
        <w:spacing w:before="240" w:after="240"/>
        <w:rPr>
          <w:rFonts w:ascii="Arial" w:eastAsia="Times New Roman" w:hAnsi="Arial" w:cs="Times New Roman"/>
          <w:sz w:val="20"/>
          <w:szCs w:val="20"/>
        </w:rPr>
      </w:pPr>
      <w:r w:rsidRPr="00E04270">
        <w:rPr>
          <w:rFonts w:ascii="Arial" w:eastAsia="Times New Roman" w:hAnsi="Arial" w:cs="Times New Roman"/>
          <w:sz w:val="20"/>
          <w:szCs w:val="20"/>
        </w:rPr>
        <w:t>Specific recordkeeping requirement formats and procedures are detailed in Part A or the appropriate Source-Wide, Emission Unit and/or Flexible Group Special Conditions.  Therefore, this appendix is not applicable.</w:t>
      </w:r>
    </w:p>
    <w:p w14:paraId="142E7520" w14:textId="77777777" w:rsidR="00E04270" w:rsidRPr="0003471C" w:rsidRDefault="00000000" w:rsidP="0003471C">
      <w:pPr>
        <w:pStyle w:val="Heading4C"/>
      </w:pPr>
      <w:bookmarkStart w:id="28" w:name="_Toc32635137"/>
      <w:bookmarkStart w:id="29" w:name="_Toc390499894"/>
      <w:bookmarkStart w:id="30" w:name="_Toc390500323"/>
      <w:bookmarkStart w:id="31" w:name="_Toc390504376"/>
      <w:bookmarkStart w:id="32" w:name="_Toc390570166"/>
      <w:bookmarkStart w:id="33" w:name="_Toc391182900"/>
      <w:bookmarkStart w:id="34" w:name="_Toc437238964"/>
      <w:bookmarkStart w:id="35" w:name="_Toc451333041"/>
      <w:bookmarkStart w:id="36" w:name="_Toc1453521"/>
      <w:bookmarkEnd w:id="15"/>
      <w:bookmarkEnd w:id="16"/>
      <w:bookmarkEnd w:id="17"/>
      <w:r w:rsidRPr="0003471C">
        <w:t>Appendix 5.  Testing Procedures</w:t>
      </w:r>
      <w:bookmarkEnd w:id="28"/>
    </w:p>
    <w:p w14:paraId="78D03ABC" w14:textId="77777777" w:rsidR="00E04270" w:rsidRPr="00E04270" w:rsidRDefault="00000000" w:rsidP="0003471C">
      <w:pPr>
        <w:spacing w:before="240" w:after="240"/>
        <w:rPr>
          <w:rFonts w:ascii="Arial" w:eastAsia="Times New Roman" w:hAnsi="Arial" w:cs="Times New Roman"/>
          <w:sz w:val="20"/>
          <w:szCs w:val="20"/>
        </w:rPr>
      </w:pPr>
      <w:r w:rsidRPr="00E04270">
        <w:rPr>
          <w:rFonts w:ascii="Arial" w:eastAsia="Times New Roman" w:hAnsi="Arial" w:cs="Times New Roman"/>
          <w:sz w:val="20"/>
          <w:szCs w:val="20"/>
        </w:rPr>
        <w:t xml:space="preserve">The permittee must use the following approved procedures, to measure the pollutant emissions for the applicable requirements referenced in FGLANDFILL-OOO&lt;34.  </w:t>
      </w:r>
      <w:r w:rsidRPr="00E04270">
        <w:rPr>
          <w:rFonts w:ascii="Arial" w:eastAsia="Times New Roman" w:hAnsi="Arial" w:cs="Times New Roman"/>
          <w:b/>
          <w:bCs/>
          <w:sz w:val="20"/>
          <w:szCs w:val="20"/>
        </w:rPr>
        <w:t>(40 CFR 62.16718(a))</w:t>
      </w:r>
    </w:p>
    <w:p w14:paraId="71E6C681" w14:textId="77777777" w:rsidR="00E04270" w:rsidRPr="00E04270" w:rsidRDefault="00000000" w:rsidP="0003471C">
      <w:pPr>
        <w:pStyle w:val="Caption3"/>
        <w:jc w:val="left"/>
      </w:pPr>
      <w:r w:rsidRPr="00E04270">
        <w:t>Tier 2</w:t>
      </w:r>
    </w:p>
    <w:p w14:paraId="3D5A2B77"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The permittee must determine the site-specific NMOC concentration using the following sampling procedure.  The permittee must install at least two sample probes per hectare, evenly distributed over the landfill surface that has retained waste for at least 2 years.  If the landfill is larger than 25 hectares in area, only 50 samples are required.  The sample probes should be evenly distributed across the sample area.  The sample probes should be located to avoid known areas of nondegradable solid waste.  </w:t>
      </w:r>
    </w:p>
    <w:p w14:paraId="47423D96"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The permittee must collect and analyze one sample of landfill gas from each probe to determine the NMOC concentration using 40 CFR Part 60, Appendix A-7, Methods 25 or 25C.  Taking composite samples from different probes into a single cylinder is allowed; however, equal sample volumes must be taken from each probe.  For each composite, the sampling rate, collection times, beginning and ending cylinder vacuums, or alternative volume measurements must be recorded to verify that composite volumes are equal.  Composite sample volumes should not be less than one liter unless evidence can be provided to substantiate the accuracy of smaller volumes.  Terminate compositing before the cylinder approaches ambient pressure where measurement accuracy diminishes.  If more than the required number of samples is taken, all samples must be used in the analysis.  The permittee must divide the NMOC concentration from 40 CFR Part 60, Appendix A-7, Method 25 or 25C by six (6) to convert from C</w:t>
      </w:r>
      <w:r w:rsidRPr="00E04270">
        <w:rPr>
          <w:rFonts w:ascii="Arial" w:eastAsia="Times New Roman" w:hAnsi="Arial" w:cs="Arial"/>
          <w:sz w:val="20"/>
          <w:szCs w:val="20"/>
          <w:shd w:val="clear" w:color="auto" w:fill="E6E6E6"/>
          <w:vertAlign w:val="subscript"/>
        </w:rPr>
        <w:t>NMOC</w:t>
      </w:r>
      <w:r w:rsidRPr="00E04270">
        <w:rPr>
          <w:rFonts w:ascii="Arial" w:eastAsia="Times New Roman" w:hAnsi="Arial" w:cs="Arial"/>
          <w:sz w:val="20"/>
          <w:szCs w:val="20"/>
        </w:rPr>
        <w:t xml:space="preserve"> as carbon to C</w:t>
      </w:r>
      <w:r w:rsidRPr="00E04270">
        <w:rPr>
          <w:rFonts w:ascii="Arial" w:eastAsia="Times New Roman" w:hAnsi="Arial" w:cs="Arial"/>
          <w:sz w:val="20"/>
          <w:szCs w:val="20"/>
          <w:shd w:val="clear" w:color="auto" w:fill="E6E6E6"/>
          <w:vertAlign w:val="subscript"/>
        </w:rPr>
        <w:t>NMOC</w:t>
      </w:r>
      <w:r w:rsidRPr="00E04270">
        <w:rPr>
          <w:rFonts w:ascii="Arial" w:eastAsia="Times New Roman" w:hAnsi="Arial" w:cs="Arial"/>
          <w:color w:val="2B579A"/>
          <w:sz w:val="20"/>
          <w:szCs w:val="20"/>
          <w:shd w:val="clear" w:color="auto" w:fill="E6E6E6"/>
          <w:vertAlign w:val="subscript"/>
        </w:rPr>
        <w:t xml:space="preserve"> </w:t>
      </w:r>
      <w:r w:rsidRPr="00E04270">
        <w:rPr>
          <w:rFonts w:ascii="Arial" w:eastAsia="Times New Roman" w:hAnsi="Arial" w:cs="Arial"/>
          <w:sz w:val="20"/>
          <w:szCs w:val="20"/>
        </w:rPr>
        <w:t xml:space="preserve">as hexane.  If the landfill has an active or passive gas removal system in place, Method 25 or 25C samples may be collected from these systems instead of surface probes provided the removal system can be shown to provide sampling as representative as the two-sampling probes per hectare requirement.  For active collection systems, samples may be collected from the common header pipe.  The sample location on the common header pipe must be before any gas moving, condensate removal, or treatment system equipment.  For active collection systems, a minimum of three (3) samples must be collected from the header pipe.  </w:t>
      </w:r>
      <w:r w:rsidRPr="00E04270">
        <w:rPr>
          <w:rFonts w:ascii="Arial" w:eastAsia="Times New Roman" w:hAnsi="Arial" w:cs="Arial"/>
          <w:b/>
          <w:bCs/>
          <w:sz w:val="20"/>
          <w:szCs w:val="20"/>
        </w:rPr>
        <w:t>(40 CFR 62.16718(a)(3))</w:t>
      </w:r>
      <w:smartTag w:uri="urn:schemas-microsoft-com:office:smarttags" w:element="stockticker"/>
    </w:p>
    <w:p w14:paraId="11722310" w14:textId="77777777" w:rsidR="00E04270" w:rsidRPr="00E04270" w:rsidRDefault="00000000" w:rsidP="0003471C">
      <w:pPr>
        <w:pStyle w:val="Caption3"/>
      </w:pPr>
      <w:r w:rsidRPr="00E04270">
        <w:t>Tier 3</w:t>
      </w:r>
    </w:p>
    <w:p w14:paraId="62B7E557" w14:textId="77777777" w:rsidR="00E04270" w:rsidRPr="00E04270" w:rsidRDefault="00000000" w:rsidP="0003471C">
      <w:pPr>
        <w:spacing w:before="120"/>
        <w:rPr>
          <w:rFonts w:ascii="Arial" w:eastAsia="Times New Roman" w:hAnsi="Arial" w:cs="Arial"/>
          <w:b/>
          <w:bCs/>
          <w:sz w:val="20"/>
          <w:szCs w:val="20"/>
        </w:rPr>
      </w:pPr>
      <w:r w:rsidRPr="00E04270">
        <w:rPr>
          <w:rFonts w:ascii="Arial" w:eastAsia="Times New Roman" w:hAnsi="Arial" w:cs="Arial"/>
          <w:sz w:val="20"/>
          <w:szCs w:val="20"/>
        </w:rPr>
        <w:t xml:space="preserve">The site-specific methane generation rate constant must be determined using the procedures provided in 40 CFR Part 60, Appendix A-1, Method 2E.  The permittee must estimate the NMOC mass emission rate using </w:t>
      </w:r>
      <w:r w:rsidRPr="00E04270">
        <w:rPr>
          <w:rFonts w:ascii="Arial" w:eastAsia="Times New Roman" w:hAnsi="Arial" w:cs="Arial"/>
          <w:b/>
          <w:bCs/>
          <w:sz w:val="20"/>
          <w:szCs w:val="20"/>
        </w:rPr>
        <w:t>Equation 1</w:t>
      </w:r>
      <w:r w:rsidRPr="00E04270">
        <w:rPr>
          <w:rFonts w:ascii="Arial" w:eastAsia="Times New Roman" w:hAnsi="Arial" w:cs="Arial"/>
          <w:sz w:val="20"/>
          <w:szCs w:val="20"/>
        </w:rPr>
        <w:t xml:space="preserve"> (40 CFR 62.16718(a)(1)(</w:t>
      </w:r>
      <w:proofErr w:type="spellStart"/>
      <w:r w:rsidRPr="00E04270">
        <w:rPr>
          <w:rFonts w:ascii="Arial" w:eastAsia="Times New Roman" w:hAnsi="Arial" w:cs="Arial"/>
          <w:sz w:val="20"/>
          <w:szCs w:val="20"/>
        </w:rPr>
        <w:t>i</w:t>
      </w:r>
      <w:proofErr w:type="spellEnd"/>
      <w:r w:rsidRPr="00E04270">
        <w:rPr>
          <w:rFonts w:ascii="Arial" w:eastAsia="Times New Roman" w:hAnsi="Arial" w:cs="Arial"/>
          <w:sz w:val="20"/>
          <w:szCs w:val="20"/>
        </w:rPr>
        <w:t xml:space="preserve">)) or </w:t>
      </w:r>
      <w:r w:rsidRPr="00E04270">
        <w:rPr>
          <w:rFonts w:ascii="Arial" w:eastAsia="Times New Roman" w:hAnsi="Arial" w:cs="Arial"/>
          <w:b/>
          <w:bCs/>
          <w:sz w:val="20"/>
          <w:szCs w:val="20"/>
        </w:rPr>
        <w:t>Equation 2</w:t>
      </w:r>
      <w:r w:rsidRPr="00E04270">
        <w:rPr>
          <w:rFonts w:ascii="Arial" w:eastAsia="Times New Roman" w:hAnsi="Arial" w:cs="Arial"/>
          <w:sz w:val="20"/>
          <w:szCs w:val="20"/>
        </w:rPr>
        <w:t xml:space="preserve"> (40 CFR 62.16718(a)(1)(ii)) and using a site-specific methane generation rate constant (k), and the site-specific NMOC concentration as determined in 40 CFR 62.16718(a)(3) instead of the default values provided in 40 CFR 62.16718(a)(1).  The permittee must compare the resulting NMOC mass emission rate to the standard of 34 Mg per year.  </w:t>
      </w:r>
      <w:bookmarkStart w:id="37" w:name="_Hlk85720674"/>
      <w:r w:rsidRPr="00E04270">
        <w:rPr>
          <w:rFonts w:ascii="Arial" w:eastAsia="Times New Roman" w:hAnsi="Arial" w:cs="Arial"/>
          <w:b/>
          <w:bCs/>
          <w:sz w:val="20"/>
          <w:szCs w:val="20"/>
        </w:rPr>
        <w:t>(40 CFR 62.16718(a</w:t>
      </w:r>
      <w:bookmarkEnd w:id="37"/>
      <w:r w:rsidRPr="00E04270">
        <w:rPr>
          <w:rFonts w:ascii="Arial" w:eastAsia="Times New Roman" w:hAnsi="Arial" w:cs="Arial"/>
          <w:b/>
          <w:bCs/>
          <w:sz w:val="20"/>
          <w:szCs w:val="20"/>
        </w:rPr>
        <w:t>)(4))</w:t>
      </w:r>
    </w:p>
    <w:p w14:paraId="716DF440" w14:textId="77777777" w:rsidR="00E04270" w:rsidRPr="00E04270" w:rsidRDefault="00000000" w:rsidP="0003471C">
      <w:pPr>
        <w:pStyle w:val="Caption3"/>
      </w:pPr>
      <w:r w:rsidRPr="00E04270">
        <w:t>Tier 4</w:t>
      </w:r>
    </w:p>
    <w:p w14:paraId="22402606"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lastRenderedPageBreak/>
        <w:t xml:space="preserve">The permittee must demonstrate that surface methane emissions are below 500 ppm.  Surface emission monitoring must be conducted on a quarterly basis using the following procedures.  Tier 4 is allowed only if the permittee can demonstrate that NMOC emissions are greater than or equal to 34 Mg/yr but less than 50 Mg/yr using Tier 1 or Tier 2.  If both Tier 1 and Tier 2 indicate NMOC emissions are 50 Mg/yr or greater, then Tier 4 cannot be used. </w:t>
      </w:r>
    </w:p>
    <w:p w14:paraId="130C7219"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The permittee must measure surface concentrations of methane along the entire perimeter of the landfill and along a pattern that traverses the landfill at no more than 30-meter intervals using an organic vapor analyzer, flame ionization detector, or other portable monitor meeting the specifications provided in 40 CFR 62.16720(d).  The background concentration must be determined by moving the probe inlet upwind and downwind at least 30 meters from the waste mass boundary of the landfill.</w:t>
      </w:r>
    </w:p>
    <w:p w14:paraId="12CC3913"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Surface emission monitoring (SEM) must be performed in accordance with 40 CFR Part 60, Appendix A-7, Section 8.3.1 of Method 21 except that the probe inlet must be placed no more than 5 centimeters above the landfill surface; the constant measurement of distance above the surface should be based on a mechanical device such as with a wheel on a pole.  The permittee must use a wind barrier, similar to a funnel, when onsite average wind speed exceeds 4 miles per hour or 2 meters per second or gust exceeding 10 miles per hour.  Average on-site wind speed must also be determined in an open area at 5-minute intervals using an on-site anemometer with a continuous recorder and data logger for the entire duration of the monitoring event.  The wind barrier must surround the SEM monitor, and must be placed on the ground, to ensure wind turbulence is blocked.  SEM cannot be conducted if average wind speed exceeds 25 miles per hour.</w:t>
      </w:r>
    </w:p>
    <w:p w14:paraId="4EE2AD4E"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Landfill surface areas where visual observations indicate elevated concentrations of landfill gas, such as distressed vegetation and cracks or seeps in the cover, and all cover penetrations must also be monitored using a device meeting the specifications provided in 40 CFR 62.16720(d).</w:t>
      </w:r>
    </w:p>
    <w:p w14:paraId="7534FB1E"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Each permittee seeking to comply with the Tier 4 provisions must maintain records of surface emission monitoring as provided in 40 CFR 62.16726(g) and submit a Tier 4 surface emissions report as provided in 40 CFR 62.16724(d)(4)(iii).</w:t>
      </w:r>
    </w:p>
    <w:p w14:paraId="72C92635" w14:textId="77777777" w:rsidR="00E04270" w:rsidRPr="00E04270" w:rsidRDefault="00000000" w:rsidP="0003471C">
      <w:pPr>
        <w:spacing w:before="120" w:after="120"/>
        <w:rPr>
          <w:rFonts w:ascii="Arial" w:eastAsia="Times New Roman" w:hAnsi="Arial" w:cs="Times New Roman"/>
          <w:sz w:val="20"/>
          <w:szCs w:val="20"/>
        </w:rPr>
      </w:pPr>
      <w:r w:rsidRPr="00E04270">
        <w:rPr>
          <w:rFonts w:ascii="Arial" w:eastAsia="Times New Roman" w:hAnsi="Arial" w:cs="Times New Roman"/>
          <w:sz w:val="20"/>
          <w:szCs w:val="20"/>
        </w:rPr>
        <w:t>If a landfill has installed and operates a collection and control system that is not required by this subpart, then the collection and control system must meet the following criteria:</w:t>
      </w:r>
      <w:r w:rsidRPr="00E04270">
        <w:rPr>
          <w:rFonts w:ascii="Arial" w:eastAsia="Times New Roman" w:hAnsi="Arial" w:cs="Arial"/>
          <w:b/>
          <w:sz w:val="20"/>
          <w:szCs w:val="20"/>
        </w:rPr>
        <w:t xml:space="preserve">  (40 CFR 62.16718(a)(6)(viii))</w:t>
      </w:r>
    </w:p>
    <w:p w14:paraId="29CBA742" w14:textId="77777777" w:rsidR="00E04270" w:rsidRPr="00E04270" w:rsidRDefault="00000000" w:rsidP="0003471C">
      <w:pPr>
        <w:spacing w:before="120" w:after="120"/>
        <w:ind w:left="360" w:hanging="360"/>
        <w:rPr>
          <w:rFonts w:ascii="Arial" w:eastAsia="Times New Roman" w:hAnsi="Arial" w:cs="Times New Roman"/>
          <w:sz w:val="20"/>
          <w:szCs w:val="20"/>
        </w:rPr>
      </w:pPr>
      <w:r w:rsidRPr="00E04270">
        <w:rPr>
          <w:rFonts w:ascii="Arial" w:eastAsia="Times New Roman" w:hAnsi="Arial" w:cs="Times New Roman"/>
          <w:sz w:val="20"/>
          <w:szCs w:val="20"/>
        </w:rPr>
        <w:t>(A) The gas collection and control system must have operated for at least 6,570 out of 8,760 hours preceding the Tier 4 surface emissions monitoring demonstration.</w:t>
      </w:r>
    </w:p>
    <w:p w14:paraId="04DC46F4" w14:textId="77777777" w:rsidR="00E04270" w:rsidRPr="00E04270" w:rsidRDefault="00000000" w:rsidP="0003471C">
      <w:pPr>
        <w:spacing w:before="120"/>
        <w:ind w:left="360" w:hanging="360"/>
        <w:rPr>
          <w:rFonts w:ascii="Arial" w:eastAsia="Times New Roman" w:hAnsi="Arial" w:cs="Times New Roman"/>
          <w:sz w:val="20"/>
          <w:szCs w:val="20"/>
        </w:rPr>
      </w:pPr>
      <w:r w:rsidRPr="00E04270">
        <w:rPr>
          <w:rFonts w:ascii="Arial" w:eastAsia="Times New Roman" w:hAnsi="Arial" w:cs="Times New Roman"/>
          <w:sz w:val="20"/>
          <w:szCs w:val="20"/>
        </w:rPr>
        <w:t>(B) During the Tier 4 surface emissions monitoring demonstration, the gas collection and control system must operate as it normally would to collect and control as much landfill gas as possible.</w:t>
      </w:r>
    </w:p>
    <w:p w14:paraId="74E12F64" w14:textId="77777777" w:rsidR="00E04270" w:rsidRPr="0003471C" w:rsidRDefault="00000000" w:rsidP="0003471C">
      <w:pPr>
        <w:pStyle w:val="Heading4C"/>
      </w:pPr>
      <w:r w:rsidRPr="0003471C">
        <w:t>Appendix 6.  Permit to Install</w:t>
      </w:r>
    </w:p>
    <w:p w14:paraId="2D15B58B" w14:textId="77777777" w:rsidR="00E04270" w:rsidRPr="001839D3" w:rsidRDefault="00000000" w:rsidP="0003471C">
      <w:pPr>
        <w:spacing w:before="120"/>
        <w:jc w:val="both"/>
        <w:rPr>
          <w:rFonts w:ascii="Arial" w:eastAsia="Times New Roman" w:hAnsi="Arial" w:cs="Arial"/>
          <w:b/>
          <w:color w:val="ED0000"/>
          <w:sz w:val="20"/>
          <w:szCs w:val="20"/>
        </w:rPr>
      </w:pPr>
      <w:r w:rsidRPr="001839D3">
        <w:rPr>
          <w:rFonts w:ascii="Arial" w:eastAsia="Times New Roman" w:hAnsi="Arial" w:cs="Arial"/>
          <w:b/>
          <w:color w:val="ED0000"/>
          <w:sz w:val="20"/>
          <w:szCs w:val="20"/>
        </w:rPr>
        <w:t>{CHOOSE ONE}</w:t>
      </w:r>
    </w:p>
    <w:p w14:paraId="6A77AEB6" w14:textId="77777777" w:rsidR="00E04270" w:rsidRPr="001839D3" w:rsidRDefault="00000000" w:rsidP="0003471C">
      <w:pPr>
        <w:spacing w:before="120"/>
        <w:jc w:val="both"/>
        <w:rPr>
          <w:rFonts w:ascii="Arial" w:eastAsia="Times New Roman" w:hAnsi="Arial" w:cs="Times New Roman"/>
          <w:bCs/>
          <w:color w:val="ED0000"/>
          <w:sz w:val="20"/>
          <w:szCs w:val="20"/>
        </w:rPr>
      </w:pPr>
      <w:r w:rsidRPr="001839D3">
        <w:rPr>
          <w:rFonts w:ascii="Arial" w:eastAsia="Times New Roman" w:hAnsi="Arial" w:cs="Times New Roman"/>
          <w:bCs/>
          <w:color w:val="ED0000"/>
          <w:sz w:val="20"/>
          <w:szCs w:val="20"/>
        </w:rPr>
        <w:t>{For Initial ROP Issuance}</w:t>
      </w:r>
    </w:p>
    <w:p w14:paraId="0C765E34" w14:textId="357EBF68"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 xml:space="preserve">The following table lists any Permit to Install and/or </w:t>
      </w:r>
      <w:proofErr w:type="gramStart"/>
      <w:r w:rsidRPr="00E04270">
        <w:rPr>
          <w:rFonts w:ascii="Arial" w:eastAsia="Times New Roman" w:hAnsi="Arial" w:cs="Times New Roman"/>
          <w:sz w:val="20"/>
          <w:szCs w:val="20"/>
        </w:rPr>
        <w:t>Operate</w:t>
      </w:r>
      <w:proofErr w:type="gramEnd"/>
      <w:r w:rsidRPr="00E04270">
        <w:rPr>
          <w:rFonts w:ascii="Arial" w:eastAsia="Times New Roman" w:hAnsi="Arial" w:cs="Times New Roman"/>
          <w:sz w:val="20"/>
          <w:szCs w:val="20"/>
        </w:rPr>
        <w:t xml:space="preserve">, that relates to the identified emission units or flexible groups as of the effective date of this ROP.  This includes all Permits to Install and/or </w:t>
      </w:r>
      <w:proofErr w:type="gramStart"/>
      <w:r w:rsidRPr="00E04270">
        <w:rPr>
          <w:rFonts w:ascii="Arial" w:eastAsia="Times New Roman" w:hAnsi="Arial" w:cs="Times New Roman"/>
          <w:sz w:val="20"/>
          <w:szCs w:val="20"/>
        </w:rPr>
        <w:t>Operate</w:t>
      </w:r>
      <w:proofErr w:type="gramEnd"/>
      <w:r w:rsidRPr="00E04270">
        <w:rPr>
          <w:rFonts w:ascii="Arial" w:eastAsia="Times New Roman" w:hAnsi="Arial" w:cs="Times New Roman"/>
          <w:sz w:val="20"/>
          <w:szCs w:val="20"/>
        </w:rPr>
        <w:t xml:space="preserve"> that are hereby incorporated into Source-Wide PTI No. </w:t>
      </w:r>
      <w:r w:rsidR="00E9538F">
        <w:rPr>
          <w:rFonts w:ascii="Arial" w:eastAsia="Times New Roman" w:hAnsi="Arial" w:cs="Times New Roman"/>
          <w:sz w:val="20"/>
          <w:szCs w:val="20"/>
        </w:rPr>
        <w:t>SW</w:t>
      </w:r>
      <w:r w:rsidRPr="00E04270">
        <w:rPr>
          <w:rFonts w:ascii="Arial" w:eastAsia="Times New Roman" w:hAnsi="Arial" w:cs="Times New Roman"/>
          <w:sz w:val="20"/>
          <w:szCs w:val="20"/>
        </w:rPr>
        <w:t>PTI</w:t>
      </w:r>
      <w:r w:rsidR="00E9538F" w:rsidRPr="001839D3">
        <w:rPr>
          <w:rFonts w:ascii="Arial" w:eastAsia="Times New Roman" w:hAnsi="Arial" w:cs="Times New Roman"/>
          <w:color w:val="ED0000"/>
          <w:sz w:val="20"/>
          <w:szCs w:val="20"/>
        </w:rPr>
        <w:t>####### v#.#</w:t>
      </w:r>
      <w:r w:rsidRPr="00E04270">
        <w:rPr>
          <w:rFonts w:ascii="Arial" w:eastAsia="Times New Roman" w:hAnsi="Arial" w:cs="Times New Roman"/>
          <w:sz w:val="20"/>
          <w:szCs w:val="20"/>
        </w:rPr>
        <w:t xml:space="preserve">.  PTIs issued after the effective date of this ROP, including amendments or modifications, will be identified in Appendix 6 upon renewal.  </w:t>
      </w:r>
    </w:p>
    <w:tbl>
      <w:tblPr>
        <w:tblW w:w="10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1"/>
        <w:gridCol w:w="4320"/>
        <w:gridCol w:w="2934"/>
      </w:tblGrid>
      <w:tr w:rsidR="00EE4ACD" w14:paraId="506C0E29" w14:textId="77777777" w:rsidTr="0003471C">
        <w:trPr>
          <w:tblHeader/>
          <w:jc w:val="center"/>
        </w:trPr>
        <w:tc>
          <w:tcPr>
            <w:tcW w:w="2921" w:type="dxa"/>
            <w:shd w:val="pct10" w:color="auto" w:fill="auto"/>
          </w:tcPr>
          <w:p w14:paraId="49406B36"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 xml:space="preserve">Permit to Install Number </w:t>
            </w:r>
          </w:p>
        </w:tc>
        <w:tc>
          <w:tcPr>
            <w:tcW w:w="4320" w:type="dxa"/>
            <w:shd w:val="pct10" w:color="auto" w:fill="auto"/>
          </w:tcPr>
          <w:p w14:paraId="475DC7B1"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Description of Equipment</w:t>
            </w:r>
          </w:p>
        </w:tc>
        <w:tc>
          <w:tcPr>
            <w:tcW w:w="2934" w:type="dxa"/>
            <w:shd w:val="pct10" w:color="auto" w:fill="auto"/>
          </w:tcPr>
          <w:p w14:paraId="73C2994E"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Corresponding Emission Unit(s) or</w:t>
            </w:r>
          </w:p>
          <w:p w14:paraId="0B803488"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Flexible Group(s)</w:t>
            </w:r>
          </w:p>
        </w:tc>
      </w:tr>
      <w:tr w:rsidR="00EE4ACD" w14:paraId="514C5A00" w14:textId="77777777" w:rsidTr="0003471C">
        <w:trPr>
          <w:jc w:val="center"/>
        </w:trPr>
        <w:tc>
          <w:tcPr>
            <w:tcW w:w="2921" w:type="dxa"/>
          </w:tcPr>
          <w:p w14:paraId="5C68230B" w14:textId="77777777" w:rsidR="00E04270" w:rsidRPr="00E04270" w:rsidRDefault="00E04270" w:rsidP="0003471C">
            <w:pPr>
              <w:spacing w:before="60" w:after="60"/>
              <w:rPr>
                <w:rFonts w:ascii="Arial" w:eastAsia="Times New Roman" w:hAnsi="Arial" w:cs="Arial"/>
                <w:sz w:val="20"/>
                <w:szCs w:val="20"/>
              </w:rPr>
            </w:pPr>
          </w:p>
        </w:tc>
        <w:tc>
          <w:tcPr>
            <w:tcW w:w="4320" w:type="dxa"/>
          </w:tcPr>
          <w:p w14:paraId="22154945" w14:textId="77777777" w:rsidR="00E04270" w:rsidRPr="00E04270" w:rsidRDefault="00E04270" w:rsidP="0003471C">
            <w:pPr>
              <w:spacing w:before="60" w:after="60"/>
              <w:rPr>
                <w:rFonts w:ascii="Arial" w:eastAsia="Times New Roman" w:hAnsi="Arial" w:cs="Arial"/>
                <w:sz w:val="20"/>
                <w:szCs w:val="20"/>
              </w:rPr>
            </w:pPr>
          </w:p>
        </w:tc>
        <w:tc>
          <w:tcPr>
            <w:tcW w:w="2934" w:type="dxa"/>
          </w:tcPr>
          <w:p w14:paraId="25A8A19A" w14:textId="77777777" w:rsidR="00E04270" w:rsidRPr="00E04270" w:rsidRDefault="00E04270" w:rsidP="0003471C">
            <w:pPr>
              <w:spacing w:before="60" w:after="60"/>
              <w:rPr>
                <w:rFonts w:ascii="Arial" w:eastAsia="Times New Roman" w:hAnsi="Arial" w:cs="Arial"/>
                <w:sz w:val="20"/>
                <w:szCs w:val="20"/>
              </w:rPr>
            </w:pPr>
          </w:p>
        </w:tc>
      </w:tr>
      <w:tr w:rsidR="00EE4ACD" w14:paraId="0794C904" w14:textId="77777777" w:rsidTr="0003471C">
        <w:trPr>
          <w:jc w:val="center"/>
        </w:trPr>
        <w:tc>
          <w:tcPr>
            <w:tcW w:w="2921" w:type="dxa"/>
          </w:tcPr>
          <w:p w14:paraId="79258FA8" w14:textId="77777777" w:rsidR="00E04270" w:rsidRPr="00E04270" w:rsidRDefault="00E04270" w:rsidP="0003471C">
            <w:pPr>
              <w:spacing w:before="60" w:after="60"/>
              <w:rPr>
                <w:rFonts w:ascii="Arial" w:eastAsia="Times New Roman" w:hAnsi="Arial" w:cs="Arial"/>
                <w:sz w:val="20"/>
                <w:szCs w:val="20"/>
              </w:rPr>
            </w:pPr>
          </w:p>
        </w:tc>
        <w:tc>
          <w:tcPr>
            <w:tcW w:w="4320" w:type="dxa"/>
          </w:tcPr>
          <w:p w14:paraId="3105222F" w14:textId="77777777" w:rsidR="00E04270" w:rsidRPr="00E04270" w:rsidRDefault="00E04270" w:rsidP="0003471C">
            <w:pPr>
              <w:spacing w:before="60" w:after="60"/>
              <w:rPr>
                <w:rFonts w:ascii="Arial" w:eastAsia="Times New Roman" w:hAnsi="Arial" w:cs="Arial"/>
                <w:sz w:val="20"/>
                <w:szCs w:val="20"/>
              </w:rPr>
            </w:pPr>
          </w:p>
        </w:tc>
        <w:tc>
          <w:tcPr>
            <w:tcW w:w="2934" w:type="dxa"/>
          </w:tcPr>
          <w:p w14:paraId="2CFD2C2F" w14:textId="77777777" w:rsidR="00E04270" w:rsidRPr="00E04270" w:rsidRDefault="00E04270" w:rsidP="0003471C">
            <w:pPr>
              <w:spacing w:before="60" w:after="60"/>
              <w:rPr>
                <w:rFonts w:ascii="Arial" w:eastAsia="Times New Roman" w:hAnsi="Arial" w:cs="Arial"/>
                <w:sz w:val="20"/>
                <w:szCs w:val="20"/>
              </w:rPr>
            </w:pPr>
          </w:p>
        </w:tc>
      </w:tr>
      <w:tr w:rsidR="00EE4ACD" w14:paraId="773774C4" w14:textId="77777777" w:rsidTr="0003471C">
        <w:trPr>
          <w:jc w:val="center"/>
        </w:trPr>
        <w:tc>
          <w:tcPr>
            <w:tcW w:w="2921" w:type="dxa"/>
          </w:tcPr>
          <w:p w14:paraId="71F04BEF" w14:textId="77777777" w:rsidR="00E04270" w:rsidRPr="00E04270" w:rsidRDefault="00E04270" w:rsidP="0003471C">
            <w:pPr>
              <w:spacing w:before="60" w:after="60"/>
              <w:rPr>
                <w:rFonts w:ascii="Arial" w:eastAsia="Times New Roman" w:hAnsi="Arial" w:cs="Arial"/>
                <w:sz w:val="20"/>
                <w:szCs w:val="20"/>
              </w:rPr>
            </w:pPr>
          </w:p>
        </w:tc>
        <w:tc>
          <w:tcPr>
            <w:tcW w:w="4320" w:type="dxa"/>
          </w:tcPr>
          <w:p w14:paraId="2A9DF37B" w14:textId="77777777" w:rsidR="00E04270" w:rsidRPr="00E04270" w:rsidRDefault="00E04270" w:rsidP="0003471C">
            <w:pPr>
              <w:spacing w:before="60" w:after="60"/>
              <w:rPr>
                <w:rFonts w:ascii="Arial" w:eastAsia="Times New Roman" w:hAnsi="Arial" w:cs="Arial"/>
                <w:sz w:val="20"/>
                <w:szCs w:val="20"/>
              </w:rPr>
            </w:pPr>
          </w:p>
        </w:tc>
        <w:tc>
          <w:tcPr>
            <w:tcW w:w="2934" w:type="dxa"/>
          </w:tcPr>
          <w:p w14:paraId="08927FA4" w14:textId="77777777" w:rsidR="00E04270" w:rsidRPr="00E04270" w:rsidRDefault="00E04270" w:rsidP="0003471C">
            <w:pPr>
              <w:spacing w:before="60" w:after="60"/>
              <w:rPr>
                <w:rFonts w:ascii="Arial" w:eastAsia="Times New Roman" w:hAnsi="Arial" w:cs="Arial"/>
                <w:sz w:val="20"/>
                <w:szCs w:val="20"/>
              </w:rPr>
            </w:pPr>
          </w:p>
        </w:tc>
      </w:tr>
      <w:tr w:rsidR="00EE4ACD" w14:paraId="7B1C3DC8" w14:textId="77777777" w:rsidTr="0003471C">
        <w:trPr>
          <w:jc w:val="center"/>
        </w:trPr>
        <w:tc>
          <w:tcPr>
            <w:tcW w:w="2921" w:type="dxa"/>
          </w:tcPr>
          <w:p w14:paraId="25877A44" w14:textId="77777777" w:rsidR="00E04270" w:rsidRPr="00E04270" w:rsidRDefault="00E04270" w:rsidP="0003471C">
            <w:pPr>
              <w:spacing w:before="60" w:after="60"/>
              <w:rPr>
                <w:rFonts w:ascii="Arial" w:eastAsia="Times New Roman" w:hAnsi="Arial" w:cs="Arial"/>
                <w:sz w:val="20"/>
                <w:szCs w:val="20"/>
              </w:rPr>
            </w:pPr>
          </w:p>
        </w:tc>
        <w:tc>
          <w:tcPr>
            <w:tcW w:w="4320" w:type="dxa"/>
          </w:tcPr>
          <w:p w14:paraId="596A4E4E" w14:textId="77777777" w:rsidR="00E04270" w:rsidRPr="00E04270" w:rsidRDefault="00E04270" w:rsidP="0003471C">
            <w:pPr>
              <w:spacing w:before="60" w:after="60"/>
              <w:rPr>
                <w:rFonts w:ascii="Arial" w:eastAsia="Times New Roman" w:hAnsi="Arial" w:cs="Arial"/>
                <w:sz w:val="20"/>
                <w:szCs w:val="20"/>
              </w:rPr>
            </w:pPr>
          </w:p>
        </w:tc>
        <w:tc>
          <w:tcPr>
            <w:tcW w:w="2934" w:type="dxa"/>
          </w:tcPr>
          <w:p w14:paraId="5E4AEABD" w14:textId="77777777" w:rsidR="00E04270" w:rsidRPr="00E04270" w:rsidRDefault="00E04270" w:rsidP="0003471C">
            <w:pPr>
              <w:spacing w:before="60" w:after="60"/>
              <w:rPr>
                <w:rFonts w:ascii="Arial" w:eastAsia="Times New Roman" w:hAnsi="Arial" w:cs="Arial"/>
                <w:sz w:val="20"/>
                <w:szCs w:val="20"/>
              </w:rPr>
            </w:pPr>
          </w:p>
        </w:tc>
      </w:tr>
      <w:tr w:rsidR="00EE4ACD" w14:paraId="2DC43841" w14:textId="77777777" w:rsidTr="0003471C">
        <w:trPr>
          <w:jc w:val="center"/>
        </w:trPr>
        <w:tc>
          <w:tcPr>
            <w:tcW w:w="2921" w:type="dxa"/>
          </w:tcPr>
          <w:p w14:paraId="057B1BCB" w14:textId="77777777" w:rsidR="00E04270" w:rsidRPr="00E04270" w:rsidRDefault="00E04270" w:rsidP="0003471C">
            <w:pPr>
              <w:spacing w:before="60" w:after="60"/>
              <w:rPr>
                <w:rFonts w:ascii="Arial" w:eastAsia="Times New Roman" w:hAnsi="Arial" w:cs="Arial"/>
                <w:sz w:val="20"/>
                <w:szCs w:val="20"/>
              </w:rPr>
            </w:pPr>
          </w:p>
        </w:tc>
        <w:tc>
          <w:tcPr>
            <w:tcW w:w="4320" w:type="dxa"/>
          </w:tcPr>
          <w:p w14:paraId="5EE5F138" w14:textId="77777777" w:rsidR="00E04270" w:rsidRPr="00E04270" w:rsidRDefault="00E04270" w:rsidP="0003471C">
            <w:pPr>
              <w:spacing w:before="60" w:after="60"/>
              <w:rPr>
                <w:rFonts w:ascii="Arial" w:eastAsia="Times New Roman" w:hAnsi="Arial" w:cs="Arial"/>
                <w:sz w:val="20"/>
                <w:szCs w:val="20"/>
              </w:rPr>
            </w:pPr>
          </w:p>
        </w:tc>
        <w:tc>
          <w:tcPr>
            <w:tcW w:w="2934" w:type="dxa"/>
          </w:tcPr>
          <w:p w14:paraId="3663CD35" w14:textId="77777777" w:rsidR="00E04270" w:rsidRPr="00E04270" w:rsidRDefault="00E04270" w:rsidP="0003471C">
            <w:pPr>
              <w:spacing w:before="60" w:after="60"/>
              <w:rPr>
                <w:rFonts w:ascii="Arial" w:eastAsia="Times New Roman" w:hAnsi="Arial" w:cs="Arial"/>
                <w:sz w:val="20"/>
                <w:szCs w:val="20"/>
              </w:rPr>
            </w:pPr>
          </w:p>
        </w:tc>
      </w:tr>
      <w:tr w:rsidR="00EE4ACD" w14:paraId="2CB0A1FE" w14:textId="77777777" w:rsidTr="0003471C">
        <w:trPr>
          <w:jc w:val="center"/>
        </w:trPr>
        <w:tc>
          <w:tcPr>
            <w:tcW w:w="2921" w:type="dxa"/>
          </w:tcPr>
          <w:p w14:paraId="5BAEF2D3" w14:textId="77777777" w:rsidR="00E04270" w:rsidRPr="00E04270" w:rsidRDefault="00E04270" w:rsidP="0003471C">
            <w:pPr>
              <w:spacing w:before="60" w:after="60"/>
              <w:rPr>
                <w:rFonts w:ascii="Arial" w:eastAsia="Times New Roman" w:hAnsi="Arial" w:cs="Arial"/>
                <w:sz w:val="20"/>
                <w:szCs w:val="20"/>
              </w:rPr>
            </w:pPr>
          </w:p>
        </w:tc>
        <w:tc>
          <w:tcPr>
            <w:tcW w:w="4320" w:type="dxa"/>
          </w:tcPr>
          <w:p w14:paraId="61A660FE" w14:textId="77777777" w:rsidR="00E04270" w:rsidRPr="00E04270" w:rsidRDefault="00E04270" w:rsidP="0003471C">
            <w:pPr>
              <w:spacing w:before="60" w:after="60"/>
              <w:rPr>
                <w:rFonts w:ascii="Arial" w:eastAsia="Times New Roman" w:hAnsi="Arial" w:cs="Arial"/>
                <w:sz w:val="20"/>
                <w:szCs w:val="20"/>
              </w:rPr>
            </w:pPr>
          </w:p>
        </w:tc>
        <w:tc>
          <w:tcPr>
            <w:tcW w:w="2934" w:type="dxa"/>
          </w:tcPr>
          <w:p w14:paraId="46E3D008" w14:textId="77777777" w:rsidR="00E04270" w:rsidRPr="00E04270" w:rsidRDefault="00E04270" w:rsidP="0003471C">
            <w:pPr>
              <w:spacing w:before="60" w:after="60"/>
              <w:rPr>
                <w:rFonts w:ascii="Arial" w:eastAsia="Times New Roman" w:hAnsi="Arial" w:cs="Arial"/>
                <w:sz w:val="20"/>
                <w:szCs w:val="20"/>
              </w:rPr>
            </w:pPr>
          </w:p>
        </w:tc>
      </w:tr>
      <w:tr w:rsidR="00EE4ACD" w14:paraId="5AF00376" w14:textId="77777777" w:rsidTr="0003471C">
        <w:trPr>
          <w:jc w:val="center"/>
        </w:trPr>
        <w:tc>
          <w:tcPr>
            <w:tcW w:w="2921" w:type="dxa"/>
          </w:tcPr>
          <w:p w14:paraId="0F435402" w14:textId="77777777" w:rsidR="00E04270" w:rsidRPr="00E04270" w:rsidRDefault="00E04270" w:rsidP="0003471C">
            <w:pPr>
              <w:spacing w:before="60" w:after="60"/>
              <w:rPr>
                <w:rFonts w:ascii="Arial" w:eastAsia="Times New Roman" w:hAnsi="Arial" w:cs="Arial"/>
                <w:sz w:val="20"/>
                <w:szCs w:val="20"/>
              </w:rPr>
            </w:pPr>
          </w:p>
        </w:tc>
        <w:tc>
          <w:tcPr>
            <w:tcW w:w="4320" w:type="dxa"/>
          </w:tcPr>
          <w:p w14:paraId="24FA9630" w14:textId="77777777" w:rsidR="00E04270" w:rsidRPr="00E04270" w:rsidRDefault="00E04270" w:rsidP="0003471C">
            <w:pPr>
              <w:spacing w:before="60" w:after="60"/>
              <w:rPr>
                <w:rFonts w:ascii="Arial" w:eastAsia="Times New Roman" w:hAnsi="Arial" w:cs="Arial"/>
                <w:sz w:val="20"/>
                <w:szCs w:val="20"/>
              </w:rPr>
            </w:pPr>
          </w:p>
        </w:tc>
        <w:tc>
          <w:tcPr>
            <w:tcW w:w="2934" w:type="dxa"/>
          </w:tcPr>
          <w:p w14:paraId="3C607186" w14:textId="77777777" w:rsidR="00E04270" w:rsidRPr="00E04270" w:rsidRDefault="00E04270" w:rsidP="0003471C">
            <w:pPr>
              <w:spacing w:before="60" w:after="60"/>
              <w:rPr>
                <w:rFonts w:ascii="Arial" w:eastAsia="Times New Roman" w:hAnsi="Arial" w:cs="Arial"/>
                <w:sz w:val="20"/>
                <w:szCs w:val="20"/>
              </w:rPr>
            </w:pPr>
          </w:p>
        </w:tc>
      </w:tr>
      <w:tr w:rsidR="00EE4ACD" w14:paraId="562C5664" w14:textId="77777777" w:rsidTr="0003471C">
        <w:trPr>
          <w:jc w:val="center"/>
        </w:trPr>
        <w:tc>
          <w:tcPr>
            <w:tcW w:w="2921" w:type="dxa"/>
          </w:tcPr>
          <w:p w14:paraId="44C1A148" w14:textId="77777777" w:rsidR="00E04270" w:rsidRPr="00E04270" w:rsidRDefault="00E04270" w:rsidP="0003471C">
            <w:pPr>
              <w:spacing w:before="60" w:after="60"/>
              <w:rPr>
                <w:rFonts w:ascii="Arial" w:eastAsia="Times New Roman" w:hAnsi="Arial" w:cs="Arial"/>
                <w:sz w:val="20"/>
                <w:szCs w:val="20"/>
              </w:rPr>
            </w:pPr>
          </w:p>
        </w:tc>
        <w:tc>
          <w:tcPr>
            <w:tcW w:w="4320" w:type="dxa"/>
          </w:tcPr>
          <w:p w14:paraId="535511B6" w14:textId="77777777" w:rsidR="00E04270" w:rsidRPr="00E04270" w:rsidRDefault="00E04270" w:rsidP="0003471C">
            <w:pPr>
              <w:spacing w:before="60" w:after="60"/>
              <w:rPr>
                <w:rFonts w:ascii="Arial" w:eastAsia="Times New Roman" w:hAnsi="Arial" w:cs="Arial"/>
                <w:sz w:val="20"/>
                <w:szCs w:val="20"/>
              </w:rPr>
            </w:pPr>
          </w:p>
        </w:tc>
        <w:tc>
          <w:tcPr>
            <w:tcW w:w="2934" w:type="dxa"/>
          </w:tcPr>
          <w:p w14:paraId="019542B2" w14:textId="77777777" w:rsidR="00E04270" w:rsidRPr="00E04270" w:rsidRDefault="00E04270" w:rsidP="0003471C">
            <w:pPr>
              <w:spacing w:before="60" w:after="60"/>
              <w:rPr>
                <w:rFonts w:ascii="Arial" w:eastAsia="Times New Roman" w:hAnsi="Arial" w:cs="Arial"/>
                <w:sz w:val="20"/>
                <w:szCs w:val="20"/>
              </w:rPr>
            </w:pPr>
          </w:p>
        </w:tc>
      </w:tr>
    </w:tbl>
    <w:p w14:paraId="284F4412" w14:textId="77777777" w:rsidR="00E04270" w:rsidRPr="00E04270" w:rsidRDefault="00000000" w:rsidP="0003471C">
      <w:pPr>
        <w:spacing w:before="120"/>
        <w:rPr>
          <w:rFonts w:ascii="Arial" w:eastAsia="Times New Roman" w:hAnsi="Arial" w:cs="Arial"/>
          <w:sz w:val="20"/>
          <w:szCs w:val="20"/>
        </w:rPr>
      </w:pPr>
      <w:r w:rsidRPr="001839D3">
        <w:rPr>
          <w:rFonts w:ascii="Arial" w:eastAsia="Times New Roman" w:hAnsi="Arial" w:cs="Arial"/>
          <w:b/>
          <w:color w:val="ED0000"/>
          <w:sz w:val="20"/>
          <w:szCs w:val="20"/>
        </w:rPr>
        <w:t>{OR}</w:t>
      </w:r>
    </w:p>
    <w:p w14:paraId="25F99AE9" w14:textId="77777777" w:rsidR="00E04270" w:rsidRPr="00E04270" w:rsidRDefault="00000000" w:rsidP="0003471C">
      <w:pPr>
        <w:spacing w:before="120"/>
        <w:rPr>
          <w:rFonts w:ascii="Arial" w:eastAsia="Times New Roman" w:hAnsi="Arial" w:cs="Times New Roman"/>
          <w:bCs/>
          <w:sz w:val="20"/>
          <w:szCs w:val="20"/>
        </w:rPr>
      </w:pPr>
      <w:r w:rsidRPr="001839D3">
        <w:rPr>
          <w:rFonts w:ascii="Arial" w:eastAsia="Times New Roman" w:hAnsi="Arial" w:cs="Times New Roman"/>
          <w:bCs/>
          <w:color w:val="ED0000"/>
          <w:sz w:val="20"/>
          <w:szCs w:val="20"/>
        </w:rPr>
        <w:t>{For ROP Renewals}</w:t>
      </w:r>
    </w:p>
    <w:p w14:paraId="73B8B608"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The following table lists any PTIs issued or ROP revision applications received since the effective date of the previously issued ROP No. MI-ROP-</w:t>
      </w:r>
      <w:r w:rsidRPr="001839D3">
        <w:rPr>
          <w:rFonts w:ascii="Arial" w:eastAsia="Times New Roman" w:hAnsi="Arial" w:cs="Arial"/>
          <w:color w:val="ED0000"/>
          <w:sz w:val="20"/>
          <w:szCs w:val="20"/>
        </w:rPr>
        <w:t>{SRN}</w:t>
      </w:r>
      <w:r w:rsidRPr="00E04270">
        <w:rPr>
          <w:rFonts w:ascii="Arial" w:eastAsia="Times New Roman" w:hAnsi="Arial" w:cs="Arial"/>
          <w:sz w:val="20"/>
          <w:szCs w:val="20"/>
        </w:rPr>
        <w:t>-</w:t>
      </w:r>
      <w:r w:rsidRPr="001839D3">
        <w:rPr>
          <w:rFonts w:ascii="Arial" w:eastAsia="Times New Roman" w:hAnsi="Arial" w:cs="Arial"/>
          <w:color w:val="ED0000"/>
          <w:sz w:val="20"/>
          <w:szCs w:val="20"/>
        </w:rPr>
        <w:t>{YEAR}. {Note: this should be the most recently issued ROP, not a revision.  If any revisions have been done since ROP issuance, do not include the “a, b, c” sequential number here.}</w:t>
      </w:r>
      <w:r w:rsidRPr="00E04270">
        <w:rPr>
          <w:rFonts w:ascii="Arial" w:eastAsia="Times New Roman" w:hAnsi="Arial" w:cs="Times New Roman"/>
          <w:szCs w:val="20"/>
        </w:rPr>
        <w:t xml:space="preserve">  </w:t>
      </w:r>
      <w:r w:rsidRPr="00E04270">
        <w:rPr>
          <w:rFonts w:ascii="Arial" w:eastAsia="Times New Roman" w:hAnsi="Arial" w:cs="Arial"/>
          <w:sz w:val="20"/>
          <w:szCs w:val="20"/>
        </w:rPr>
        <w:t xml:space="preserve">Those ROP revision applications that are being issued concurrently with this ROP renewal are identified by an asterisk (*).  </w:t>
      </w:r>
      <w:proofErr w:type="gramStart"/>
      <w:r w:rsidRPr="00E04270">
        <w:rPr>
          <w:rFonts w:ascii="Arial" w:eastAsia="Times New Roman" w:hAnsi="Arial" w:cs="Arial"/>
          <w:sz w:val="20"/>
          <w:szCs w:val="20"/>
        </w:rPr>
        <w:t>Those revision</w:t>
      </w:r>
      <w:proofErr w:type="gramEnd"/>
      <w:r w:rsidRPr="00E04270">
        <w:rPr>
          <w:rFonts w:ascii="Arial" w:eastAsia="Times New Roman" w:hAnsi="Arial" w:cs="Arial"/>
          <w:sz w:val="20"/>
          <w:szCs w:val="20"/>
        </w:rPr>
        <w:t xml:space="preserve"> applications not listed with an asterisk were processed prior to this renewal.</w:t>
      </w:r>
    </w:p>
    <w:p w14:paraId="0D72E4E5" w14:textId="760622B5"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Source-Wide PTI No MI-PTI-</w:t>
      </w:r>
      <w:r w:rsidRPr="001839D3">
        <w:rPr>
          <w:rFonts w:ascii="Arial" w:eastAsia="Times New Roman" w:hAnsi="Arial" w:cs="Arial"/>
          <w:color w:val="ED0000"/>
          <w:sz w:val="20"/>
          <w:szCs w:val="20"/>
        </w:rPr>
        <w:t>{SRN}</w:t>
      </w:r>
      <w:r w:rsidRPr="00E04270">
        <w:rPr>
          <w:rFonts w:ascii="Arial" w:eastAsia="Times New Roman" w:hAnsi="Arial" w:cs="Arial"/>
          <w:sz w:val="20"/>
          <w:szCs w:val="20"/>
        </w:rPr>
        <w:t>-</w:t>
      </w:r>
      <w:r w:rsidRPr="001839D3">
        <w:rPr>
          <w:rFonts w:ascii="Arial" w:eastAsia="Times New Roman" w:hAnsi="Arial" w:cs="Arial"/>
          <w:color w:val="ED0000"/>
          <w:sz w:val="20"/>
          <w:szCs w:val="20"/>
        </w:rPr>
        <w:t xml:space="preserve">{YEAR} {Note: this should be the most recent version of the Source-Wide PTI. Include the latest sequential letter after the number if there was a revision.} </w:t>
      </w:r>
      <w:r w:rsidRPr="00E04270">
        <w:rPr>
          <w:rFonts w:ascii="Arial" w:eastAsia="Times New Roman" w:hAnsi="Arial" w:cs="Arial"/>
          <w:sz w:val="20"/>
          <w:szCs w:val="20"/>
        </w:rPr>
        <w:t xml:space="preserve">is being reissued as Source-Wide PTI No. </w:t>
      </w:r>
      <w:r w:rsidR="00E9538F">
        <w:rPr>
          <w:rFonts w:ascii="Arial" w:eastAsia="Times New Roman" w:hAnsi="Arial" w:cs="Arial"/>
          <w:sz w:val="20"/>
          <w:szCs w:val="20"/>
        </w:rPr>
        <w:t>SW</w:t>
      </w:r>
      <w:r w:rsidRPr="00E04270">
        <w:rPr>
          <w:rFonts w:ascii="Arial" w:eastAsia="Times New Roman" w:hAnsi="Arial" w:cs="Arial"/>
          <w:sz w:val="20"/>
          <w:szCs w:val="20"/>
        </w:rPr>
        <w:t>PTI</w:t>
      </w:r>
      <w:r w:rsidR="00E9538F" w:rsidRPr="001839D3">
        <w:rPr>
          <w:rFonts w:ascii="Arial" w:eastAsia="Times New Roman" w:hAnsi="Arial" w:cs="Arial"/>
          <w:color w:val="ED0000"/>
          <w:sz w:val="20"/>
          <w:szCs w:val="20"/>
        </w:rPr>
        <w:t>####### v#.#</w:t>
      </w:r>
      <w:r w:rsidRPr="001839D3">
        <w:rPr>
          <w:rFonts w:ascii="Arial" w:eastAsia="Times New Roman" w:hAnsi="Arial" w:cs="Arial"/>
          <w:color w:val="ED0000"/>
          <w:sz w:val="20"/>
          <w:szCs w:val="20"/>
        </w:rPr>
        <w:t>.</w:t>
      </w:r>
    </w:p>
    <w:p w14:paraId="714821B7" w14:textId="77777777" w:rsidR="00E04270" w:rsidRPr="00E04270" w:rsidRDefault="00000000" w:rsidP="0003471C">
      <w:pPr>
        <w:spacing w:before="120"/>
        <w:rPr>
          <w:rFonts w:ascii="Arial" w:eastAsia="Times New Roman" w:hAnsi="Arial" w:cs="Arial"/>
          <w:sz w:val="20"/>
          <w:szCs w:val="20"/>
        </w:rPr>
      </w:pPr>
      <w:r w:rsidRPr="001839D3">
        <w:rPr>
          <w:rFonts w:ascii="Arial" w:eastAsia="Times New Roman" w:hAnsi="Arial" w:cs="Arial"/>
          <w:color w:val="ED0000"/>
          <w:sz w:val="20"/>
          <w:szCs w:val="20"/>
        </w:rPr>
        <w:t>{For a PTI that does not have an associated ROP revision application or an ROP revision application that does not have an associated PTI, enter NA in the appropriate column in the table below.}</w:t>
      </w:r>
    </w:p>
    <w:tbl>
      <w:tblPr>
        <w:tblW w:w="5000" w:type="pct"/>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6"/>
        <w:gridCol w:w="2543"/>
        <w:gridCol w:w="3943"/>
        <w:gridCol w:w="2192"/>
      </w:tblGrid>
      <w:tr w:rsidR="00EE4ACD" w14:paraId="64D39104" w14:textId="77777777" w:rsidTr="0003471C">
        <w:tc>
          <w:tcPr>
            <w:tcW w:w="752" w:type="pct"/>
            <w:shd w:val="clear" w:color="auto" w:fill="E0E0E0"/>
          </w:tcPr>
          <w:p w14:paraId="4911196E"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Permit to Install Number</w:t>
            </w:r>
          </w:p>
        </w:tc>
        <w:tc>
          <w:tcPr>
            <w:tcW w:w="1245" w:type="pct"/>
            <w:shd w:val="clear" w:color="auto" w:fill="E0E0E0"/>
          </w:tcPr>
          <w:p w14:paraId="721FA57D" w14:textId="78A050B4"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ROP Revision</w:t>
            </w:r>
            <w:r w:rsidR="0003471C">
              <w:rPr>
                <w:rFonts w:ascii="Arial" w:eastAsia="Times New Roman" w:hAnsi="Arial" w:cs="Arial"/>
                <w:b/>
                <w:sz w:val="20"/>
                <w:szCs w:val="20"/>
              </w:rPr>
              <w:t xml:space="preserve"> </w:t>
            </w:r>
            <w:r w:rsidRPr="00E04270">
              <w:rPr>
                <w:rFonts w:ascii="Arial" w:eastAsia="Times New Roman" w:hAnsi="Arial" w:cs="Arial"/>
                <w:b/>
                <w:sz w:val="20"/>
                <w:szCs w:val="20"/>
              </w:rPr>
              <w:t>Application Number</w:t>
            </w:r>
          </w:p>
        </w:tc>
        <w:tc>
          <w:tcPr>
            <w:tcW w:w="1930" w:type="pct"/>
            <w:shd w:val="clear" w:color="auto" w:fill="E0E0E0"/>
          </w:tcPr>
          <w:p w14:paraId="431CAE43"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Description of Equipment</w:t>
            </w:r>
            <w:r w:rsidRPr="00E04270">
              <w:rPr>
                <w:rFonts w:ascii="Arial" w:eastAsia="Times New Roman" w:hAnsi="Arial" w:cs="Arial"/>
                <w:b/>
                <w:color w:val="000080"/>
                <w:sz w:val="20"/>
                <w:szCs w:val="20"/>
              </w:rPr>
              <w:t xml:space="preserve"> </w:t>
            </w:r>
            <w:r w:rsidRPr="00E04270">
              <w:rPr>
                <w:rFonts w:ascii="Arial" w:eastAsia="Times New Roman" w:hAnsi="Arial" w:cs="Arial"/>
                <w:b/>
                <w:sz w:val="20"/>
                <w:szCs w:val="20"/>
              </w:rPr>
              <w:t>or Change</w:t>
            </w:r>
          </w:p>
        </w:tc>
        <w:tc>
          <w:tcPr>
            <w:tcW w:w="1073" w:type="pct"/>
            <w:shd w:val="clear" w:color="auto" w:fill="E0E0E0"/>
          </w:tcPr>
          <w:p w14:paraId="3E5611F0"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Corresponding Emission Unit(s) or</w:t>
            </w:r>
          </w:p>
          <w:p w14:paraId="06FAF69D" w14:textId="77777777" w:rsidR="00E04270" w:rsidRPr="00E04270" w:rsidRDefault="00000000" w:rsidP="0003471C">
            <w:pPr>
              <w:spacing w:before="60" w:after="60"/>
              <w:jc w:val="center"/>
              <w:rPr>
                <w:rFonts w:ascii="Arial" w:eastAsia="Times New Roman" w:hAnsi="Arial" w:cs="Arial"/>
                <w:b/>
                <w:sz w:val="20"/>
                <w:szCs w:val="20"/>
              </w:rPr>
            </w:pPr>
            <w:r w:rsidRPr="00E04270">
              <w:rPr>
                <w:rFonts w:ascii="Arial" w:eastAsia="Times New Roman" w:hAnsi="Arial" w:cs="Arial"/>
                <w:b/>
                <w:sz w:val="20"/>
                <w:szCs w:val="20"/>
              </w:rPr>
              <w:t>Flexible Group(s)</w:t>
            </w:r>
          </w:p>
        </w:tc>
      </w:tr>
      <w:tr w:rsidR="00EE4ACD" w14:paraId="3D5837A3" w14:textId="77777777" w:rsidTr="0003471C">
        <w:tc>
          <w:tcPr>
            <w:tcW w:w="752" w:type="pct"/>
          </w:tcPr>
          <w:p w14:paraId="236F3832" w14:textId="77777777" w:rsidR="00E04270" w:rsidRPr="00E04270" w:rsidRDefault="00E04270" w:rsidP="0003471C">
            <w:pPr>
              <w:spacing w:before="60" w:after="60"/>
              <w:rPr>
                <w:rFonts w:ascii="Arial" w:eastAsia="Times New Roman" w:hAnsi="Arial" w:cs="Arial"/>
                <w:sz w:val="20"/>
                <w:szCs w:val="20"/>
              </w:rPr>
            </w:pPr>
          </w:p>
        </w:tc>
        <w:tc>
          <w:tcPr>
            <w:tcW w:w="1245" w:type="pct"/>
          </w:tcPr>
          <w:p w14:paraId="7CCBA5A9" w14:textId="77777777" w:rsidR="00E04270" w:rsidRPr="00E04270" w:rsidRDefault="00E04270" w:rsidP="0003471C">
            <w:pPr>
              <w:spacing w:before="60" w:after="60"/>
              <w:rPr>
                <w:rFonts w:ascii="Arial" w:eastAsia="Times New Roman" w:hAnsi="Arial" w:cs="Arial"/>
                <w:sz w:val="20"/>
                <w:szCs w:val="20"/>
              </w:rPr>
            </w:pPr>
          </w:p>
        </w:tc>
        <w:tc>
          <w:tcPr>
            <w:tcW w:w="1930" w:type="pct"/>
          </w:tcPr>
          <w:p w14:paraId="2B9F39E2" w14:textId="77777777" w:rsidR="00E04270" w:rsidRPr="00E04270" w:rsidRDefault="00E04270" w:rsidP="0003471C">
            <w:pPr>
              <w:spacing w:before="60" w:after="60"/>
              <w:rPr>
                <w:rFonts w:ascii="Arial" w:eastAsia="Times New Roman" w:hAnsi="Arial" w:cs="Arial"/>
                <w:sz w:val="20"/>
                <w:szCs w:val="20"/>
              </w:rPr>
            </w:pPr>
          </w:p>
        </w:tc>
        <w:tc>
          <w:tcPr>
            <w:tcW w:w="1073" w:type="pct"/>
          </w:tcPr>
          <w:p w14:paraId="167C65C0" w14:textId="77777777" w:rsidR="00E04270" w:rsidRPr="00E04270" w:rsidRDefault="00E04270" w:rsidP="0003471C">
            <w:pPr>
              <w:spacing w:before="60" w:after="60"/>
              <w:rPr>
                <w:rFonts w:ascii="Arial" w:eastAsia="Times New Roman" w:hAnsi="Arial" w:cs="Arial"/>
                <w:sz w:val="20"/>
                <w:szCs w:val="20"/>
              </w:rPr>
            </w:pPr>
          </w:p>
        </w:tc>
      </w:tr>
      <w:tr w:rsidR="00EE4ACD" w14:paraId="73EA6CF3" w14:textId="77777777" w:rsidTr="0003471C">
        <w:tc>
          <w:tcPr>
            <w:tcW w:w="752" w:type="pct"/>
          </w:tcPr>
          <w:p w14:paraId="7C5B4D97" w14:textId="77777777" w:rsidR="00E04270" w:rsidRPr="00E04270" w:rsidRDefault="00E04270" w:rsidP="0003471C">
            <w:pPr>
              <w:spacing w:before="60" w:after="60"/>
              <w:rPr>
                <w:rFonts w:ascii="Arial" w:eastAsia="Times New Roman" w:hAnsi="Arial" w:cs="Arial"/>
                <w:sz w:val="20"/>
                <w:szCs w:val="20"/>
              </w:rPr>
            </w:pPr>
          </w:p>
        </w:tc>
        <w:tc>
          <w:tcPr>
            <w:tcW w:w="1245" w:type="pct"/>
          </w:tcPr>
          <w:p w14:paraId="55BC90D7" w14:textId="77777777" w:rsidR="00E04270" w:rsidRPr="00E04270" w:rsidRDefault="00E04270" w:rsidP="0003471C">
            <w:pPr>
              <w:spacing w:before="60" w:after="60"/>
              <w:rPr>
                <w:rFonts w:ascii="Arial" w:eastAsia="Times New Roman" w:hAnsi="Arial" w:cs="Arial"/>
                <w:sz w:val="20"/>
                <w:szCs w:val="20"/>
              </w:rPr>
            </w:pPr>
          </w:p>
        </w:tc>
        <w:tc>
          <w:tcPr>
            <w:tcW w:w="1930" w:type="pct"/>
          </w:tcPr>
          <w:p w14:paraId="3E0D7307" w14:textId="77777777" w:rsidR="00E04270" w:rsidRPr="00E04270" w:rsidRDefault="00E04270" w:rsidP="0003471C">
            <w:pPr>
              <w:spacing w:before="60" w:after="60"/>
              <w:rPr>
                <w:rFonts w:ascii="Arial" w:eastAsia="Times New Roman" w:hAnsi="Arial" w:cs="Arial"/>
                <w:sz w:val="20"/>
                <w:szCs w:val="20"/>
              </w:rPr>
            </w:pPr>
          </w:p>
        </w:tc>
        <w:tc>
          <w:tcPr>
            <w:tcW w:w="1073" w:type="pct"/>
          </w:tcPr>
          <w:p w14:paraId="2502B51A" w14:textId="77777777" w:rsidR="00E04270" w:rsidRPr="00E04270" w:rsidRDefault="00E04270" w:rsidP="0003471C">
            <w:pPr>
              <w:spacing w:before="60" w:after="60"/>
              <w:rPr>
                <w:rFonts w:ascii="Arial" w:eastAsia="Times New Roman" w:hAnsi="Arial" w:cs="Arial"/>
                <w:sz w:val="20"/>
                <w:szCs w:val="20"/>
              </w:rPr>
            </w:pPr>
          </w:p>
        </w:tc>
      </w:tr>
      <w:tr w:rsidR="00EE4ACD" w14:paraId="273EA678" w14:textId="77777777" w:rsidTr="0003471C">
        <w:tc>
          <w:tcPr>
            <w:tcW w:w="752" w:type="pct"/>
          </w:tcPr>
          <w:p w14:paraId="0362A390" w14:textId="77777777" w:rsidR="00E04270" w:rsidRPr="00E04270" w:rsidRDefault="00E04270" w:rsidP="0003471C">
            <w:pPr>
              <w:spacing w:before="60" w:after="60"/>
              <w:rPr>
                <w:rFonts w:ascii="Arial" w:eastAsia="Times New Roman" w:hAnsi="Arial" w:cs="Arial"/>
                <w:sz w:val="20"/>
                <w:szCs w:val="20"/>
              </w:rPr>
            </w:pPr>
          </w:p>
        </w:tc>
        <w:tc>
          <w:tcPr>
            <w:tcW w:w="1245" w:type="pct"/>
          </w:tcPr>
          <w:p w14:paraId="7A297365" w14:textId="77777777" w:rsidR="00E04270" w:rsidRPr="00E04270" w:rsidRDefault="00E04270" w:rsidP="0003471C">
            <w:pPr>
              <w:spacing w:before="60" w:after="60"/>
              <w:rPr>
                <w:rFonts w:ascii="Arial" w:eastAsia="Times New Roman" w:hAnsi="Arial" w:cs="Arial"/>
                <w:sz w:val="20"/>
                <w:szCs w:val="20"/>
              </w:rPr>
            </w:pPr>
          </w:p>
        </w:tc>
        <w:tc>
          <w:tcPr>
            <w:tcW w:w="1930" w:type="pct"/>
          </w:tcPr>
          <w:p w14:paraId="233CF0B7" w14:textId="77777777" w:rsidR="00E04270" w:rsidRPr="00E04270" w:rsidRDefault="00E04270" w:rsidP="0003471C">
            <w:pPr>
              <w:spacing w:before="60" w:after="60"/>
              <w:rPr>
                <w:rFonts w:ascii="Arial" w:eastAsia="Times New Roman" w:hAnsi="Arial" w:cs="Arial"/>
                <w:sz w:val="20"/>
                <w:szCs w:val="20"/>
              </w:rPr>
            </w:pPr>
          </w:p>
        </w:tc>
        <w:tc>
          <w:tcPr>
            <w:tcW w:w="1073" w:type="pct"/>
          </w:tcPr>
          <w:p w14:paraId="73EB5C3E" w14:textId="77777777" w:rsidR="00E04270" w:rsidRPr="00E04270" w:rsidRDefault="00E04270" w:rsidP="0003471C">
            <w:pPr>
              <w:spacing w:before="60" w:after="60"/>
              <w:rPr>
                <w:rFonts w:ascii="Arial" w:eastAsia="Times New Roman" w:hAnsi="Arial" w:cs="Arial"/>
                <w:sz w:val="20"/>
                <w:szCs w:val="20"/>
              </w:rPr>
            </w:pPr>
          </w:p>
        </w:tc>
      </w:tr>
      <w:tr w:rsidR="00EE4ACD" w14:paraId="5B9D8F2F" w14:textId="77777777" w:rsidTr="0003471C">
        <w:tc>
          <w:tcPr>
            <w:tcW w:w="752" w:type="pct"/>
          </w:tcPr>
          <w:p w14:paraId="29850B75" w14:textId="77777777" w:rsidR="00E04270" w:rsidRPr="00E04270" w:rsidRDefault="00E04270" w:rsidP="0003471C">
            <w:pPr>
              <w:spacing w:before="60" w:after="60"/>
              <w:rPr>
                <w:rFonts w:ascii="Arial" w:eastAsia="Times New Roman" w:hAnsi="Arial" w:cs="Arial"/>
                <w:sz w:val="20"/>
                <w:szCs w:val="20"/>
              </w:rPr>
            </w:pPr>
          </w:p>
        </w:tc>
        <w:tc>
          <w:tcPr>
            <w:tcW w:w="1245" w:type="pct"/>
          </w:tcPr>
          <w:p w14:paraId="70155461" w14:textId="77777777" w:rsidR="00E04270" w:rsidRPr="00E04270" w:rsidRDefault="00E04270" w:rsidP="0003471C">
            <w:pPr>
              <w:spacing w:before="60" w:after="60"/>
              <w:rPr>
                <w:rFonts w:ascii="Arial" w:eastAsia="Times New Roman" w:hAnsi="Arial" w:cs="Arial"/>
                <w:sz w:val="20"/>
                <w:szCs w:val="20"/>
              </w:rPr>
            </w:pPr>
          </w:p>
        </w:tc>
        <w:tc>
          <w:tcPr>
            <w:tcW w:w="1930" w:type="pct"/>
          </w:tcPr>
          <w:p w14:paraId="7D52F503" w14:textId="77777777" w:rsidR="00E04270" w:rsidRPr="00E04270" w:rsidRDefault="00E04270" w:rsidP="0003471C">
            <w:pPr>
              <w:spacing w:before="60" w:after="60"/>
              <w:rPr>
                <w:rFonts w:ascii="Arial" w:eastAsia="Times New Roman" w:hAnsi="Arial" w:cs="Arial"/>
                <w:sz w:val="20"/>
                <w:szCs w:val="20"/>
              </w:rPr>
            </w:pPr>
          </w:p>
        </w:tc>
        <w:tc>
          <w:tcPr>
            <w:tcW w:w="1073" w:type="pct"/>
          </w:tcPr>
          <w:p w14:paraId="728E63F4" w14:textId="77777777" w:rsidR="00E04270" w:rsidRPr="00E04270" w:rsidRDefault="00E04270" w:rsidP="0003471C">
            <w:pPr>
              <w:spacing w:before="60" w:after="60"/>
              <w:rPr>
                <w:rFonts w:ascii="Arial" w:eastAsia="Times New Roman" w:hAnsi="Arial" w:cs="Arial"/>
                <w:sz w:val="20"/>
                <w:szCs w:val="20"/>
              </w:rPr>
            </w:pPr>
          </w:p>
        </w:tc>
      </w:tr>
      <w:tr w:rsidR="00EE4ACD" w14:paraId="488BCC53" w14:textId="77777777" w:rsidTr="0003471C">
        <w:tc>
          <w:tcPr>
            <w:tcW w:w="752" w:type="pct"/>
          </w:tcPr>
          <w:p w14:paraId="468AEE8B" w14:textId="77777777" w:rsidR="00E04270" w:rsidRPr="00E04270" w:rsidRDefault="00E04270" w:rsidP="0003471C">
            <w:pPr>
              <w:spacing w:before="60" w:after="60"/>
              <w:rPr>
                <w:rFonts w:ascii="Arial" w:eastAsia="Times New Roman" w:hAnsi="Arial" w:cs="Arial"/>
                <w:sz w:val="20"/>
                <w:szCs w:val="20"/>
              </w:rPr>
            </w:pPr>
          </w:p>
        </w:tc>
        <w:tc>
          <w:tcPr>
            <w:tcW w:w="1245" w:type="pct"/>
          </w:tcPr>
          <w:p w14:paraId="5AEE169F" w14:textId="77777777" w:rsidR="00E04270" w:rsidRPr="00E04270" w:rsidRDefault="00E04270" w:rsidP="0003471C">
            <w:pPr>
              <w:spacing w:before="60" w:after="60"/>
              <w:rPr>
                <w:rFonts w:ascii="Arial" w:eastAsia="Times New Roman" w:hAnsi="Arial" w:cs="Arial"/>
                <w:sz w:val="20"/>
                <w:szCs w:val="20"/>
              </w:rPr>
            </w:pPr>
          </w:p>
        </w:tc>
        <w:tc>
          <w:tcPr>
            <w:tcW w:w="1930" w:type="pct"/>
          </w:tcPr>
          <w:p w14:paraId="7AE6C094" w14:textId="77777777" w:rsidR="00E04270" w:rsidRPr="00E04270" w:rsidRDefault="00E04270" w:rsidP="0003471C">
            <w:pPr>
              <w:spacing w:before="60" w:after="60"/>
              <w:rPr>
                <w:rFonts w:ascii="Arial" w:eastAsia="Times New Roman" w:hAnsi="Arial" w:cs="Arial"/>
                <w:sz w:val="20"/>
                <w:szCs w:val="20"/>
              </w:rPr>
            </w:pPr>
          </w:p>
        </w:tc>
        <w:tc>
          <w:tcPr>
            <w:tcW w:w="1073" w:type="pct"/>
          </w:tcPr>
          <w:p w14:paraId="0176E069" w14:textId="77777777" w:rsidR="00E04270" w:rsidRPr="00E04270" w:rsidRDefault="00E04270" w:rsidP="0003471C">
            <w:pPr>
              <w:spacing w:before="60" w:after="60"/>
              <w:rPr>
                <w:rFonts w:ascii="Arial" w:eastAsia="Times New Roman" w:hAnsi="Arial" w:cs="Arial"/>
                <w:sz w:val="20"/>
                <w:szCs w:val="20"/>
              </w:rPr>
            </w:pPr>
          </w:p>
        </w:tc>
      </w:tr>
      <w:tr w:rsidR="00EE4ACD" w14:paraId="375E5E58" w14:textId="77777777" w:rsidTr="0003471C">
        <w:tc>
          <w:tcPr>
            <w:tcW w:w="752" w:type="pct"/>
          </w:tcPr>
          <w:p w14:paraId="362A5E20" w14:textId="77777777" w:rsidR="00E04270" w:rsidRPr="00E04270" w:rsidRDefault="00E04270" w:rsidP="0003471C">
            <w:pPr>
              <w:spacing w:before="60" w:after="60"/>
              <w:rPr>
                <w:rFonts w:ascii="Arial" w:eastAsia="Times New Roman" w:hAnsi="Arial" w:cs="Arial"/>
                <w:sz w:val="20"/>
                <w:szCs w:val="20"/>
              </w:rPr>
            </w:pPr>
          </w:p>
        </w:tc>
        <w:tc>
          <w:tcPr>
            <w:tcW w:w="1245" w:type="pct"/>
          </w:tcPr>
          <w:p w14:paraId="1269CBFE" w14:textId="77777777" w:rsidR="00E04270" w:rsidRPr="00E04270" w:rsidRDefault="00E04270" w:rsidP="0003471C">
            <w:pPr>
              <w:spacing w:before="60" w:after="60"/>
              <w:rPr>
                <w:rFonts w:ascii="Arial" w:eastAsia="Times New Roman" w:hAnsi="Arial" w:cs="Arial"/>
                <w:sz w:val="20"/>
                <w:szCs w:val="20"/>
              </w:rPr>
            </w:pPr>
          </w:p>
        </w:tc>
        <w:tc>
          <w:tcPr>
            <w:tcW w:w="1930" w:type="pct"/>
          </w:tcPr>
          <w:p w14:paraId="7FC384FE" w14:textId="77777777" w:rsidR="00E04270" w:rsidRPr="00E04270" w:rsidRDefault="00E04270" w:rsidP="0003471C">
            <w:pPr>
              <w:spacing w:before="60" w:after="60"/>
              <w:rPr>
                <w:rFonts w:ascii="Arial" w:eastAsia="Times New Roman" w:hAnsi="Arial" w:cs="Arial"/>
                <w:sz w:val="20"/>
                <w:szCs w:val="20"/>
              </w:rPr>
            </w:pPr>
          </w:p>
        </w:tc>
        <w:tc>
          <w:tcPr>
            <w:tcW w:w="1073" w:type="pct"/>
          </w:tcPr>
          <w:p w14:paraId="0AD20D8C" w14:textId="77777777" w:rsidR="00E04270" w:rsidRPr="00E04270" w:rsidRDefault="00E04270" w:rsidP="0003471C">
            <w:pPr>
              <w:spacing w:before="60" w:after="60"/>
              <w:rPr>
                <w:rFonts w:ascii="Arial" w:eastAsia="Times New Roman" w:hAnsi="Arial" w:cs="Arial"/>
                <w:sz w:val="20"/>
                <w:szCs w:val="20"/>
              </w:rPr>
            </w:pPr>
          </w:p>
        </w:tc>
      </w:tr>
    </w:tbl>
    <w:p w14:paraId="17668A85" w14:textId="77777777" w:rsidR="00E04270" w:rsidRPr="00E04270" w:rsidRDefault="00000000" w:rsidP="0003471C">
      <w:pPr>
        <w:pStyle w:val="Heading4C"/>
      </w:pPr>
      <w:bookmarkStart w:id="38" w:name="_Toc32635139"/>
      <w:r w:rsidRPr="00E04270">
        <w:t>Appendix 7.  Emission Calculations</w:t>
      </w:r>
      <w:bookmarkEnd w:id="38"/>
      <w:r w:rsidRPr="00E04270">
        <w:t xml:space="preserve"> </w:t>
      </w:r>
    </w:p>
    <w:p w14:paraId="5A5551A1"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The permittee shall use the following calculations in conjunction with monitoring, testing or recordkeeping data to determine compliance with the applicable requirements referenced in FGLANDFILL-OOO&lt;34.</w:t>
      </w:r>
    </w:p>
    <w:p w14:paraId="4DF4ED1C" w14:textId="77777777" w:rsidR="00E04270" w:rsidRPr="00E04270" w:rsidRDefault="00000000" w:rsidP="0003471C">
      <w:pPr>
        <w:pStyle w:val="Caption3"/>
      </w:pPr>
      <w:r w:rsidRPr="00E04270">
        <w:t>Default Values</w:t>
      </w:r>
    </w:p>
    <w:p w14:paraId="483922B0"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The permittee must calculate the NMOC emission rate using either </w:t>
      </w:r>
      <w:r w:rsidRPr="00E04270">
        <w:rPr>
          <w:rFonts w:ascii="Arial" w:eastAsia="Times New Roman" w:hAnsi="Arial" w:cs="Arial"/>
          <w:b/>
          <w:bCs/>
          <w:sz w:val="20"/>
          <w:szCs w:val="20"/>
        </w:rPr>
        <w:t>Equation 1</w:t>
      </w:r>
      <w:r w:rsidRPr="00E04270">
        <w:rPr>
          <w:rFonts w:ascii="Arial" w:eastAsia="Times New Roman" w:hAnsi="Arial" w:cs="Arial"/>
          <w:sz w:val="20"/>
          <w:szCs w:val="20"/>
        </w:rPr>
        <w:t xml:space="preserve"> (the equation provided in 40 CFR 62.16718(a)(1)(</w:t>
      </w:r>
      <w:proofErr w:type="spellStart"/>
      <w:r w:rsidRPr="00E04270">
        <w:rPr>
          <w:rFonts w:ascii="Arial" w:eastAsia="Times New Roman" w:hAnsi="Arial" w:cs="Arial"/>
          <w:sz w:val="20"/>
          <w:szCs w:val="20"/>
        </w:rPr>
        <w:t>i</w:t>
      </w:r>
      <w:proofErr w:type="spellEnd"/>
      <w:r w:rsidRPr="00E04270">
        <w:rPr>
          <w:rFonts w:ascii="Arial" w:eastAsia="Times New Roman" w:hAnsi="Arial" w:cs="Arial"/>
          <w:sz w:val="20"/>
          <w:szCs w:val="20"/>
        </w:rPr>
        <w:t xml:space="preserve">)) or </w:t>
      </w:r>
      <w:r w:rsidRPr="00E04270">
        <w:rPr>
          <w:rFonts w:ascii="Arial" w:eastAsia="Times New Roman" w:hAnsi="Arial" w:cs="Arial"/>
          <w:b/>
          <w:bCs/>
          <w:sz w:val="20"/>
          <w:szCs w:val="20"/>
        </w:rPr>
        <w:t>Equation 2</w:t>
      </w:r>
      <w:r w:rsidRPr="00E04270">
        <w:rPr>
          <w:rFonts w:ascii="Arial" w:eastAsia="Times New Roman" w:hAnsi="Arial" w:cs="Arial"/>
          <w:sz w:val="20"/>
          <w:szCs w:val="20"/>
        </w:rPr>
        <w:t xml:space="preserve"> (the equation provided in 40 CFR 62.16718(a)(1)(ii)(A)).  Both equations may be used if the actual year-to-year solid waste acceptance rate is known, as specified in </w:t>
      </w:r>
      <w:r w:rsidRPr="00E04270">
        <w:rPr>
          <w:rFonts w:ascii="Arial" w:eastAsia="Times New Roman" w:hAnsi="Arial" w:cs="Arial"/>
          <w:b/>
          <w:bCs/>
          <w:sz w:val="20"/>
          <w:szCs w:val="20"/>
        </w:rPr>
        <w:t>Equation 1</w:t>
      </w:r>
      <w:r w:rsidRPr="00E04270">
        <w:rPr>
          <w:rFonts w:ascii="Arial" w:eastAsia="Times New Roman" w:hAnsi="Arial" w:cs="Arial"/>
          <w:sz w:val="20"/>
          <w:szCs w:val="20"/>
        </w:rPr>
        <w:t xml:space="preserve"> (40 CFR 62.16718(a)(1)(</w:t>
      </w:r>
      <w:proofErr w:type="spellStart"/>
      <w:r w:rsidRPr="00E04270">
        <w:rPr>
          <w:rFonts w:ascii="Arial" w:eastAsia="Times New Roman" w:hAnsi="Arial" w:cs="Arial"/>
          <w:sz w:val="20"/>
          <w:szCs w:val="20"/>
        </w:rPr>
        <w:t>i</w:t>
      </w:r>
      <w:proofErr w:type="spellEnd"/>
      <w:r w:rsidRPr="00E04270">
        <w:rPr>
          <w:rFonts w:ascii="Arial" w:eastAsia="Times New Roman" w:hAnsi="Arial" w:cs="Arial"/>
          <w:sz w:val="20"/>
          <w:szCs w:val="20"/>
        </w:rPr>
        <w:t xml:space="preserve">)(A)), for part of the life of the landfill and the actual year-to-year solid waste acceptance rate is unknown, as specified in </w:t>
      </w:r>
      <w:r w:rsidRPr="00E04270">
        <w:rPr>
          <w:rFonts w:ascii="Arial" w:eastAsia="Times New Roman" w:hAnsi="Arial" w:cs="Arial"/>
          <w:b/>
          <w:bCs/>
          <w:sz w:val="20"/>
          <w:szCs w:val="20"/>
        </w:rPr>
        <w:t>Equation 2</w:t>
      </w:r>
      <w:r w:rsidRPr="00E04270">
        <w:rPr>
          <w:rFonts w:ascii="Arial" w:eastAsia="Times New Roman" w:hAnsi="Arial" w:cs="Arial"/>
          <w:sz w:val="20"/>
          <w:szCs w:val="20"/>
        </w:rPr>
        <w:t xml:space="preserve"> (the equation provided in 40 CFR 62.16718(a)(1)(ii)(A)), for part of the life of the landfill.  The values to be used in both equations are 0.05 per year for k, 170 cubic meters per megagram for L</w:t>
      </w:r>
      <w:r w:rsidRPr="00E04270">
        <w:rPr>
          <w:rFonts w:ascii="Arial" w:eastAsia="Times New Roman" w:hAnsi="Arial" w:cs="Arial"/>
          <w:sz w:val="20"/>
          <w:szCs w:val="20"/>
          <w:vertAlign w:val="subscript"/>
        </w:rPr>
        <w:t>o</w:t>
      </w:r>
      <w:r w:rsidRPr="00E04270">
        <w:rPr>
          <w:rFonts w:ascii="Arial" w:eastAsia="Times New Roman" w:hAnsi="Arial" w:cs="Arial"/>
          <w:sz w:val="20"/>
          <w:szCs w:val="20"/>
        </w:rPr>
        <w:t>, and 4,000 ppm by volume as hexane for the C</w:t>
      </w:r>
      <w:r w:rsidRPr="00E04270">
        <w:rPr>
          <w:rFonts w:ascii="Arial" w:eastAsia="Times New Roman" w:hAnsi="Arial" w:cs="Arial"/>
          <w:sz w:val="20"/>
          <w:szCs w:val="20"/>
          <w:vertAlign w:val="subscript"/>
        </w:rPr>
        <w:t>NMOC</w:t>
      </w:r>
      <w:r w:rsidRPr="00E04270">
        <w:rPr>
          <w:rFonts w:ascii="Arial" w:eastAsia="Times New Roman" w:hAnsi="Arial" w:cs="Arial"/>
          <w:sz w:val="20"/>
          <w:szCs w:val="20"/>
        </w:rPr>
        <w:t xml:space="preserve">.  For landfills located in geographical areas with a thirty-year annual average precipitation of less than 25 inches, as measured at the nearest representative official meteorologic site, the k value to be used is 0.02 per year.  </w:t>
      </w:r>
      <w:r w:rsidRPr="00E04270">
        <w:rPr>
          <w:rFonts w:ascii="Arial" w:eastAsia="Times New Roman" w:hAnsi="Arial" w:cs="Arial"/>
          <w:b/>
          <w:bCs/>
          <w:sz w:val="20"/>
          <w:szCs w:val="20"/>
        </w:rPr>
        <w:t>(40 CFR 62.16718(a)(1))</w:t>
      </w:r>
    </w:p>
    <w:p w14:paraId="52F499C5" w14:textId="77777777" w:rsidR="00E04270" w:rsidRPr="00E04270" w:rsidRDefault="00000000" w:rsidP="0003471C">
      <w:pPr>
        <w:pStyle w:val="Caption3"/>
      </w:pPr>
      <w:r w:rsidRPr="00E04270">
        <w:lastRenderedPageBreak/>
        <w:t>Equation 1</w:t>
      </w:r>
    </w:p>
    <w:p w14:paraId="23709660" w14:textId="15A6CFDE" w:rsidR="00E04270" w:rsidRPr="00E04270" w:rsidRDefault="00000000" w:rsidP="0003471C">
      <w:pPr>
        <w:rPr>
          <w:rFonts w:ascii="Arial" w:eastAsia="Times New Roman" w:hAnsi="Arial" w:cs="Arial"/>
          <w:sz w:val="20"/>
          <w:szCs w:val="20"/>
        </w:rPr>
      </w:pPr>
      <w:r w:rsidRPr="00E04270">
        <w:rPr>
          <w:rFonts w:ascii="Arial" w:eastAsia="Times New Roman" w:hAnsi="Arial" w:cs="Arial"/>
          <w:sz w:val="20"/>
          <w:szCs w:val="20"/>
        </w:rPr>
        <w:t xml:space="preserve">The following equation must be used if the actual year-to-year solid waste acceptance rate is known.  </w:t>
      </w:r>
      <w:r w:rsidRPr="00E04270">
        <w:rPr>
          <w:rFonts w:ascii="Arial" w:eastAsia="Times New Roman" w:hAnsi="Arial" w:cs="Arial"/>
          <w:b/>
          <w:sz w:val="20"/>
          <w:szCs w:val="20"/>
        </w:rPr>
        <w:t>(40 CFR 62.16718(a)(1)(</w:t>
      </w:r>
      <w:proofErr w:type="spellStart"/>
      <w:r w:rsidRPr="00E04270">
        <w:rPr>
          <w:rFonts w:ascii="Arial" w:eastAsia="Times New Roman" w:hAnsi="Arial" w:cs="Arial"/>
          <w:b/>
          <w:sz w:val="20"/>
          <w:szCs w:val="20"/>
        </w:rPr>
        <w:t>i</w:t>
      </w:r>
      <w:proofErr w:type="spellEnd"/>
      <w:r w:rsidRPr="00E04270">
        <w:rPr>
          <w:rFonts w:ascii="Arial" w:eastAsia="Times New Roman" w:hAnsi="Arial" w:cs="Arial"/>
          <w:b/>
          <w:sz w:val="20"/>
          <w:szCs w:val="20"/>
        </w:rPr>
        <w:t>)(A))</w:t>
      </w:r>
    </w:p>
    <w:p w14:paraId="581952AE" w14:textId="77777777" w:rsidR="00E04270" w:rsidRPr="00E04270" w:rsidRDefault="00000000" w:rsidP="0003471C">
      <w:pPr>
        <w:spacing w:after="0"/>
        <w:jc w:val="center"/>
        <w:rPr>
          <w:rFonts w:ascii="Times New Roman" w:eastAsia="Times New Roman" w:hAnsi="Times New Roman" w:cs="Times New Roman"/>
          <w:sz w:val="24"/>
          <w:szCs w:val="24"/>
        </w:rPr>
      </w:pPr>
      <m:oMathPara>
        <m:oMath>
          <m:sSub>
            <m:sSubPr>
              <m:ctrlPr>
                <w:rPr>
                  <w:rFonts w:ascii="Cambria Math" w:eastAsia="Cambria Math" w:hAnsi="Cambria Math" w:cs="Cambria Math"/>
                  <w:i/>
                  <w:sz w:val="24"/>
                  <w:szCs w:val="24"/>
                </w:rPr>
              </m:ctrlPr>
            </m:sSubPr>
            <m:e>
              <m:r>
                <w:rPr>
                  <w:rFonts w:ascii="Cambria Math" w:eastAsia="Cambria Math" w:hAnsi="Cambria Math" w:cs="Cambria Math"/>
                  <w:sz w:val="24"/>
                  <w:szCs w:val="24"/>
                </w:rPr>
                <m:t>M</m:t>
              </m:r>
            </m:e>
            <m:sub>
              <m:r>
                <w:rPr>
                  <w:rFonts w:ascii="Cambria Math" w:eastAsia="Cambria Math" w:hAnsi="Cambria Math" w:cs="Cambria Math"/>
                  <w:sz w:val="24"/>
                  <w:szCs w:val="24"/>
                </w:rPr>
                <m:t>NMOC</m:t>
              </m:r>
            </m:sub>
          </m:sSub>
          <m:r>
            <w:rPr>
              <w:rFonts w:ascii="Cambria Math" w:eastAsia="Cambria Math" w:hAnsi="Cambria Math" w:cs="Cambria Math"/>
              <w:sz w:val="24"/>
              <w:szCs w:val="24"/>
            </w:rPr>
            <m:t>=</m:t>
          </m:r>
          <m:nary>
            <m:naryPr>
              <m:chr m:val="∑"/>
              <m:grow m:val="1"/>
              <m:ctrlPr>
                <w:rPr>
                  <w:rFonts w:ascii="Cambria Math" w:eastAsia="Times New Roman" w:hAnsi="Cambria Math" w:cs="Times New Roman"/>
                  <w:sz w:val="24"/>
                  <w:szCs w:val="24"/>
                </w:rPr>
              </m:ctrlPr>
            </m:naryPr>
            <m:sub>
              <m:r>
                <w:rPr>
                  <w:rFonts w:ascii="Cambria Math" w:eastAsia="Cambria Math" w:hAnsi="Cambria Math" w:cs="Cambria Math"/>
                  <w:sz w:val="24"/>
                  <w:szCs w:val="24"/>
                </w:rPr>
                <m:t>i=1</m:t>
              </m:r>
            </m:sub>
            <m:sup>
              <m:r>
                <w:rPr>
                  <w:rFonts w:ascii="Cambria Math" w:eastAsia="Cambria Math" w:hAnsi="Cambria Math" w:cs="Cambria Math"/>
                  <w:sz w:val="24"/>
                  <w:szCs w:val="24"/>
                </w:rPr>
                <m:t>n</m:t>
              </m:r>
            </m:sup>
            <m:e>
              <m:r>
                <w:rPr>
                  <w:rFonts w:ascii="Cambria Math" w:eastAsia="Times New Roman" w:hAnsi="Cambria Math" w:cs="Times New Roman"/>
                  <w:sz w:val="24"/>
                  <w:szCs w:val="24"/>
                </w:rPr>
                <m:t>2 k</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o</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i</m:t>
                  </m:r>
                </m:sub>
              </m:sSub>
              <m:d>
                <m:dPr>
                  <m:ctrlPr>
                    <w:rPr>
                      <w:rFonts w:ascii="Cambria Math" w:eastAsia="Times New Roman" w:hAnsi="Cambria Math" w:cs="Times New Roman"/>
                      <w:sz w:val="24"/>
                      <w:szCs w:val="24"/>
                    </w:rPr>
                  </m:ctrlPr>
                </m:dPr>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-kt</m:t>
                      </m:r>
                      <m:r>
                        <w:rPr>
                          <w:rFonts w:ascii="Cambria Math" w:eastAsia="Times New Roman" w:hAnsi="Cambria Math" w:cs="Times New Roman"/>
                          <w:position w:val="-6"/>
                          <w:sz w:val="24"/>
                          <w:szCs w:val="24"/>
                        </w:rPr>
                        <m:t>i</m:t>
                      </m:r>
                    </m:sup>
                  </m:sSup>
                </m:e>
              </m:d>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NMOC</m:t>
                  </m:r>
                </m:sub>
              </m:sSub>
            </m:e>
          </m:nary>
          <m:r>
            <w:rPr>
              <w:rFonts w:ascii="Cambria Math" w:eastAsia="Times New Roman" w:hAnsi="Cambria Math" w:cs="Times New Roman"/>
              <w:sz w:val="24"/>
              <w:szCs w:val="24"/>
            </w:rPr>
            <m:t xml:space="preserve">)(3.6 x </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-9</m:t>
              </m:r>
            </m:sup>
          </m:sSup>
          <m:r>
            <w:rPr>
              <w:rFonts w:ascii="Cambria Math" w:eastAsia="Times New Roman" w:hAnsi="Cambria Math" w:cs="Times New Roman"/>
              <w:sz w:val="24"/>
              <w:szCs w:val="24"/>
            </w:rPr>
            <m:t>)</m:t>
          </m:r>
        </m:oMath>
      </m:oMathPara>
    </w:p>
    <w:p w14:paraId="5E85D0C0"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Where:</w:t>
      </w:r>
    </w:p>
    <w:p w14:paraId="4EA63309"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M</w:t>
      </w:r>
      <w:r w:rsidRPr="00E04270">
        <w:rPr>
          <w:rFonts w:ascii="Arial" w:eastAsia="Times New Roman" w:hAnsi="Arial" w:cs="Arial"/>
          <w:sz w:val="20"/>
          <w:szCs w:val="20"/>
          <w:vertAlign w:val="subscript"/>
        </w:rPr>
        <w:t>NMOC</w:t>
      </w:r>
      <w:r w:rsidRPr="00E04270">
        <w:rPr>
          <w:rFonts w:ascii="Arial" w:eastAsia="Times New Roman" w:hAnsi="Arial" w:cs="Arial"/>
          <w:sz w:val="20"/>
          <w:szCs w:val="20"/>
        </w:rPr>
        <w:t xml:space="preserve"> = Total NMOC emission rate from the landfill, megagrams per year </w:t>
      </w:r>
    </w:p>
    <w:p w14:paraId="5900BF94"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k = methane generation rate constant, year</w:t>
      </w:r>
      <w:r w:rsidRPr="00E04270">
        <w:rPr>
          <w:rFonts w:ascii="Arial" w:eastAsia="Times New Roman" w:hAnsi="Arial" w:cs="Arial"/>
          <w:sz w:val="20"/>
          <w:szCs w:val="20"/>
          <w:vertAlign w:val="superscript"/>
        </w:rPr>
        <w:t>−1</w:t>
      </w:r>
      <w:r w:rsidRPr="00E04270">
        <w:rPr>
          <w:rFonts w:ascii="Arial" w:eastAsia="Times New Roman" w:hAnsi="Arial" w:cs="Arial"/>
          <w:sz w:val="20"/>
          <w:szCs w:val="20"/>
        </w:rPr>
        <w:t xml:space="preserve"> </w:t>
      </w:r>
    </w:p>
    <w:p w14:paraId="0CC26C68"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L</w:t>
      </w:r>
      <w:r w:rsidRPr="00E04270">
        <w:rPr>
          <w:rFonts w:ascii="Arial" w:eastAsia="Times New Roman" w:hAnsi="Arial" w:cs="Arial"/>
          <w:sz w:val="20"/>
          <w:szCs w:val="20"/>
          <w:vertAlign w:val="subscript"/>
        </w:rPr>
        <w:t>o</w:t>
      </w:r>
      <w:r w:rsidRPr="00E04270">
        <w:rPr>
          <w:rFonts w:ascii="Arial" w:eastAsia="Times New Roman" w:hAnsi="Arial" w:cs="Arial"/>
          <w:sz w:val="20"/>
          <w:szCs w:val="20"/>
        </w:rPr>
        <w:t xml:space="preserve"> = methane generation potential, cubic meters per megagram solid waste </w:t>
      </w:r>
    </w:p>
    <w:p w14:paraId="19C58AE1"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M</w:t>
      </w:r>
      <w:r w:rsidRPr="00E04270">
        <w:rPr>
          <w:rFonts w:ascii="Arial" w:eastAsia="Times New Roman" w:hAnsi="Arial" w:cs="Arial"/>
          <w:sz w:val="20"/>
          <w:szCs w:val="20"/>
          <w:vertAlign w:val="subscript"/>
        </w:rPr>
        <w:t>i</w:t>
      </w:r>
      <w:r w:rsidRPr="00E04270">
        <w:rPr>
          <w:rFonts w:ascii="Arial" w:eastAsia="Times New Roman" w:hAnsi="Arial" w:cs="Arial"/>
          <w:sz w:val="20"/>
          <w:szCs w:val="20"/>
        </w:rPr>
        <w:t xml:space="preserve"> = mass of solid waste in the </w:t>
      </w:r>
      <w:proofErr w:type="spellStart"/>
      <w:r w:rsidRPr="00E04270">
        <w:rPr>
          <w:rFonts w:ascii="Arial" w:eastAsia="Times New Roman" w:hAnsi="Arial" w:cs="Arial"/>
          <w:sz w:val="20"/>
          <w:szCs w:val="20"/>
        </w:rPr>
        <w:t>i</w:t>
      </w:r>
      <w:r w:rsidRPr="00E04270">
        <w:rPr>
          <w:rFonts w:ascii="Arial" w:eastAsia="Times New Roman" w:hAnsi="Arial" w:cs="Arial"/>
          <w:sz w:val="20"/>
          <w:szCs w:val="20"/>
          <w:vertAlign w:val="superscript"/>
        </w:rPr>
        <w:t>th</w:t>
      </w:r>
      <w:proofErr w:type="spellEnd"/>
      <w:r w:rsidRPr="00E04270">
        <w:rPr>
          <w:rFonts w:ascii="Arial" w:eastAsia="Times New Roman" w:hAnsi="Arial" w:cs="Arial"/>
          <w:sz w:val="20"/>
          <w:szCs w:val="20"/>
        </w:rPr>
        <w:t xml:space="preserve"> section, megagrams </w:t>
      </w:r>
    </w:p>
    <w:p w14:paraId="4A6D9CF3" w14:textId="77777777" w:rsidR="00E04270" w:rsidRPr="00E04270" w:rsidRDefault="00000000" w:rsidP="0003471C">
      <w:pPr>
        <w:spacing w:before="120"/>
        <w:rPr>
          <w:rFonts w:ascii="Arial" w:eastAsia="Times New Roman" w:hAnsi="Arial" w:cs="Arial"/>
          <w:sz w:val="20"/>
          <w:szCs w:val="20"/>
        </w:rPr>
      </w:pPr>
      <w:proofErr w:type="spellStart"/>
      <w:r w:rsidRPr="00E04270">
        <w:rPr>
          <w:rFonts w:ascii="Arial" w:eastAsia="Times New Roman" w:hAnsi="Arial" w:cs="Arial"/>
          <w:sz w:val="20"/>
          <w:szCs w:val="20"/>
        </w:rPr>
        <w:t>t</w:t>
      </w:r>
      <w:r w:rsidRPr="00E04270">
        <w:rPr>
          <w:rFonts w:ascii="Arial" w:eastAsia="Times New Roman" w:hAnsi="Arial" w:cs="Arial"/>
          <w:sz w:val="20"/>
          <w:szCs w:val="20"/>
          <w:vertAlign w:val="subscript"/>
        </w:rPr>
        <w:t>i</w:t>
      </w:r>
      <w:proofErr w:type="spellEnd"/>
      <w:r w:rsidRPr="00E04270">
        <w:rPr>
          <w:rFonts w:ascii="Arial" w:eastAsia="Times New Roman" w:hAnsi="Arial" w:cs="Arial"/>
          <w:sz w:val="20"/>
          <w:szCs w:val="20"/>
        </w:rPr>
        <w:t xml:space="preserve"> = age of the </w:t>
      </w:r>
      <w:proofErr w:type="spellStart"/>
      <w:r w:rsidRPr="00E04270">
        <w:rPr>
          <w:rFonts w:ascii="Arial" w:eastAsia="Times New Roman" w:hAnsi="Arial" w:cs="Arial"/>
          <w:sz w:val="20"/>
          <w:szCs w:val="20"/>
        </w:rPr>
        <w:t>i</w:t>
      </w:r>
      <w:r w:rsidRPr="00E04270">
        <w:rPr>
          <w:rFonts w:ascii="Arial" w:eastAsia="Times New Roman" w:hAnsi="Arial" w:cs="Arial"/>
          <w:sz w:val="20"/>
          <w:szCs w:val="20"/>
          <w:vertAlign w:val="superscript"/>
        </w:rPr>
        <w:t>th</w:t>
      </w:r>
      <w:proofErr w:type="spellEnd"/>
      <w:r w:rsidRPr="00E04270">
        <w:rPr>
          <w:rFonts w:ascii="Arial" w:eastAsia="Times New Roman" w:hAnsi="Arial" w:cs="Arial"/>
          <w:sz w:val="20"/>
          <w:szCs w:val="20"/>
        </w:rPr>
        <w:t xml:space="preserve"> section, years </w:t>
      </w:r>
    </w:p>
    <w:p w14:paraId="6A2AED7E"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C</w:t>
      </w:r>
      <w:r w:rsidRPr="00E04270">
        <w:rPr>
          <w:rFonts w:ascii="Arial" w:eastAsia="Times New Roman" w:hAnsi="Arial" w:cs="Arial"/>
          <w:sz w:val="20"/>
          <w:szCs w:val="20"/>
          <w:vertAlign w:val="subscript"/>
        </w:rPr>
        <w:t>NMOC</w:t>
      </w:r>
      <w:r w:rsidRPr="00E04270">
        <w:rPr>
          <w:rFonts w:ascii="Arial" w:eastAsia="Times New Roman" w:hAnsi="Arial" w:cs="Arial"/>
          <w:sz w:val="20"/>
          <w:szCs w:val="20"/>
        </w:rPr>
        <w:t xml:space="preserve"> = concentration of NMOC, parts per million by volume as hexane </w:t>
      </w:r>
    </w:p>
    <w:p w14:paraId="0BE5E51A"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3.6 × 10</w:t>
      </w:r>
      <w:r w:rsidRPr="00E04270">
        <w:rPr>
          <w:rFonts w:ascii="Arial" w:eastAsia="Times New Roman" w:hAnsi="Arial" w:cs="Arial"/>
          <w:sz w:val="20"/>
          <w:szCs w:val="20"/>
          <w:vertAlign w:val="superscript"/>
        </w:rPr>
        <w:t>−9</w:t>
      </w:r>
      <w:r w:rsidRPr="00E04270">
        <w:rPr>
          <w:rFonts w:ascii="Arial" w:eastAsia="Times New Roman" w:hAnsi="Arial" w:cs="Arial"/>
          <w:sz w:val="20"/>
          <w:szCs w:val="20"/>
        </w:rPr>
        <w:t xml:space="preserve"> = conversion factor </w:t>
      </w:r>
    </w:p>
    <w:p w14:paraId="0D92C042"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The mass of nondegradable solid waste may be subtracted from the total mass of solid waste in a particular section of the landfill when calculating the value for M</w:t>
      </w:r>
      <w:r w:rsidRPr="00E04270">
        <w:rPr>
          <w:rFonts w:ascii="Arial" w:eastAsia="Times New Roman" w:hAnsi="Arial" w:cs="Arial"/>
          <w:sz w:val="20"/>
          <w:szCs w:val="20"/>
          <w:vertAlign w:val="subscript"/>
        </w:rPr>
        <w:t>i</w:t>
      </w:r>
      <w:r w:rsidRPr="00E04270">
        <w:rPr>
          <w:rFonts w:ascii="Arial" w:eastAsia="Times New Roman" w:hAnsi="Arial" w:cs="Arial"/>
          <w:sz w:val="20"/>
          <w:szCs w:val="20"/>
        </w:rPr>
        <w:t xml:space="preserve"> if documentation of the nature and amount of such wastes is maintained.</w:t>
      </w:r>
    </w:p>
    <w:p w14:paraId="51E66517" w14:textId="77777777" w:rsidR="00E04270" w:rsidRPr="00E04270" w:rsidRDefault="00000000" w:rsidP="0003471C">
      <w:pPr>
        <w:pStyle w:val="Caption3"/>
      </w:pPr>
      <w:r w:rsidRPr="00E04270">
        <w:t>Equation 2</w:t>
      </w:r>
    </w:p>
    <w:p w14:paraId="0EC0F747" w14:textId="77777777" w:rsidR="00E04270" w:rsidRPr="00E04270" w:rsidRDefault="00000000" w:rsidP="0003471C">
      <w:pPr>
        <w:spacing w:after="0"/>
        <w:rPr>
          <w:rFonts w:ascii="Arial" w:eastAsia="Times New Roman" w:hAnsi="Arial" w:cs="Arial"/>
          <w:sz w:val="20"/>
          <w:szCs w:val="20"/>
        </w:rPr>
      </w:pPr>
      <w:r w:rsidRPr="00E04270">
        <w:rPr>
          <w:rFonts w:ascii="Arial" w:eastAsia="Times New Roman" w:hAnsi="Arial" w:cs="Arial"/>
          <w:sz w:val="20"/>
          <w:szCs w:val="20"/>
        </w:rPr>
        <w:t xml:space="preserve">The following equation shall be used if the actual year-to-year solid waste acceptance rate is unknown.  </w:t>
      </w:r>
      <w:r w:rsidRPr="00E04270">
        <w:rPr>
          <w:rFonts w:ascii="Arial" w:eastAsia="Times New Roman" w:hAnsi="Arial" w:cs="Arial"/>
          <w:b/>
          <w:sz w:val="20"/>
          <w:szCs w:val="20"/>
        </w:rPr>
        <w:t>(40 CFR 62.16718(a)(1)(ii)(A))</w:t>
      </w:r>
    </w:p>
    <w:p w14:paraId="1BDB230E" w14:textId="77777777" w:rsidR="00E04270" w:rsidRPr="00E04270" w:rsidRDefault="00000000" w:rsidP="0003471C">
      <w:pPr>
        <w:spacing w:before="100" w:beforeAutospacing="1" w:after="0"/>
        <w:jc w:val="center"/>
        <w:rPr>
          <w:rFonts w:ascii="Times New Roman" w:eastAsia="Times New Roman" w:hAnsi="Times New Roman" w:cs="Times New Roman"/>
          <w:sz w:val="24"/>
          <w:szCs w:val="24"/>
        </w:rPr>
      </w:pPr>
      <w:r w:rsidRPr="00E04270">
        <w:rPr>
          <w:rFonts w:ascii="Times New Roman" w:eastAsia="Times New Roman" w:hAnsi="Times New Roman" w:cs="Times New Roman"/>
          <w:i/>
          <w:sz w:val="24"/>
          <w:szCs w:val="24"/>
        </w:rPr>
        <w:t>M</w:t>
      </w:r>
      <w:r w:rsidRPr="00E04270">
        <w:rPr>
          <w:rFonts w:ascii="Times New Roman" w:eastAsia="Times New Roman" w:hAnsi="Times New Roman" w:cs="Times New Roman"/>
          <w:i/>
          <w:sz w:val="24"/>
          <w:szCs w:val="24"/>
          <w:vertAlign w:val="subscript"/>
        </w:rPr>
        <w:t>NMOC</w:t>
      </w:r>
      <w:r w:rsidRPr="00E04270">
        <w:rPr>
          <w:rFonts w:ascii="Times New Roman" w:eastAsia="Times New Roman" w:hAnsi="Times New Roman" w:cs="Times New Roman"/>
          <w:sz w:val="24"/>
          <w:szCs w:val="24"/>
        </w:rPr>
        <w:t xml:space="preserve"> = 2L</w:t>
      </w:r>
      <w:r w:rsidRPr="00E04270">
        <w:rPr>
          <w:rFonts w:ascii="Times New Roman" w:eastAsia="Times New Roman" w:hAnsi="Times New Roman" w:cs="Times New Roman"/>
          <w:sz w:val="24"/>
          <w:szCs w:val="24"/>
          <w:vertAlign w:val="subscript"/>
        </w:rPr>
        <w:t>o</w:t>
      </w:r>
      <w:r w:rsidRPr="00E04270">
        <w:rPr>
          <w:rFonts w:ascii="Times New Roman" w:eastAsia="Times New Roman" w:hAnsi="Times New Roman" w:cs="Times New Roman"/>
          <w:sz w:val="24"/>
          <w:szCs w:val="24"/>
        </w:rPr>
        <w:t xml:space="preserve"> R (e</w:t>
      </w:r>
      <w:r w:rsidRPr="00E04270">
        <w:rPr>
          <w:rFonts w:ascii="Times New Roman" w:eastAsia="Times New Roman" w:hAnsi="Times New Roman" w:cs="Times New Roman"/>
          <w:sz w:val="24"/>
          <w:szCs w:val="24"/>
          <w:vertAlign w:val="superscript"/>
        </w:rPr>
        <w:t>−kc</w:t>
      </w:r>
      <w:r w:rsidRPr="00E04270">
        <w:rPr>
          <w:rFonts w:ascii="Times New Roman" w:eastAsia="Times New Roman" w:hAnsi="Times New Roman" w:cs="Times New Roman"/>
          <w:sz w:val="24"/>
          <w:szCs w:val="24"/>
        </w:rPr>
        <w:t xml:space="preserve"> − e</w:t>
      </w:r>
      <w:r w:rsidRPr="00E04270">
        <w:rPr>
          <w:rFonts w:ascii="Times New Roman" w:eastAsia="Times New Roman" w:hAnsi="Times New Roman" w:cs="Times New Roman"/>
          <w:sz w:val="24"/>
          <w:szCs w:val="24"/>
          <w:vertAlign w:val="superscript"/>
        </w:rPr>
        <w:t>−kt</w:t>
      </w:r>
      <w:r w:rsidRPr="00E04270">
        <w:rPr>
          <w:rFonts w:ascii="Times New Roman" w:eastAsia="Times New Roman" w:hAnsi="Times New Roman" w:cs="Times New Roman"/>
          <w:sz w:val="24"/>
          <w:szCs w:val="24"/>
        </w:rPr>
        <w:t>) (</w:t>
      </w:r>
      <w:r w:rsidRPr="00E04270">
        <w:rPr>
          <w:rFonts w:ascii="Times New Roman" w:eastAsia="Times New Roman" w:hAnsi="Times New Roman" w:cs="Times New Roman"/>
          <w:i/>
          <w:sz w:val="24"/>
          <w:szCs w:val="24"/>
        </w:rPr>
        <w:t>C</w:t>
      </w:r>
      <w:r w:rsidRPr="00E04270">
        <w:rPr>
          <w:rFonts w:ascii="Times New Roman" w:eastAsia="Times New Roman" w:hAnsi="Times New Roman" w:cs="Times New Roman"/>
          <w:i/>
          <w:sz w:val="24"/>
          <w:szCs w:val="24"/>
          <w:vertAlign w:val="subscript"/>
        </w:rPr>
        <w:t>NMOC</w:t>
      </w:r>
      <w:r w:rsidRPr="00E04270">
        <w:rPr>
          <w:rFonts w:ascii="Times New Roman" w:eastAsia="Times New Roman" w:hAnsi="Times New Roman" w:cs="Times New Roman"/>
          <w:i/>
          <w:sz w:val="24"/>
          <w:szCs w:val="24"/>
        </w:rPr>
        <w:t>)</w:t>
      </w:r>
      <w:r w:rsidRPr="00E04270">
        <w:rPr>
          <w:rFonts w:ascii="Times New Roman" w:eastAsia="Times New Roman" w:hAnsi="Times New Roman" w:cs="Times New Roman"/>
          <w:sz w:val="24"/>
          <w:szCs w:val="24"/>
        </w:rPr>
        <w:t xml:space="preserve"> (3.6 × 10</w:t>
      </w:r>
      <w:r w:rsidRPr="00E04270">
        <w:rPr>
          <w:rFonts w:ascii="Times New Roman" w:eastAsia="Times New Roman" w:hAnsi="Times New Roman" w:cs="Times New Roman"/>
          <w:sz w:val="24"/>
          <w:szCs w:val="24"/>
          <w:vertAlign w:val="superscript"/>
        </w:rPr>
        <w:t>−9</w:t>
      </w:r>
      <w:r w:rsidRPr="00E04270">
        <w:rPr>
          <w:rFonts w:ascii="Times New Roman" w:eastAsia="Times New Roman" w:hAnsi="Times New Roman" w:cs="Times New Roman"/>
          <w:sz w:val="24"/>
          <w:szCs w:val="24"/>
        </w:rPr>
        <w:t xml:space="preserve">) </w:t>
      </w:r>
    </w:p>
    <w:p w14:paraId="40DC95C5"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Where:</w:t>
      </w:r>
    </w:p>
    <w:p w14:paraId="696A7D8E"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M</w:t>
      </w:r>
      <w:r w:rsidRPr="00E04270">
        <w:rPr>
          <w:rFonts w:ascii="Arial" w:eastAsia="Times New Roman" w:hAnsi="Arial" w:cs="Arial"/>
          <w:sz w:val="20"/>
          <w:szCs w:val="20"/>
          <w:vertAlign w:val="subscript"/>
        </w:rPr>
        <w:t>NMOC</w:t>
      </w:r>
      <w:r w:rsidRPr="00E04270">
        <w:rPr>
          <w:rFonts w:ascii="Arial" w:eastAsia="Times New Roman" w:hAnsi="Arial" w:cs="Arial"/>
          <w:sz w:val="20"/>
          <w:szCs w:val="20"/>
        </w:rPr>
        <w:t xml:space="preserve"> = mass emission rate of NMOC, megagrams per year </w:t>
      </w:r>
    </w:p>
    <w:p w14:paraId="355FAC5E"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L</w:t>
      </w:r>
      <w:r w:rsidRPr="00E04270">
        <w:rPr>
          <w:rFonts w:ascii="Arial" w:eastAsia="Times New Roman" w:hAnsi="Arial" w:cs="Arial"/>
          <w:sz w:val="20"/>
          <w:szCs w:val="20"/>
          <w:vertAlign w:val="subscript"/>
        </w:rPr>
        <w:t>o</w:t>
      </w:r>
      <w:r w:rsidRPr="00E04270">
        <w:rPr>
          <w:rFonts w:ascii="Arial" w:eastAsia="Times New Roman" w:hAnsi="Arial" w:cs="Arial"/>
          <w:sz w:val="20"/>
          <w:szCs w:val="20"/>
        </w:rPr>
        <w:t xml:space="preserve"> = methane generation potential, cubic meters per megagram solid waste </w:t>
      </w:r>
    </w:p>
    <w:p w14:paraId="32646EB0"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R = average annual acceptance rate, megagrams per year </w:t>
      </w:r>
    </w:p>
    <w:p w14:paraId="51F715ED"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k = methane generation rate constant, year</w:t>
      </w:r>
      <w:r w:rsidRPr="00E04270">
        <w:rPr>
          <w:rFonts w:ascii="Arial" w:eastAsia="Times New Roman" w:hAnsi="Arial" w:cs="Arial"/>
          <w:sz w:val="20"/>
          <w:szCs w:val="20"/>
          <w:vertAlign w:val="superscript"/>
        </w:rPr>
        <w:t>−1</w:t>
      </w:r>
      <w:r w:rsidRPr="00E04270">
        <w:rPr>
          <w:rFonts w:ascii="Arial" w:eastAsia="Times New Roman" w:hAnsi="Arial" w:cs="Arial"/>
          <w:sz w:val="20"/>
          <w:szCs w:val="20"/>
        </w:rPr>
        <w:t xml:space="preserve"> </w:t>
      </w:r>
    </w:p>
    <w:p w14:paraId="0F110396"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t = age of landfill, years </w:t>
      </w:r>
    </w:p>
    <w:p w14:paraId="1AC346D8" w14:textId="77777777" w:rsidR="00E04270" w:rsidRPr="00E04270" w:rsidRDefault="00000000" w:rsidP="0003471C">
      <w:pPr>
        <w:spacing w:before="120"/>
        <w:rPr>
          <w:rFonts w:ascii="Arial" w:eastAsia="Times New Roman" w:hAnsi="Arial" w:cs="Arial"/>
          <w:sz w:val="20"/>
          <w:szCs w:val="20"/>
        </w:rPr>
      </w:pPr>
      <w:bookmarkStart w:id="39" w:name="_Hlk534627627"/>
      <w:r w:rsidRPr="00E04270">
        <w:rPr>
          <w:rFonts w:ascii="Arial" w:eastAsia="Times New Roman" w:hAnsi="Arial" w:cs="Arial"/>
          <w:sz w:val="20"/>
          <w:szCs w:val="20"/>
        </w:rPr>
        <w:t>C</w:t>
      </w:r>
      <w:r w:rsidRPr="00E04270">
        <w:rPr>
          <w:rFonts w:ascii="Arial" w:eastAsia="Times New Roman" w:hAnsi="Arial" w:cs="Arial"/>
          <w:sz w:val="20"/>
          <w:szCs w:val="20"/>
          <w:vertAlign w:val="subscript"/>
        </w:rPr>
        <w:t>NMOC</w:t>
      </w:r>
      <w:bookmarkEnd w:id="39"/>
      <w:r w:rsidRPr="00E04270">
        <w:rPr>
          <w:rFonts w:ascii="Arial" w:eastAsia="Times New Roman" w:hAnsi="Arial" w:cs="Arial"/>
          <w:sz w:val="20"/>
          <w:szCs w:val="20"/>
        </w:rPr>
        <w:t xml:space="preserve"> = concentration of NMOC, parts per million by volume as hexane </w:t>
      </w:r>
    </w:p>
    <w:p w14:paraId="50818C88"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c = time since closure, years; for active landfill c = 0 and e</w:t>
      </w:r>
      <w:r w:rsidRPr="00E04270">
        <w:rPr>
          <w:rFonts w:ascii="Arial" w:eastAsia="Times New Roman" w:hAnsi="Arial" w:cs="Arial"/>
          <w:sz w:val="20"/>
          <w:szCs w:val="20"/>
          <w:vertAlign w:val="superscript"/>
        </w:rPr>
        <w:t>−kc</w:t>
      </w:r>
      <w:r w:rsidRPr="00E04270">
        <w:rPr>
          <w:rFonts w:ascii="Arial" w:eastAsia="Times New Roman" w:hAnsi="Arial" w:cs="Arial"/>
          <w:sz w:val="20"/>
          <w:szCs w:val="20"/>
        </w:rPr>
        <w:t xml:space="preserve"> = 1</w:t>
      </w:r>
    </w:p>
    <w:p w14:paraId="14F922DD"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3.6×10</w:t>
      </w:r>
      <w:r w:rsidRPr="00E04270">
        <w:rPr>
          <w:rFonts w:ascii="Arial" w:eastAsia="Times New Roman" w:hAnsi="Arial" w:cs="Arial"/>
          <w:sz w:val="20"/>
          <w:szCs w:val="20"/>
          <w:vertAlign w:val="superscript"/>
        </w:rPr>
        <w:t>−9</w:t>
      </w:r>
      <w:r w:rsidRPr="00E04270">
        <w:rPr>
          <w:rFonts w:ascii="Arial" w:eastAsia="Times New Roman" w:hAnsi="Arial" w:cs="Arial"/>
          <w:sz w:val="20"/>
          <w:szCs w:val="20"/>
        </w:rPr>
        <w:t xml:space="preserve"> = conversion factor </w:t>
      </w:r>
    </w:p>
    <w:p w14:paraId="34BB2984"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The mass of nondegradable solid waste may be subtracted from the total mass of solid waste in a particular section of the landfill when calculating the value of R, if documentation of the nature and amount of such wastes is maintained. </w:t>
      </w:r>
    </w:p>
    <w:p w14:paraId="0B346D65" w14:textId="77777777" w:rsidR="00E04270" w:rsidRPr="00E04270" w:rsidRDefault="00000000" w:rsidP="0003471C">
      <w:pPr>
        <w:pStyle w:val="Caption3"/>
      </w:pPr>
      <w:r w:rsidRPr="00E04270">
        <w:t>Tier 1</w:t>
      </w:r>
    </w:p>
    <w:p w14:paraId="6ACD0853" w14:textId="77777777" w:rsidR="00E04270" w:rsidRPr="00E04270" w:rsidRDefault="00000000" w:rsidP="0003471C">
      <w:pPr>
        <w:spacing w:before="120"/>
        <w:rPr>
          <w:rFonts w:ascii="Arial" w:eastAsia="Times New Roman" w:hAnsi="Arial" w:cs="Times New Roman"/>
          <w:sz w:val="20"/>
          <w:szCs w:val="20"/>
        </w:rPr>
      </w:pPr>
      <w:r w:rsidRPr="00E04270">
        <w:rPr>
          <w:rFonts w:ascii="Arial" w:eastAsia="Times New Roman" w:hAnsi="Arial" w:cs="Times New Roman"/>
          <w:sz w:val="20"/>
          <w:szCs w:val="20"/>
        </w:rPr>
        <w:t xml:space="preserve">The permittee must calculate NMOC mass emission rate utilizing Equation 1 or 2 in </w:t>
      </w:r>
      <w:r w:rsidRPr="00E04270">
        <w:rPr>
          <w:rFonts w:ascii="Arial" w:eastAsia="Times New Roman" w:hAnsi="Arial" w:cs="Times New Roman"/>
          <w:b/>
          <w:sz w:val="20"/>
          <w:szCs w:val="20"/>
        </w:rPr>
        <w:t>Appendix 7</w:t>
      </w:r>
      <w:r w:rsidRPr="00E04270">
        <w:rPr>
          <w:rFonts w:ascii="Arial" w:eastAsia="Times New Roman" w:hAnsi="Arial" w:cs="Times New Roman"/>
          <w:sz w:val="20"/>
          <w:szCs w:val="20"/>
        </w:rPr>
        <w:t xml:space="preserve">, as applicable, and compare it to the standard of 34 </w:t>
      </w:r>
      <w:r w:rsidRPr="00E04270">
        <w:rPr>
          <w:rFonts w:ascii="Arial" w:eastAsia="Times New Roman" w:hAnsi="Arial" w:cs="Arial"/>
          <w:sz w:val="20"/>
          <w:szCs w:val="20"/>
        </w:rPr>
        <w:t>Mg</w:t>
      </w:r>
      <w:r w:rsidRPr="00E04270">
        <w:rPr>
          <w:rFonts w:ascii="Arial" w:eastAsia="Times New Roman" w:hAnsi="Arial" w:cs="Times New Roman"/>
          <w:sz w:val="20"/>
          <w:szCs w:val="20"/>
        </w:rPr>
        <w:t xml:space="preserve"> per year. </w:t>
      </w:r>
      <w:r w:rsidRPr="00E04270">
        <w:rPr>
          <w:rFonts w:ascii="Arial" w:eastAsia="Times New Roman" w:hAnsi="Arial" w:cs="Times New Roman"/>
          <w:b/>
          <w:sz w:val="20"/>
          <w:szCs w:val="20"/>
        </w:rPr>
        <w:t xml:space="preserve"> (40 CFR 62.16718(a)(2))</w:t>
      </w:r>
    </w:p>
    <w:p w14:paraId="685A9527" w14:textId="77777777" w:rsidR="00E04270" w:rsidRPr="00E04270" w:rsidRDefault="00000000" w:rsidP="0003471C">
      <w:pPr>
        <w:pStyle w:val="Caption3"/>
      </w:pPr>
      <w:r w:rsidRPr="00E04270">
        <w:t>Tier 2</w:t>
      </w:r>
    </w:p>
    <w:p w14:paraId="7618ED4E" w14:textId="77777777" w:rsidR="00E04270" w:rsidRPr="00E04270" w:rsidRDefault="00000000" w:rsidP="0003471C">
      <w:pPr>
        <w:rPr>
          <w:rFonts w:ascii="Arial" w:eastAsia="Times New Roman" w:hAnsi="Arial" w:cs="Arial"/>
          <w:sz w:val="20"/>
          <w:szCs w:val="20"/>
        </w:rPr>
      </w:pPr>
      <w:r w:rsidRPr="00E04270">
        <w:rPr>
          <w:rFonts w:ascii="Arial" w:eastAsia="Times New Roman" w:hAnsi="Arial" w:cs="Arial"/>
          <w:sz w:val="20"/>
          <w:szCs w:val="20"/>
        </w:rPr>
        <w:lastRenderedPageBreak/>
        <w:t xml:space="preserve">The permittee must recalculate the NMOC mass emission rate using </w:t>
      </w:r>
      <w:r w:rsidRPr="00E04270">
        <w:rPr>
          <w:rFonts w:ascii="Arial" w:eastAsia="Times New Roman" w:hAnsi="Arial" w:cs="Arial"/>
          <w:b/>
          <w:sz w:val="20"/>
          <w:szCs w:val="20"/>
        </w:rPr>
        <w:t>Equation 1</w:t>
      </w:r>
      <w:r w:rsidRPr="00E04270">
        <w:rPr>
          <w:rFonts w:ascii="Arial" w:eastAsia="Times New Roman" w:hAnsi="Arial" w:cs="Arial"/>
          <w:sz w:val="20"/>
          <w:szCs w:val="20"/>
        </w:rPr>
        <w:t xml:space="preserve"> or </w:t>
      </w:r>
      <w:r w:rsidRPr="00E04270">
        <w:rPr>
          <w:rFonts w:ascii="Arial" w:eastAsia="Times New Roman" w:hAnsi="Arial" w:cs="Arial"/>
          <w:b/>
          <w:sz w:val="20"/>
          <w:szCs w:val="20"/>
        </w:rPr>
        <w:t>Equation 2</w:t>
      </w:r>
      <w:r w:rsidRPr="00E04270">
        <w:rPr>
          <w:rFonts w:ascii="Arial" w:eastAsia="Times New Roman" w:hAnsi="Arial" w:cs="Arial"/>
          <w:sz w:val="20"/>
          <w:szCs w:val="20"/>
        </w:rPr>
        <w:t xml:space="preserve"> in </w:t>
      </w:r>
      <w:r w:rsidRPr="00E04270">
        <w:rPr>
          <w:rFonts w:ascii="Arial" w:eastAsia="Times New Roman" w:hAnsi="Arial" w:cs="Arial"/>
          <w:b/>
          <w:sz w:val="20"/>
          <w:szCs w:val="20"/>
        </w:rPr>
        <w:t>Appendix 7</w:t>
      </w:r>
      <w:r w:rsidRPr="00E04270">
        <w:rPr>
          <w:rFonts w:ascii="Arial" w:eastAsia="Times New Roman" w:hAnsi="Arial" w:cs="Arial"/>
          <w:sz w:val="20"/>
          <w:szCs w:val="20"/>
        </w:rPr>
        <w:t xml:space="preserve"> and using the average site-specific NMOC concentration from the collected samples (</w:t>
      </w:r>
      <w:r w:rsidRPr="00E04270">
        <w:rPr>
          <w:rFonts w:ascii="Arial" w:eastAsia="Times New Roman" w:hAnsi="Arial" w:cs="Arial"/>
          <w:b/>
          <w:sz w:val="20"/>
          <w:szCs w:val="20"/>
        </w:rPr>
        <w:t>Tier 2</w:t>
      </w:r>
      <w:r w:rsidRPr="00E04270">
        <w:rPr>
          <w:rFonts w:ascii="Arial" w:eastAsia="Times New Roman" w:hAnsi="Arial" w:cs="Arial"/>
          <w:sz w:val="20"/>
          <w:szCs w:val="20"/>
        </w:rPr>
        <w:t xml:space="preserve"> testing in </w:t>
      </w:r>
      <w:r w:rsidRPr="00E04270">
        <w:rPr>
          <w:rFonts w:ascii="Arial" w:eastAsia="Times New Roman" w:hAnsi="Arial" w:cs="Arial"/>
          <w:b/>
          <w:sz w:val="20"/>
          <w:szCs w:val="20"/>
        </w:rPr>
        <w:t>Appendix 5</w:t>
      </w:r>
      <w:r w:rsidRPr="00E04270">
        <w:rPr>
          <w:rFonts w:ascii="Arial" w:eastAsia="Times New Roman" w:hAnsi="Arial" w:cs="Arial"/>
          <w:sz w:val="20"/>
          <w:szCs w:val="20"/>
        </w:rPr>
        <w:t xml:space="preserve">) instead of the default value in the equation provided in 40 CFR 62.16718(a)(1).  </w:t>
      </w:r>
      <w:r w:rsidRPr="00E04270">
        <w:rPr>
          <w:rFonts w:ascii="Arial" w:eastAsia="Times New Roman" w:hAnsi="Arial" w:cs="Arial"/>
          <w:b/>
          <w:sz w:val="20"/>
          <w:szCs w:val="20"/>
        </w:rPr>
        <w:t>(40 CFR 62.16718(a)(3)(ii))</w:t>
      </w:r>
    </w:p>
    <w:p w14:paraId="3554B802" w14:textId="77777777" w:rsidR="00E04270" w:rsidRPr="00E04270" w:rsidRDefault="00000000" w:rsidP="0003471C">
      <w:pPr>
        <w:rPr>
          <w:rFonts w:ascii="Arial" w:eastAsia="Times New Roman" w:hAnsi="Arial" w:cs="Arial"/>
          <w:sz w:val="20"/>
          <w:szCs w:val="20"/>
        </w:rPr>
      </w:pPr>
      <w:r w:rsidRPr="00E04270">
        <w:rPr>
          <w:rFonts w:ascii="Arial" w:eastAsia="Times New Roman" w:hAnsi="Arial" w:cs="Arial"/>
          <w:sz w:val="20"/>
          <w:szCs w:val="20"/>
        </w:rPr>
        <w:t xml:space="preserve">If the resulting </w:t>
      </w:r>
      <w:r w:rsidRPr="00E04270">
        <w:rPr>
          <w:rFonts w:ascii="Arial" w:eastAsia="Times New Roman" w:hAnsi="Arial" w:cs="Arial"/>
          <w:b/>
          <w:sz w:val="20"/>
          <w:szCs w:val="20"/>
        </w:rPr>
        <w:t>Tier 2</w:t>
      </w:r>
      <w:r w:rsidRPr="00E04270">
        <w:rPr>
          <w:rFonts w:ascii="Arial" w:eastAsia="Times New Roman" w:hAnsi="Arial" w:cs="Arial"/>
          <w:sz w:val="20"/>
          <w:szCs w:val="20"/>
        </w:rPr>
        <w:t xml:space="preserve"> NMOC mass emission rate is less than 34 Mg per year, the permittee must submit a periodic estimate of NMOC emissions in an NMOC emission rate report as provided in 40 CFR 62.16724(c) and must recalculate the NMOC mass emission rate annually as required under 40 CFR 62.16714(e).  The site-specific NMOC concentration must be retested every 5 years.  </w:t>
      </w:r>
      <w:r w:rsidRPr="00E04270">
        <w:rPr>
          <w:rFonts w:ascii="Arial" w:eastAsia="Times New Roman" w:hAnsi="Arial" w:cs="Arial"/>
          <w:b/>
          <w:sz w:val="20"/>
          <w:szCs w:val="20"/>
        </w:rPr>
        <w:t>(40 CFR 62.16718(a)(3)(iii))</w:t>
      </w:r>
    </w:p>
    <w:p w14:paraId="0E23E325" w14:textId="77777777" w:rsidR="00E04270" w:rsidRPr="00E04270" w:rsidRDefault="00000000" w:rsidP="0003471C">
      <w:pPr>
        <w:spacing w:after="120"/>
        <w:rPr>
          <w:rFonts w:ascii="Arial" w:eastAsia="Times New Roman" w:hAnsi="Arial" w:cs="Arial"/>
          <w:sz w:val="20"/>
          <w:szCs w:val="20"/>
        </w:rPr>
      </w:pPr>
      <w:r w:rsidRPr="00E04270">
        <w:rPr>
          <w:rFonts w:ascii="Arial" w:eastAsia="Times New Roman" w:hAnsi="Arial" w:cs="Arial"/>
          <w:sz w:val="20"/>
          <w:szCs w:val="20"/>
        </w:rPr>
        <w:t>If the NMOC mass emission rate as calculated using the Tier 2 site-specific NMOC concentration is equal to or greater than 34 Mg per year, then the permittee must either:</w:t>
      </w:r>
    </w:p>
    <w:p w14:paraId="11CDC1AF" w14:textId="77777777" w:rsidR="00E04270" w:rsidRPr="00E04270" w:rsidRDefault="00000000" w:rsidP="0003471C">
      <w:pPr>
        <w:numPr>
          <w:ilvl w:val="0"/>
          <w:numId w:val="11"/>
        </w:numPr>
        <w:spacing w:after="120"/>
        <w:rPr>
          <w:rFonts w:ascii="Arial" w:eastAsia="Times New Roman" w:hAnsi="Arial" w:cs="Arial"/>
          <w:b/>
          <w:sz w:val="20"/>
          <w:szCs w:val="20"/>
        </w:rPr>
      </w:pPr>
      <w:r w:rsidRPr="00E04270">
        <w:rPr>
          <w:rFonts w:ascii="Arial" w:eastAsia="Times New Roman" w:hAnsi="Arial" w:cs="Arial"/>
          <w:sz w:val="20"/>
          <w:szCs w:val="20"/>
        </w:rPr>
        <w:t>Comply with 40 CFR 62.16724(d) (submit a gas collection and control system design plan prepared by a professional engineer within 1 year)</w:t>
      </w:r>
      <w:r w:rsidRPr="00E04270">
        <w:rPr>
          <w:rFonts w:ascii="Arial" w:eastAsia="Times New Roman" w:hAnsi="Arial" w:cs="Arial"/>
          <w:b/>
          <w:sz w:val="20"/>
          <w:szCs w:val="20"/>
        </w:rPr>
        <w:t xml:space="preserve">  (40 CFR 62.16718(a)(3)(iv)(A)</w:t>
      </w:r>
      <w:r w:rsidRPr="00E04270">
        <w:rPr>
          <w:rFonts w:ascii="Arial" w:eastAsia="Times New Roman" w:hAnsi="Arial" w:cs="Arial"/>
          <w:sz w:val="20"/>
          <w:szCs w:val="20"/>
        </w:rPr>
        <w:t xml:space="preserve">, or </w:t>
      </w:r>
    </w:p>
    <w:p w14:paraId="1D8C15BE" w14:textId="77777777" w:rsidR="00E04270" w:rsidRPr="00E04270" w:rsidRDefault="00000000" w:rsidP="0003471C">
      <w:pPr>
        <w:numPr>
          <w:ilvl w:val="0"/>
          <w:numId w:val="11"/>
        </w:numPr>
        <w:spacing w:after="120"/>
        <w:rPr>
          <w:rFonts w:ascii="Arial" w:eastAsia="Times New Roman" w:hAnsi="Arial" w:cs="Arial"/>
          <w:b/>
          <w:sz w:val="20"/>
          <w:szCs w:val="20"/>
        </w:rPr>
      </w:pPr>
      <w:r w:rsidRPr="00E04270">
        <w:rPr>
          <w:rFonts w:ascii="Arial" w:eastAsia="Times New Roman" w:hAnsi="Arial" w:cs="Arial"/>
          <w:sz w:val="20"/>
          <w:szCs w:val="20"/>
        </w:rPr>
        <w:t xml:space="preserve">Determine the site-specific methane generation rate constant and recalculate the NMOC emission rate using the site-specific methane generation rate using the procedure specified in </w:t>
      </w:r>
      <w:r w:rsidRPr="00E04270">
        <w:rPr>
          <w:rFonts w:ascii="Arial" w:eastAsia="Times New Roman" w:hAnsi="Arial" w:cs="Arial"/>
          <w:b/>
          <w:sz w:val="20"/>
          <w:szCs w:val="20"/>
        </w:rPr>
        <w:t>Tier 3</w:t>
      </w:r>
      <w:r w:rsidRPr="00E04270">
        <w:rPr>
          <w:rFonts w:ascii="Arial" w:eastAsia="Times New Roman" w:hAnsi="Arial" w:cs="Arial"/>
          <w:sz w:val="20"/>
          <w:szCs w:val="20"/>
        </w:rPr>
        <w:t xml:space="preserve"> (40 CFR 62.16718(a)(4)), </w:t>
      </w:r>
      <w:r w:rsidRPr="00E04270">
        <w:rPr>
          <w:rFonts w:ascii="Arial" w:eastAsia="Times New Roman" w:hAnsi="Arial" w:cs="Arial"/>
          <w:b/>
          <w:sz w:val="20"/>
          <w:szCs w:val="20"/>
        </w:rPr>
        <w:t xml:space="preserve"> (40 CFR 62.16718(a)(3)(iv)(B))</w:t>
      </w:r>
      <w:r w:rsidRPr="00E04270">
        <w:rPr>
          <w:rFonts w:ascii="Arial" w:eastAsia="Times New Roman" w:hAnsi="Arial" w:cs="Arial"/>
          <w:sz w:val="20"/>
          <w:szCs w:val="20"/>
        </w:rPr>
        <w:t>, or</w:t>
      </w:r>
    </w:p>
    <w:p w14:paraId="222AD239" w14:textId="77777777" w:rsidR="00E04270" w:rsidRPr="00E04270" w:rsidRDefault="00000000" w:rsidP="0003471C">
      <w:pPr>
        <w:numPr>
          <w:ilvl w:val="0"/>
          <w:numId w:val="11"/>
        </w:numPr>
        <w:spacing w:before="120"/>
        <w:ind w:left="778"/>
        <w:rPr>
          <w:rFonts w:ascii="Arial" w:eastAsia="Times New Roman" w:hAnsi="Arial" w:cs="Arial"/>
          <w:b/>
          <w:sz w:val="20"/>
          <w:szCs w:val="20"/>
        </w:rPr>
      </w:pPr>
      <w:r w:rsidRPr="00E04270">
        <w:rPr>
          <w:rFonts w:ascii="Arial" w:eastAsia="Times New Roman" w:hAnsi="Arial" w:cs="Arial"/>
          <w:sz w:val="20"/>
          <w:szCs w:val="20"/>
        </w:rPr>
        <w:t xml:space="preserve">Conduct a surface emission monitoring demonstration using the Tier 4 procedures specified in  40 CFR 62.16718(a)(6). </w:t>
      </w:r>
      <w:r w:rsidRPr="00E04270">
        <w:rPr>
          <w:rFonts w:ascii="Arial" w:eastAsia="Times New Roman" w:hAnsi="Arial" w:cs="Arial"/>
          <w:b/>
          <w:bCs/>
          <w:sz w:val="20"/>
          <w:szCs w:val="20"/>
        </w:rPr>
        <w:t xml:space="preserve"> </w:t>
      </w:r>
      <w:bookmarkStart w:id="40" w:name="_Hlk101250602"/>
      <w:r w:rsidRPr="00E04270">
        <w:rPr>
          <w:rFonts w:ascii="Arial" w:eastAsia="Times New Roman" w:hAnsi="Arial" w:cs="Arial"/>
          <w:b/>
          <w:sz w:val="20"/>
          <w:szCs w:val="20"/>
        </w:rPr>
        <w:t>(40 CFR 62.16718(a)(3)(iv)(C))</w:t>
      </w:r>
    </w:p>
    <w:bookmarkEnd w:id="40"/>
    <w:p w14:paraId="5FCF9106" w14:textId="77777777" w:rsidR="00E04270" w:rsidRPr="00E04270" w:rsidRDefault="00000000" w:rsidP="0003471C">
      <w:pPr>
        <w:pStyle w:val="Caption3"/>
      </w:pPr>
      <w:r w:rsidRPr="00E04270">
        <w:t>Tier 3</w:t>
      </w:r>
    </w:p>
    <w:p w14:paraId="38FB757D"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If the NMOC mass emission rate as calculated using the Tier 2 site-specific NMOC concentration and Tier 3 site-specific methane generation rate is equal to or greater than 34 Mg per year, the permittee must either comply with 40 CFR 62.16724(d) (submit a collection and control system design plan prepared by a professional engineer within 1 year) or conduct a surface emission monitoring demonstration using the Tier 4 procedures specified in Appendix 5 and 40 CFR 62.16718(a)(6).  </w:t>
      </w:r>
      <w:r w:rsidRPr="00E04270">
        <w:rPr>
          <w:rFonts w:ascii="Arial" w:eastAsia="Times New Roman" w:hAnsi="Arial" w:cs="Arial"/>
          <w:b/>
          <w:sz w:val="20"/>
          <w:szCs w:val="20"/>
        </w:rPr>
        <w:t>(40 CFR 62.16718(a)(4)(</w:t>
      </w:r>
      <w:proofErr w:type="spellStart"/>
      <w:r w:rsidRPr="00E04270">
        <w:rPr>
          <w:rFonts w:ascii="Arial" w:eastAsia="Times New Roman" w:hAnsi="Arial" w:cs="Arial"/>
          <w:b/>
          <w:sz w:val="20"/>
          <w:szCs w:val="20"/>
        </w:rPr>
        <w:t>i</w:t>
      </w:r>
      <w:proofErr w:type="spellEnd"/>
      <w:r w:rsidRPr="00E04270">
        <w:rPr>
          <w:rFonts w:ascii="Arial" w:eastAsia="Times New Roman" w:hAnsi="Arial" w:cs="Arial"/>
          <w:b/>
          <w:sz w:val="20"/>
          <w:szCs w:val="20"/>
        </w:rPr>
        <w:t>)(A))</w:t>
      </w:r>
    </w:p>
    <w:p w14:paraId="21D6FBE0" w14:textId="77777777" w:rsidR="00E04270" w:rsidRPr="00E04270" w:rsidRDefault="00000000" w:rsidP="0003471C">
      <w:pPr>
        <w:spacing w:before="120"/>
        <w:rPr>
          <w:rFonts w:ascii="Arial" w:eastAsia="Times New Roman" w:hAnsi="Arial" w:cs="Arial"/>
          <w:b/>
          <w:sz w:val="20"/>
          <w:szCs w:val="20"/>
        </w:rPr>
      </w:pPr>
      <w:r w:rsidRPr="00E04270">
        <w:rPr>
          <w:rFonts w:ascii="Arial" w:eastAsia="Times New Roman" w:hAnsi="Arial" w:cs="Arial"/>
          <w:sz w:val="20"/>
          <w:szCs w:val="20"/>
        </w:rPr>
        <w:t xml:space="preserve">If the NMOC mass emission rate is less than 34 Mg per year, then the permittee must recalculate the NMOC mass emission rate annually, as provided in 40 CFR 62.16718(a)(1) using </w:t>
      </w:r>
      <w:r w:rsidRPr="00E04270">
        <w:rPr>
          <w:rFonts w:ascii="Arial" w:eastAsia="Times New Roman" w:hAnsi="Arial" w:cs="Arial"/>
          <w:b/>
          <w:sz w:val="20"/>
          <w:szCs w:val="20"/>
        </w:rPr>
        <w:t>Equation 1</w:t>
      </w:r>
      <w:r w:rsidRPr="00E04270">
        <w:rPr>
          <w:rFonts w:ascii="Arial" w:eastAsia="Times New Roman" w:hAnsi="Arial" w:cs="Arial"/>
          <w:sz w:val="20"/>
          <w:szCs w:val="20"/>
        </w:rPr>
        <w:t xml:space="preserve"> or </w:t>
      </w:r>
      <w:r w:rsidRPr="00E04270">
        <w:rPr>
          <w:rFonts w:ascii="Arial" w:eastAsia="Times New Roman" w:hAnsi="Arial" w:cs="Arial"/>
          <w:b/>
          <w:sz w:val="20"/>
          <w:szCs w:val="20"/>
        </w:rPr>
        <w:t>Equation 2</w:t>
      </w:r>
      <w:r w:rsidRPr="00E04270">
        <w:rPr>
          <w:rFonts w:ascii="Arial" w:eastAsia="Times New Roman" w:hAnsi="Arial" w:cs="Arial"/>
          <w:sz w:val="20"/>
          <w:szCs w:val="20"/>
        </w:rPr>
        <w:t>, and using the site-specific Tier 2 NMOC concentration and Tier 3 methane generation rate constant and submit a periodic NMOC emission rate report as provided in 40 CFR 62.16724(c).  The calculation of the methane generation rate constant (</w:t>
      </w:r>
      <w:r w:rsidRPr="00E04270">
        <w:rPr>
          <w:rFonts w:ascii="Arial" w:eastAsia="Times New Roman" w:hAnsi="Arial" w:cs="Arial"/>
          <w:b/>
          <w:sz w:val="20"/>
          <w:szCs w:val="20"/>
        </w:rPr>
        <w:t>Tier 3</w:t>
      </w:r>
      <w:r w:rsidRPr="00E04270">
        <w:rPr>
          <w:rFonts w:ascii="Arial" w:eastAsia="Times New Roman" w:hAnsi="Arial" w:cs="Arial"/>
          <w:sz w:val="20"/>
          <w:szCs w:val="20"/>
        </w:rPr>
        <w:t xml:space="preserve">) is performed only once, and the value obtained from this test must be used in all subsequent annual NMOC emission rate calculations.  </w:t>
      </w:r>
      <w:r w:rsidRPr="00E04270">
        <w:rPr>
          <w:rFonts w:ascii="Arial" w:eastAsia="Times New Roman" w:hAnsi="Arial" w:cs="Arial"/>
          <w:b/>
          <w:sz w:val="20"/>
          <w:szCs w:val="20"/>
        </w:rPr>
        <w:t>(40 CFR 62.16718(a)(4)(ii))</w:t>
      </w:r>
    </w:p>
    <w:p w14:paraId="6C10AB9C" w14:textId="77777777" w:rsidR="00E04270" w:rsidRPr="00E04270" w:rsidRDefault="00000000" w:rsidP="0003471C">
      <w:pPr>
        <w:pStyle w:val="Caption3"/>
      </w:pPr>
      <w:r w:rsidRPr="00E04270">
        <w:t>Calculating expected gas generation flow rates from the landfill</w:t>
      </w:r>
    </w:p>
    <w:p w14:paraId="5694637A" w14:textId="61A82220" w:rsidR="00E04270" w:rsidRPr="00E04270" w:rsidRDefault="00000000" w:rsidP="0003471C">
      <w:pPr>
        <w:spacing w:before="120"/>
        <w:rPr>
          <w:rFonts w:ascii="Arial" w:eastAsia="Times New Roman" w:hAnsi="Arial" w:cs="Arial"/>
          <w:b/>
          <w:sz w:val="20"/>
          <w:szCs w:val="20"/>
        </w:rPr>
      </w:pPr>
      <w:r w:rsidRPr="00E04270">
        <w:rPr>
          <w:rFonts w:ascii="Arial" w:eastAsia="Times New Roman" w:hAnsi="Arial" w:cs="Arial"/>
          <w:sz w:val="20"/>
          <w:szCs w:val="20"/>
        </w:rPr>
        <w:t>For the purposes of calculating the maximum expected gas generation flow rate from the landfill to determine compliance with 40 CFR 62.16714(b)(2)(</w:t>
      </w:r>
      <w:proofErr w:type="spellStart"/>
      <w:r w:rsidRPr="00E04270">
        <w:rPr>
          <w:rFonts w:ascii="Arial" w:eastAsia="Times New Roman" w:hAnsi="Arial" w:cs="Arial"/>
          <w:sz w:val="20"/>
          <w:szCs w:val="20"/>
        </w:rPr>
        <w:t>i</w:t>
      </w:r>
      <w:proofErr w:type="spellEnd"/>
      <w:r w:rsidRPr="00E04270">
        <w:rPr>
          <w:rFonts w:ascii="Arial" w:eastAsia="Times New Roman" w:hAnsi="Arial" w:cs="Arial"/>
          <w:sz w:val="20"/>
          <w:szCs w:val="20"/>
        </w:rPr>
        <w:t xml:space="preserve">), either </w:t>
      </w:r>
      <w:r w:rsidRPr="00E04270">
        <w:rPr>
          <w:rFonts w:ascii="Arial" w:eastAsia="Times New Roman" w:hAnsi="Arial" w:cs="Arial"/>
          <w:b/>
          <w:sz w:val="20"/>
          <w:szCs w:val="20"/>
        </w:rPr>
        <w:t>Equation 5</w:t>
      </w:r>
      <w:r w:rsidRPr="00E04270">
        <w:rPr>
          <w:rFonts w:ascii="Arial" w:eastAsia="Times New Roman" w:hAnsi="Arial" w:cs="Arial"/>
          <w:sz w:val="20"/>
          <w:szCs w:val="20"/>
        </w:rPr>
        <w:t xml:space="preserve"> or </w:t>
      </w:r>
      <w:r w:rsidRPr="00E04270">
        <w:rPr>
          <w:rFonts w:ascii="Arial" w:eastAsia="Times New Roman" w:hAnsi="Arial" w:cs="Arial"/>
          <w:b/>
          <w:sz w:val="20"/>
          <w:szCs w:val="20"/>
        </w:rPr>
        <w:t>Equation 6</w:t>
      </w:r>
      <w:r w:rsidRPr="00E04270">
        <w:rPr>
          <w:rFonts w:ascii="Arial" w:eastAsia="Times New Roman" w:hAnsi="Arial" w:cs="Arial"/>
          <w:sz w:val="20"/>
          <w:szCs w:val="20"/>
        </w:rPr>
        <w:t>, below, must be used.  The methane generation rate constant (k) and methane generation potential (L</w:t>
      </w:r>
      <w:r w:rsidRPr="00E04270">
        <w:rPr>
          <w:rFonts w:ascii="Arial" w:eastAsia="Times New Roman" w:hAnsi="Arial" w:cs="Arial"/>
          <w:sz w:val="20"/>
          <w:szCs w:val="20"/>
          <w:vertAlign w:val="subscript"/>
        </w:rPr>
        <w:t>o</w:t>
      </w:r>
      <w:r w:rsidRPr="00E04270">
        <w:rPr>
          <w:rFonts w:ascii="Arial" w:eastAsia="Times New Roman" w:hAnsi="Arial" w:cs="Arial"/>
          <w:sz w:val="20"/>
          <w:szCs w:val="20"/>
        </w:rPr>
        <w:t xml:space="preserve">) kinetic factors should be those published in the most recent AP-42 or other site-specific values demonstrated to be appropriate and approved by the </w:t>
      </w:r>
      <w:r w:rsidR="006A461D">
        <w:rPr>
          <w:rFonts w:ascii="Arial" w:eastAsia="Times New Roman" w:hAnsi="Arial" w:cs="Arial"/>
          <w:sz w:val="20"/>
          <w:szCs w:val="20"/>
        </w:rPr>
        <w:t xml:space="preserve">USEPA </w:t>
      </w:r>
      <w:r w:rsidRPr="00E04270">
        <w:rPr>
          <w:rFonts w:ascii="Arial" w:eastAsia="Times New Roman" w:hAnsi="Arial" w:cs="Arial"/>
          <w:sz w:val="20"/>
          <w:szCs w:val="20"/>
        </w:rPr>
        <w:t xml:space="preserve">Administrator.  If k has been determined as specified in 40 CFR 62.16718(a)(4), the value of k determined from the test must be used.  A value of no more than 15 years must be used for the intended use period of the gas mover equipment.  The active life of the landfill is the age of the landfill plus the estimated number of years until closure.  </w:t>
      </w:r>
      <w:r w:rsidRPr="00E04270">
        <w:rPr>
          <w:rFonts w:ascii="Arial" w:eastAsia="Times New Roman" w:hAnsi="Arial" w:cs="Arial"/>
          <w:b/>
          <w:sz w:val="20"/>
          <w:szCs w:val="20"/>
        </w:rPr>
        <w:t>(40 CFR 62.16720(a)(1))</w:t>
      </w:r>
    </w:p>
    <w:p w14:paraId="15B91710"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If a collection and control system has been installed, actual flow data may be used to project the maximum expected gas generation flow rate instead of, or in conjunction with, </w:t>
      </w:r>
      <w:r w:rsidRPr="00E04270">
        <w:rPr>
          <w:rFonts w:ascii="Arial" w:eastAsia="Times New Roman" w:hAnsi="Arial" w:cs="Arial"/>
          <w:b/>
          <w:sz w:val="20"/>
          <w:szCs w:val="20"/>
        </w:rPr>
        <w:t xml:space="preserve">Equation 5 </w:t>
      </w:r>
      <w:r w:rsidRPr="00E04270">
        <w:rPr>
          <w:rFonts w:ascii="Arial" w:eastAsia="Times New Roman" w:hAnsi="Arial" w:cs="Arial"/>
          <w:sz w:val="20"/>
          <w:szCs w:val="20"/>
        </w:rPr>
        <w:t>or</w:t>
      </w:r>
      <w:r w:rsidRPr="00E04270">
        <w:rPr>
          <w:rFonts w:ascii="Arial" w:eastAsia="Times New Roman" w:hAnsi="Arial" w:cs="Arial"/>
          <w:b/>
          <w:sz w:val="20"/>
          <w:szCs w:val="20"/>
        </w:rPr>
        <w:t xml:space="preserve"> Equation 6, below</w:t>
      </w:r>
      <w:r w:rsidRPr="00E04270">
        <w:rPr>
          <w:rFonts w:ascii="Arial" w:eastAsia="Times New Roman" w:hAnsi="Arial" w:cs="Arial"/>
          <w:sz w:val="20"/>
          <w:szCs w:val="20"/>
        </w:rPr>
        <w:t xml:space="preserve">.  If the landfill is still accepting waste, the actual measured flow data will not equal the maximum expected gas generation rate, so calculations using </w:t>
      </w:r>
      <w:r w:rsidRPr="00E04270">
        <w:rPr>
          <w:rFonts w:ascii="Arial" w:eastAsia="Times New Roman" w:hAnsi="Arial" w:cs="Arial"/>
          <w:b/>
          <w:sz w:val="20"/>
          <w:szCs w:val="20"/>
        </w:rPr>
        <w:t xml:space="preserve">Equation 5 </w:t>
      </w:r>
      <w:r w:rsidRPr="00E04270">
        <w:rPr>
          <w:rFonts w:ascii="Arial" w:eastAsia="Times New Roman" w:hAnsi="Arial" w:cs="Arial"/>
          <w:sz w:val="20"/>
          <w:szCs w:val="20"/>
        </w:rPr>
        <w:t>or</w:t>
      </w:r>
      <w:r w:rsidRPr="00E04270">
        <w:rPr>
          <w:rFonts w:ascii="Arial" w:eastAsia="Times New Roman" w:hAnsi="Arial" w:cs="Arial"/>
          <w:b/>
          <w:sz w:val="20"/>
          <w:szCs w:val="20"/>
        </w:rPr>
        <w:t xml:space="preserve"> Equation 6, below, </w:t>
      </w:r>
      <w:r w:rsidRPr="00E04270">
        <w:rPr>
          <w:rFonts w:ascii="Arial" w:eastAsia="Times New Roman" w:hAnsi="Arial" w:cs="Arial"/>
          <w:sz w:val="20"/>
          <w:szCs w:val="20"/>
        </w:rPr>
        <w:t xml:space="preserve">or other methods must be used to predict the maximum expected gas generation rate over the intended period of use of the gas control system equipment.  </w:t>
      </w:r>
      <w:r w:rsidRPr="00E04270">
        <w:rPr>
          <w:rFonts w:ascii="Arial" w:eastAsia="Times New Roman" w:hAnsi="Arial" w:cs="Arial"/>
          <w:b/>
          <w:sz w:val="20"/>
          <w:szCs w:val="20"/>
        </w:rPr>
        <w:t>(40 CFR 62.16720(a)(1)(iii))</w:t>
      </w:r>
    </w:p>
    <w:bookmarkEnd w:id="29"/>
    <w:bookmarkEnd w:id="30"/>
    <w:bookmarkEnd w:id="31"/>
    <w:bookmarkEnd w:id="32"/>
    <w:bookmarkEnd w:id="33"/>
    <w:bookmarkEnd w:id="34"/>
    <w:bookmarkEnd w:id="35"/>
    <w:bookmarkEnd w:id="36"/>
    <w:p w14:paraId="78B68F2F" w14:textId="77777777" w:rsidR="00E04270" w:rsidRPr="00E04270" w:rsidRDefault="00000000" w:rsidP="0003471C">
      <w:pPr>
        <w:pStyle w:val="Caption3"/>
      </w:pPr>
      <w:r w:rsidRPr="00E04270">
        <w:t>Equation 5</w:t>
      </w:r>
    </w:p>
    <w:p w14:paraId="0E9FFE21" w14:textId="77777777" w:rsidR="00E04270" w:rsidRPr="00E04270" w:rsidRDefault="00000000" w:rsidP="0003471C">
      <w:pPr>
        <w:spacing w:before="100" w:beforeAutospacing="1" w:after="0"/>
        <w:ind w:left="1170"/>
        <w:rPr>
          <w:rFonts w:ascii="Times New Roman" w:eastAsia="Times New Roman" w:hAnsi="Times New Roman" w:cs="Times New Roman"/>
          <w:iCs/>
          <w:sz w:val="24"/>
          <w:szCs w:val="24"/>
        </w:rPr>
      </w:pPr>
      <w:proofErr w:type="spellStart"/>
      <w:r w:rsidRPr="00E04270">
        <w:rPr>
          <w:rFonts w:ascii="Times New Roman" w:eastAsia="Times New Roman" w:hAnsi="Times New Roman" w:cs="Times New Roman"/>
          <w:i/>
          <w:sz w:val="28"/>
          <w:szCs w:val="28"/>
        </w:rPr>
        <w:t>Q</w:t>
      </w:r>
      <w:r w:rsidRPr="00E04270">
        <w:rPr>
          <w:rFonts w:ascii="Times New Roman" w:eastAsia="Times New Roman" w:hAnsi="Times New Roman" w:cs="Times New Roman"/>
          <w:i/>
          <w:sz w:val="24"/>
          <w:szCs w:val="24"/>
        </w:rPr>
        <w:t>m</w:t>
      </w:r>
      <w:proofErr w:type="spellEnd"/>
      <w:r w:rsidRPr="00E04270">
        <w:rPr>
          <w:rFonts w:ascii="Times New Roman" w:eastAsia="Times New Roman" w:hAnsi="Times New Roman" w:cs="Times New Roman"/>
          <w:iCs/>
          <w:sz w:val="24"/>
          <w:szCs w:val="24"/>
        </w:rPr>
        <w:t xml:space="preserve"> = 2L</w:t>
      </w:r>
      <w:r w:rsidRPr="00E04270">
        <w:rPr>
          <w:rFonts w:ascii="Times New Roman" w:eastAsia="Times New Roman" w:hAnsi="Times New Roman" w:cs="Times New Roman"/>
          <w:iCs/>
          <w:sz w:val="24"/>
          <w:szCs w:val="24"/>
          <w:vertAlign w:val="subscript"/>
        </w:rPr>
        <w:t>o</w:t>
      </w:r>
      <w:r w:rsidRPr="00E04270">
        <w:rPr>
          <w:rFonts w:ascii="Times New Roman" w:eastAsia="Times New Roman" w:hAnsi="Times New Roman" w:cs="Times New Roman"/>
          <w:iCs/>
          <w:sz w:val="24"/>
          <w:szCs w:val="24"/>
        </w:rPr>
        <w:t xml:space="preserve"> R (e</w:t>
      </w:r>
      <w:r w:rsidRPr="00E04270">
        <w:rPr>
          <w:rFonts w:ascii="Times New Roman" w:eastAsia="Times New Roman" w:hAnsi="Times New Roman" w:cs="Times New Roman"/>
          <w:iCs/>
          <w:sz w:val="24"/>
          <w:szCs w:val="24"/>
          <w:vertAlign w:val="superscript"/>
        </w:rPr>
        <w:t>−kc</w:t>
      </w:r>
      <w:r w:rsidRPr="00E04270">
        <w:rPr>
          <w:rFonts w:ascii="Times New Roman" w:eastAsia="Times New Roman" w:hAnsi="Times New Roman" w:cs="Times New Roman"/>
          <w:iCs/>
          <w:sz w:val="24"/>
          <w:szCs w:val="24"/>
        </w:rPr>
        <w:t xml:space="preserve"> − e</w:t>
      </w:r>
      <w:r w:rsidRPr="00E04270">
        <w:rPr>
          <w:rFonts w:ascii="Times New Roman" w:eastAsia="Times New Roman" w:hAnsi="Times New Roman" w:cs="Times New Roman"/>
          <w:iCs/>
          <w:sz w:val="24"/>
          <w:szCs w:val="24"/>
          <w:vertAlign w:val="superscript"/>
        </w:rPr>
        <w:t>−kt</w:t>
      </w:r>
      <w:r w:rsidRPr="00E04270">
        <w:rPr>
          <w:rFonts w:ascii="Times New Roman" w:eastAsia="Times New Roman" w:hAnsi="Times New Roman" w:cs="Times New Roman"/>
          <w:iCs/>
          <w:sz w:val="24"/>
          <w:szCs w:val="24"/>
        </w:rPr>
        <w:t>)</w:t>
      </w:r>
    </w:p>
    <w:p w14:paraId="2AE4FBCD"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Where: </w:t>
      </w:r>
    </w:p>
    <w:p w14:paraId="2D9CA9B6" w14:textId="77777777" w:rsidR="00E04270" w:rsidRPr="00E04270" w:rsidRDefault="00000000" w:rsidP="0003471C">
      <w:pPr>
        <w:spacing w:before="120"/>
        <w:rPr>
          <w:rFonts w:ascii="Arial" w:eastAsia="Times New Roman" w:hAnsi="Arial" w:cs="Arial"/>
          <w:sz w:val="20"/>
          <w:szCs w:val="20"/>
        </w:rPr>
      </w:pPr>
      <w:proofErr w:type="spellStart"/>
      <w:r w:rsidRPr="00E04270">
        <w:rPr>
          <w:rFonts w:ascii="Arial" w:eastAsia="Times New Roman" w:hAnsi="Arial" w:cs="Arial"/>
          <w:sz w:val="20"/>
          <w:szCs w:val="20"/>
        </w:rPr>
        <w:lastRenderedPageBreak/>
        <w:t>Q</w:t>
      </w:r>
      <w:r w:rsidRPr="00E04270">
        <w:rPr>
          <w:rFonts w:ascii="Arial" w:eastAsia="Times New Roman" w:hAnsi="Arial" w:cs="Arial"/>
          <w:sz w:val="20"/>
          <w:szCs w:val="20"/>
          <w:vertAlign w:val="subscript"/>
        </w:rPr>
        <w:t>m</w:t>
      </w:r>
      <w:proofErr w:type="spellEnd"/>
      <w:r w:rsidRPr="00E04270">
        <w:rPr>
          <w:rFonts w:ascii="Arial" w:eastAsia="Times New Roman" w:hAnsi="Arial" w:cs="Arial"/>
          <w:sz w:val="20"/>
          <w:szCs w:val="20"/>
        </w:rPr>
        <w:t xml:space="preserve"> = Maximum expected gas generation flow rate, cubic meters per year. </w:t>
      </w:r>
    </w:p>
    <w:p w14:paraId="6E277478"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L</w:t>
      </w:r>
      <w:r w:rsidRPr="00E04270">
        <w:rPr>
          <w:rFonts w:ascii="Arial" w:eastAsia="Times New Roman" w:hAnsi="Arial" w:cs="Arial"/>
          <w:sz w:val="20"/>
          <w:szCs w:val="20"/>
          <w:vertAlign w:val="subscript"/>
        </w:rPr>
        <w:t>o</w:t>
      </w:r>
      <w:r w:rsidRPr="00E04270">
        <w:rPr>
          <w:rFonts w:ascii="Arial" w:eastAsia="Times New Roman" w:hAnsi="Arial" w:cs="Arial"/>
          <w:sz w:val="20"/>
          <w:szCs w:val="20"/>
        </w:rPr>
        <w:t xml:space="preserve"> = Methane generation potential, cubic meters per megagram solid waste. </w:t>
      </w:r>
    </w:p>
    <w:p w14:paraId="7AAC1920"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R = Average annual acceptance rate, megagrams per year. </w:t>
      </w:r>
    </w:p>
    <w:p w14:paraId="374CD271"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k = Methane generation rate constant, year−1. </w:t>
      </w:r>
    </w:p>
    <w:p w14:paraId="19320F98"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t = Age of the landfill at equipment installation plus the time the owner or operator intends to use the gas mover equipment or active life of the landfill, whichever is less. If the equipment is installed after closure, </w:t>
      </w:r>
      <w:proofErr w:type="gramStart"/>
      <w:r w:rsidRPr="00E04270">
        <w:rPr>
          <w:rFonts w:ascii="Arial" w:eastAsia="Times New Roman" w:hAnsi="Arial" w:cs="Arial"/>
          <w:sz w:val="20"/>
          <w:szCs w:val="20"/>
        </w:rPr>
        <w:t>t is</w:t>
      </w:r>
      <w:proofErr w:type="gramEnd"/>
      <w:r w:rsidRPr="00E04270">
        <w:rPr>
          <w:rFonts w:ascii="Arial" w:eastAsia="Times New Roman" w:hAnsi="Arial" w:cs="Arial"/>
          <w:sz w:val="20"/>
          <w:szCs w:val="20"/>
        </w:rPr>
        <w:t xml:space="preserve"> the age of the landfill at installation, years. </w:t>
      </w:r>
    </w:p>
    <w:p w14:paraId="308D0C31"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c = Time since closure, years (for an active landfill c = 0 and e</w:t>
      </w:r>
      <w:r w:rsidRPr="00E04270">
        <w:rPr>
          <w:rFonts w:ascii="Arial" w:eastAsia="Times New Roman" w:hAnsi="Arial" w:cs="Arial"/>
          <w:sz w:val="20"/>
          <w:szCs w:val="20"/>
          <w:vertAlign w:val="superscript"/>
        </w:rPr>
        <w:t>−kc</w:t>
      </w:r>
      <w:r w:rsidRPr="00E04270">
        <w:rPr>
          <w:rFonts w:ascii="Arial" w:eastAsia="Times New Roman" w:hAnsi="Arial" w:cs="Arial"/>
          <w:sz w:val="20"/>
          <w:szCs w:val="20"/>
        </w:rPr>
        <w:t xml:space="preserve"> = 1).</w:t>
      </w:r>
    </w:p>
    <w:p w14:paraId="2E1982B4" w14:textId="77777777" w:rsidR="00E04270" w:rsidRPr="00E04270" w:rsidRDefault="00000000" w:rsidP="0003471C">
      <w:pPr>
        <w:pStyle w:val="Caption3"/>
      </w:pPr>
      <w:r w:rsidRPr="00E04270">
        <w:t>Equation 6</w:t>
      </w:r>
    </w:p>
    <w:bookmarkStart w:id="41" w:name="_Hlk101434396"/>
    <w:bookmarkStart w:id="42" w:name="_Hlk101432886"/>
    <w:p w14:paraId="23B7F122" w14:textId="77777777" w:rsidR="00E04270" w:rsidRPr="00E04270" w:rsidRDefault="00000000" w:rsidP="0003471C">
      <w:pPr>
        <w:spacing w:after="0"/>
        <w:ind w:left="1170"/>
        <w:rPr>
          <w:rFonts w:ascii="Arial" w:eastAsia="Times New Roman" w:hAnsi="Arial" w:cs="Arial"/>
          <w:szCs w:val="20"/>
        </w:rPr>
      </w:pPr>
      <m:oMathPara>
        <m:oMath>
          <m:sSub>
            <m:sSubPr>
              <m:ctrlPr>
                <w:rPr>
                  <w:rFonts w:ascii="Cambria Math" w:eastAsia="Cambria Math" w:hAnsi="Cambria Math" w:cs="Cambria Math"/>
                  <w:i/>
                  <w:sz w:val="24"/>
                  <w:szCs w:val="24"/>
                </w:rPr>
              </m:ctrlPr>
            </m:sSubPr>
            <m:e>
              <m:r>
                <w:rPr>
                  <w:rFonts w:ascii="Cambria Math" w:eastAsia="Cambria Math" w:hAnsi="Cambria Math" w:cs="Cambria Math"/>
                  <w:sz w:val="24"/>
                  <w:szCs w:val="24"/>
                </w:rPr>
                <m:t>Q</m:t>
              </m:r>
            </m:e>
            <m:sub>
              <m:r>
                <w:rPr>
                  <w:rFonts w:ascii="Cambria Math" w:eastAsia="Cambria Math" w:hAnsi="Cambria Math" w:cs="Cambria Math"/>
                  <w:sz w:val="24"/>
                  <w:szCs w:val="24"/>
                </w:rPr>
                <m:t>m</m:t>
              </m:r>
            </m:sub>
          </m:sSub>
          <m:r>
            <w:rPr>
              <w:rFonts w:ascii="Cambria Math" w:eastAsia="Cambria Math" w:hAnsi="Cambria Math" w:cs="Cambria Math"/>
              <w:sz w:val="24"/>
              <w:szCs w:val="24"/>
            </w:rPr>
            <m:t>=</m:t>
          </m:r>
          <m:nary>
            <m:naryPr>
              <m:chr m:val="∑"/>
              <m:grow m:val="1"/>
              <m:ctrlPr>
                <w:rPr>
                  <w:rFonts w:ascii="Cambria Math" w:eastAsia="Times New Roman" w:hAnsi="Cambria Math" w:cs="Times New Roman"/>
                  <w:sz w:val="24"/>
                  <w:szCs w:val="24"/>
                </w:rPr>
              </m:ctrlPr>
            </m:naryPr>
            <m:sub>
              <m:r>
                <w:rPr>
                  <w:rFonts w:ascii="Cambria Math" w:eastAsia="Cambria Math" w:hAnsi="Cambria Math" w:cs="Cambria Math"/>
                  <w:sz w:val="24"/>
                  <w:szCs w:val="24"/>
                </w:rPr>
                <m:t>i=1</m:t>
              </m:r>
            </m:sub>
            <m:sup>
              <m:r>
                <w:rPr>
                  <w:rFonts w:ascii="Cambria Math" w:eastAsia="Cambria Math" w:hAnsi="Cambria Math" w:cs="Cambria Math"/>
                  <w:sz w:val="24"/>
                  <w:szCs w:val="24"/>
                </w:rPr>
                <m:t>n</m:t>
              </m:r>
            </m:sup>
            <m:e>
              <m:r>
                <w:rPr>
                  <w:rFonts w:ascii="Cambria Math" w:eastAsia="Times New Roman" w:hAnsi="Cambria Math" w:cs="Times New Roman"/>
                  <w:sz w:val="24"/>
                  <w:szCs w:val="24"/>
                </w:rPr>
                <m:t>2 k</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o</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i</m:t>
                  </m:r>
                </m:sub>
              </m:sSub>
              <m:d>
                <m:dPr>
                  <m:ctrlPr>
                    <w:rPr>
                      <w:rFonts w:ascii="Cambria Math" w:eastAsia="Times New Roman" w:hAnsi="Cambria Math" w:cs="Times New Roman"/>
                      <w:sz w:val="24"/>
                      <w:szCs w:val="24"/>
                    </w:rPr>
                  </m:ctrlPr>
                </m:dPr>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-kt</m:t>
                      </m:r>
                      <m:r>
                        <w:rPr>
                          <w:rFonts w:ascii="Cambria Math" w:eastAsia="Times New Roman" w:hAnsi="Cambria Math" w:cs="Times New Roman"/>
                          <w:position w:val="-6"/>
                          <w:sz w:val="24"/>
                          <w:szCs w:val="24"/>
                        </w:rPr>
                        <m:t>i</m:t>
                      </m:r>
                    </m:sup>
                  </m:sSup>
                </m:e>
              </m:d>
            </m:e>
          </m:nary>
        </m:oMath>
      </m:oMathPara>
      <w:bookmarkEnd w:id="41"/>
    </w:p>
    <w:bookmarkEnd w:id="42"/>
    <w:p w14:paraId="3FFB6233"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Where: </w:t>
      </w:r>
    </w:p>
    <w:p w14:paraId="29F319B7"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Q</w:t>
      </w:r>
      <w:r w:rsidRPr="00E04270">
        <w:rPr>
          <w:rFonts w:ascii="Arial" w:eastAsia="Times New Roman" w:hAnsi="Arial" w:cs="Arial"/>
          <w:sz w:val="20"/>
          <w:szCs w:val="20"/>
          <w:vertAlign w:val="subscript"/>
        </w:rPr>
        <w:t>M</w:t>
      </w:r>
      <w:r w:rsidRPr="00E04270">
        <w:rPr>
          <w:rFonts w:ascii="Arial" w:eastAsia="Times New Roman" w:hAnsi="Arial" w:cs="Arial"/>
          <w:sz w:val="20"/>
          <w:szCs w:val="20"/>
        </w:rPr>
        <w:t xml:space="preserve"> = Maximum expected gas generation flow rate, cubic meters per year. </w:t>
      </w:r>
    </w:p>
    <w:p w14:paraId="6E2E5D7D"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 xml:space="preserve">k = Methane generation rate constant, year−1. </w:t>
      </w:r>
    </w:p>
    <w:p w14:paraId="03C586B7"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L</w:t>
      </w:r>
      <w:r w:rsidRPr="00E04270">
        <w:rPr>
          <w:rFonts w:ascii="Arial" w:eastAsia="Times New Roman" w:hAnsi="Arial" w:cs="Arial"/>
          <w:sz w:val="20"/>
          <w:szCs w:val="20"/>
          <w:vertAlign w:val="subscript"/>
        </w:rPr>
        <w:t>o</w:t>
      </w:r>
      <w:r w:rsidRPr="00E04270">
        <w:rPr>
          <w:rFonts w:ascii="Arial" w:eastAsia="Times New Roman" w:hAnsi="Arial" w:cs="Arial"/>
          <w:sz w:val="20"/>
          <w:szCs w:val="20"/>
        </w:rPr>
        <w:t xml:space="preserve"> = Methane generation potential, cubic meters per megagram solid waste. </w:t>
      </w:r>
    </w:p>
    <w:p w14:paraId="4BCDC929" w14:textId="77777777" w:rsidR="00E04270" w:rsidRPr="00E04270" w:rsidRDefault="00000000" w:rsidP="0003471C">
      <w:pPr>
        <w:spacing w:before="120"/>
        <w:rPr>
          <w:rFonts w:ascii="Arial" w:eastAsia="Times New Roman" w:hAnsi="Arial" w:cs="Arial"/>
          <w:sz w:val="20"/>
          <w:szCs w:val="20"/>
        </w:rPr>
      </w:pPr>
      <w:r w:rsidRPr="00E04270">
        <w:rPr>
          <w:rFonts w:ascii="Arial" w:eastAsia="Times New Roman" w:hAnsi="Arial" w:cs="Arial"/>
          <w:sz w:val="20"/>
          <w:szCs w:val="20"/>
        </w:rPr>
        <w:t>M</w:t>
      </w:r>
      <w:r w:rsidRPr="00E04270">
        <w:rPr>
          <w:rFonts w:ascii="Arial" w:eastAsia="Times New Roman" w:hAnsi="Arial" w:cs="Arial"/>
          <w:sz w:val="20"/>
          <w:szCs w:val="20"/>
          <w:vertAlign w:val="subscript"/>
        </w:rPr>
        <w:t>i</w:t>
      </w:r>
      <w:r w:rsidRPr="00E04270">
        <w:rPr>
          <w:rFonts w:ascii="Arial" w:eastAsia="Times New Roman" w:hAnsi="Arial" w:cs="Arial"/>
          <w:sz w:val="20"/>
          <w:szCs w:val="20"/>
        </w:rPr>
        <w:t xml:space="preserve"> = Mass of solid waste in the </w:t>
      </w:r>
      <w:proofErr w:type="spellStart"/>
      <w:r w:rsidRPr="00E04270">
        <w:rPr>
          <w:rFonts w:ascii="Arial" w:eastAsia="Times New Roman" w:hAnsi="Arial" w:cs="Arial"/>
          <w:sz w:val="20"/>
          <w:szCs w:val="20"/>
        </w:rPr>
        <w:t>i</w:t>
      </w:r>
      <w:r w:rsidRPr="00E04270">
        <w:rPr>
          <w:rFonts w:ascii="Arial" w:eastAsia="Times New Roman" w:hAnsi="Arial" w:cs="Arial"/>
          <w:sz w:val="20"/>
          <w:szCs w:val="20"/>
          <w:vertAlign w:val="superscript"/>
        </w:rPr>
        <w:t>th</w:t>
      </w:r>
      <w:proofErr w:type="spellEnd"/>
      <w:r w:rsidRPr="00E04270">
        <w:rPr>
          <w:rFonts w:ascii="Arial" w:eastAsia="Times New Roman" w:hAnsi="Arial" w:cs="Arial"/>
          <w:sz w:val="20"/>
          <w:szCs w:val="20"/>
        </w:rPr>
        <w:t xml:space="preserve"> section, megagrams. </w:t>
      </w:r>
    </w:p>
    <w:p w14:paraId="30AB09F4" w14:textId="77777777" w:rsidR="00E04270" w:rsidRPr="00E04270" w:rsidRDefault="00000000" w:rsidP="0003471C">
      <w:pPr>
        <w:spacing w:before="120"/>
        <w:rPr>
          <w:rFonts w:ascii="Arial" w:eastAsia="Times New Roman" w:hAnsi="Arial" w:cs="Arial"/>
          <w:sz w:val="20"/>
          <w:szCs w:val="20"/>
        </w:rPr>
      </w:pPr>
      <w:proofErr w:type="spellStart"/>
      <w:r w:rsidRPr="00E04270">
        <w:rPr>
          <w:rFonts w:ascii="Arial" w:eastAsia="Times New Roman" w:hAnsi="Arial" w:cs="Arial"/>
          <w:sz w:val="20"/>
          <w:szCs w:val="20"/>
        </w:rPr>
        <w:t>t</w:t>
      </w:r>
      <w:r w:rsidRPr="00E04270">
        <w:rPr>
          <w:rFonts w:ascii="Arial" w:eastAsia="Times New Roman" w:hAnsi="Arial" w:cs="Arial"/>
          <w:sz w:val="20"/>
          <w:szCs w:val="20"/>
          <w:vertAlign w:val="subscript"/>
        </w:rPr>
        <w:t>i</w:t>
      </w:r>
      <w:proofErr w:type="spellEnd"/>
      <w:r w:rsidRPr="00E04270">
        <w:rPr>
          <w:rFonts w:ascii="Arial" w:eastAsia="Times New Roman" w:hAnsi="Arial" w:cs="Arial"/>
          <w:sz w:val="20"/>
          <w:szCs w:val="20"/>
        </w:rPr>
        <w:t xml:space="preserve"> = Age of the </w:t>
      </w:r>
      <w:proofErr w:type="spellStart"/>
      <w:r w:rsidRPr="00E04270">
        <w:rPr>
          <w:rFonts w:ascii="Arial" w:eastAsia="Times New Roman" w:hAnsi="Arial" w:cs="Arial"/>
          <w:sz w:val="20"/>
          <w:szCs w:val="20"/>
        </w:rPr>
        <w:t>i</w:t>
      </w:r>
      <w:r w:rsidRPr="00E04270">
        <w:rPr>
          <w:rFonts w:ascii="Arial" w:eastAsia="Times New Roman" w:hAnsi="Arial" w:cs="Arial"/>
          <w:sz w:val="20"/>
          <w:szCs w:val="20"/>
          <w:vertAlign w:val="superscript"/>
        </w:rPr>
        <w:t>th</w:t>
      </w:r>
      <w:proofErr w:type="spellEnd"/>
      <w:r w:rsidRPr="00E04270">
        <w:rPr>
          <w:rFonts w:ascii="Arial" w:eastAsia="Times New Roman" w:hAnsi="Arial" w:cs="Arial"/>
          <w:sz w:val="20"/>
          <w:szCs w:val="20"/>
        </w:rPr>
        <w:t xml:space="preserve"> section, years.</w:t>
      </w:r>
    </w:p>
    <w:p w14:paraId="03F49C6A" w14:textId="77777777" w:rsidR="00E04270" w:rsidRPr="00E04270" w:rsidRDefault="00000000" w:rsidP="0003471C">
      <w:pPr>
        <w:pStyle w:val="Heading4C"/>
      </w:pPr>
      <w:r w:rsidRPr="00E04270">
        <w:t>Appendix 8.  Reporting</w:t>
      </w:r>
    </w:p>
    <w:p w14:paraId="4618D2CF" w14:textId="77777777" w:rsidR="00E04270" w:rsidRPr="00E04270" w:rsidRDefault="00000000" w:rsidP="0003471C">
      <w:pPr>
        <w:pStyle w:val="Caption2"/>
      </w:pPr>
      <w:r w:rsidRPr="00E04270">
        <w:t>A.  Annual, Semiannual, and Deviation Certification Reporting</w:t>
      </w:r>
    </w:p>
    <w:p w14:paraId="337F4CD8" w14:textId="7B532051" w:rsidR="008D3A84" w:rsidRPr="008D3A84" w:rsidRDefault="00000000" w:rsidP="0003471C">
      <w:pPr>
        <w:spacing w:before="120"/>
        <w:rPr>
          <w:rFonts w:ascii="Arial" w:eastAsia="Times New Roman" w:hAnsi="Arial" w:cs="Times New Roman"/>
          <w:sz w:val="20"/>
          <w:szCs w:val="20"/>
        </w:rPr>
      </w:pPr>
      <w:r w:rsidRPr="008D3A84">
        <w:rPr>
          <w:rFonts w:ascii="Arial" w:eastAsia="Times New Roman" w:hAnsi="Arial" w:cs="Times New Roman"/>
          <w:sz w:val="20"/>
          <w:szCs w:val="20"/>
        </w:rPr>
        <w:t xml:space="preserve">The permittee shall use the MiEnviro forms </w:t>
      </w:r>
      <w:r w:rsidR="006511CF" w:rsidRPr="006511CF">
        <w:rPr>
          <w:rFonts w:ascii="Arial" w:eastAsia="Times New Roman" w:hAnsi="Arial" w:cs="Times New Roman"/>
          <w:sz w:val="20"/>
          <w:szCs w:val="20"/>
        </w:rPr>
        <w:t>(</w:t>
      </w:r>
      <w:hyperlink r:id="rId10" w:history="1">
        <w:r w:rsidR="006511CF" w:rsidRPr="006511CF">
          <w:rPr>
            <w:rFonts w:ascii="Arial" w:eastAsia="Times New Roman" w:hAnsi="Arial" w:cs="Times New Roman"/>
            <w:color w:val="0000FF"/>
            <w:sz w:val="20"/>
            <w:szCs w:val="20"/>
            <w:u w:val="single"/>
          </w:rPr>
          <w:t>MiEnviro.Michigan.gov</w:t>
        </w:r>
      </w:hyperlink>
      <w:r w:rsidR="006511CF" w:rsidRPr="006511CF">
        <w:rPr>
          <w:rFonts w:ascii="Arial" w:eastAsia="Times New Roman" w:hAnsi="Arial" w:cs="Times New Roman"/>
          <w:sz w:val="20"/>
          <w:szCs w:val="20"/>
        </w:rPr>
        <w:t>)</w:t>
      </w:r>
      <w:r w:rsidR="006511CF">
        <w:rPr>
          <w:rFonts w:ascii="Arial" w:eastAsia="Times New Roman" w:hAnsi="Arial" w:cs="Times New Roman"/>
          <w:sz w:val="20"/>
          <w:szCs w:val="20"/>
        </w:rPr>
        <w:t xml:space="preserve"> </w:t>
      </w:r>
      <w:r w:rsidRPr="008D3A84">
        <w:rPr>
          <w:rFonts w:ascii="Arial" w:eastAsia="Times New Roman" w:hAnsi="Arial" w:cs="Times New Roman"/>
          <w:sz w:val="20"/>
          <w:szCs w:val="20"/>
        </w:rPr>
        <w:t>ROP Annual Compliance Certification and ROP Semi-Annual Compliance Certification for the annual, semiannual and deviation certification reporting referenced in the Reporting Section of the Source-Wide, Emission Unit and/or Flexible Group Special Conditions.</w:t>
      </w:r>
    </w:p>
    <w:p w14:paraId="4B393EE1" w14:textId="77777777" w:rsidR="00E04270" w:rsidRPr="00E04270" w:rsidRDefault="00000000" w:rsidP="0003471C">
      <w:pPr>
        <w:pStyle w:val="Caption2"/>
      </w:pPr>
      <w:r w:rsidRPr="00E04270">
        <w:t>B.  Other Reporting</w:t>
      </w:r>
    </w:p>
    <w:p w14:paraId="2FD6CE59" w14:textId="77777777" w:rsidR="0092217E" w:rsidRPr="0092217E" w:rsidRDefault="00000000" w:rsidP="0003471C">
      <w:pPr>
        <w:spacing w:before="120"/>
        <w:rPr>
          <w:rFonts w:ascii="Arial" w:eastAsia="Times New Roman" w:hAnsi="Arial" w:cs="Arial"/>
          <w:sz w:val="20"/>
          <w:szCs w:val="20"/>
        </w:rPr>
      </w:pPr>
      <w:r w:rsidRPr="0092217E">
        <w:rPr>
          <w:rFonts w:ascii="Arial" w:eastAsia="Times New Roman" w:hAnsi="Arial" w:cs="Arial"/>
          <w:sz w:val="20"/>
          <w:szCs w:val="20"/>
        </w:rPr>
        <w:t>The permittee shall use reporting, notification, and other schedule forms to submit to the AQD through MiEnviro Portal (</w:t>
      </w:r>
      <w:hyperlink r:id="rId11" w:history="1">
        <w:r w:rsidR="0092217E" w:rsidRPr="0092217E">
          <w:rPr>
            <w:rFonts w:ascii="Arial" w:eastAsia="Times New Roman" w:hAnsi="Arial" w:cs="Arial"/>
            <w:color w:val="0000FF"/>
            <w:sz w:val="20"/>
            <w:szCs w:val="20"/>
            <w:u w:val="single"/>
          </w:rPr>
          <w:t>MiEnviro.Michigan.gov</w:t>
        </w:r>
      </w:hyperlink>
      <w:r w:rsidRPr="0092217E">
        <w:rPr>
          <w:rFonts w:ascii="Arial" w:eastAsia="Times New Roman" w:hAnsi="Arial" w:cs="Arial"/>
          <w:sz w:val="20"/>
          <w:szCs w:val="20"/>
        </w:rPr>
        <w:t xml:space="preserve">) as referenced in the appropriate Source-Wide, Emission Unit and/or Flexible Group Special Conditions. </w:t>
      </w:r>
    </w:p>
    <w:sectPr w:rsidR="0092217E" w:rsidRPr="0092217E" w:rsidSect="008D5C48">
      <w:footerReference w:type="default" r:id="rId12"/>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1196B" w14:textId="77777777" w:rsidR="008B00BC" w:rsidRDefault="008B00BC">
      <w:pPr>
        <w:spacing w:after="0" w:line="240" w:lineRule="auto"/>
      </w:pPr>
      <w:r>
        <w:separator/>
      </w:r>
    </w:p>
  </w:endnote>
  <w:endnote w:type="continuationSeparator" w:id="0">
    <w:p w14:paraId="196FBE19" w14:textId="77777777" w:rsidR="008B00BC" w:rsidRDefault="008B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3B0E7" w14:textId="02557220" w:rsidR="000121FC" w:rsidRPr="00E04270" w:rsidRDefault="00000000" w:rsidP="00E04270">
    <w:pPr>
      <w:pStyle w:val="Footer"/>
      <w:jc w:val="center"/>
      <w:rPr>
        <w:rFonts w:ascii="Arial" w:hAnsi="Arial" w:cs="Arial"/>
        <w:sz w:val="20"/>
        <w:szCs w:val="20"/>
      </w:rPr>
    </w:pPr>
    <w:r w:rsidRPr="00E04270">
      <w:rPr>
        <w:rFonts w:ascii="Arial" w:hAnsi="Arial" w:cs="Arial"/>
        <w:sz w:val="20"/>
        <w:szCs w:val="20"/>
      </w:rPr>
      <w:t xml:space="preserve">Page </w:t>
    </w:r>
    <w:r w:rsidRPr="00E04270">
      <w:rPr>
        <w:rFonts w:ascii="Arial" w:hAnsi="Arial" w:cs="Arial"/>
        <w:sz w:val="20"/>
        <w:szCs w:val="20"/>
      </w:rPr>
      <w:fldChar w:fldCharType="begin"/>
    </w:r>
    <w:r w:rsidRPr="00E04270">
      <w:rPr>
        <w:rFonts w:ascii="Arial" w:hAnsi="Arial" w:cs="Arial"/>
        <w:sz w:val="20"/>
        <w:szCs w:val="20"/>
      </w:rPr>
      <w:instrText xml:space="preserve"> PAGE  \* Arabic  \* MERGEFORMAT </w:instrText>
    </w:r>
    <w:r w:rsidRPr="00E04270">
      <w:rPr>
        <w:rFonts w:ascii="Arial" w:hAnsi="Arial" w:cs="Arial"/>
        <w:sz w:val="20"/>
        <w:szCs w:val="20"/>
      </w:rPr>
      <w:fldChar w:fldCharType="separate"/>
    </w:r>
    <w:r w:rsidRPr="00E04270">
      <w:rPr>
        <w:rFonts w:ascii="Arial" w:hAnsi="Arial" w:cs="Arial"/>
        <w:noProof/>
        <w:sz w:val="20"/>
        <w:szCs w:val="20"/>
      </w:rPr>
      <w:t>1</w:t>
    </w:r>
    <w:r w:rsidRPr="00E04270">
      <w:rPr>
        <w:rFonts w:ascii="Arial" w:hAnsi="Arial" w:cs="Arial"/>
        <w:sz w:val="20"/>
        <w:szCs w:val="20"/>
      </w:rPr>
      <w:fldChar w:fldCharType="end"/>
    </w:r>
    <w:r w:rsidRPr="00E04270">
      <w:rPr>
        <w:rFonts w:ascii="Arial" w:hAnsi="Arial" w:cs="Arial"/>
        <w:sz w:val="20"/>
        <w:szCs w:val="20"/>
      </w:rPr>
      <w:t xml:space="preserve"> of </w:t>
    </w:r>
    <w:r w:rsidR="00E04270" w:rsidRPr="00E04270">
      <w:rPr>
        <w:rFonts w:ascii="Arial" w:hAnsi="Arial" w:cs="Arial"/>
        <w:sz w:val="20"/>
        <w:szCs w:val="20"/>
      </w:rPr>
      <w:fldChar w:fldCharType="begin"/>
    </w:r>
    <w:r w:rsidR="00E04270" w:rsidRPr="00E04270">
      <w:rPr>
        <w:rFonts w:ascii="Arial" w:hAnsi="Arial" w:cs="Arial"/>
        <w:sz w:val="20"/>
        <w:szCs w:val="20"/>
      </w:rPr>
      <w:instrText xml:space="preserve"> NUMPAGES  \* Arabic  \* MERGEFORMAT </w:instrText>
    </w:r>
    <w:r w:rsidR="00E04270" w:rsidRPr="00E04270">
      <w:rPr>
        <w:rFonts w:ascii="Arial" w:hAnsi="Arial" w:cs="Arial"/>
        <w:sz w:val="20"/>
        <w:szCs w:val="20"/>
      </w:rPr>
      <w:fldChar w:fldCharType="separate"/>
    </w:r>
    <w:r w:rsidRPr="00E04270">
      <w:rPr>
        <w:rFonts w:ascii="Arial" w:hAnsi="Arial" w:cs="Arial"/>
        <w:noProof/>
        <w:sz w:val="20"/>
        <w:szCs w:val="20"/>
      </w:rPr>
      <w:t>2</w:t>
    </w:r>
    <w:r w:rsidR="00E04270" w:rsidRPr="00E04270">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93523" w14:textId="77777777" w:rsidR="008B00BC" w:rsidRDefault="008B00BC">
      <w:pPr>
        <w:spacing w:after="0" w:line="240" w:lineRule="auto"/>
      </w:pPr>
      <w:r>
        <w:separator/>
      </w:r>
    </w:p>
  </w:footnote>
  <w:footnote w:type="continuationSeparator" w:id="0">
    <w:p w14:paraId="3E5BA22F" w14:textId="77777777" w:rsidR="008B00BC" w:rsidRDefault="008B0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9A4A05C"/>
    <w:lvl w:ilvl="0">
      <w:start w:val="1"/>
      <w:numFmt w:val="decimal"/>
      <w:pStyle w:val="ListNumber"/>
      <w:lvlText w:val="%1."/>
      <w:lvlJc w:val="left"/>
      <w:pPr>
        <w:tabs>
          <w:tab w:val="num" w:pos="360"/>
        </w:tabs>
        <w:ind w:left="360" w:hanging="360"/>
      </w:pPr>
    </w:lvl>
  </w:abstractNum>
  <w:abstractNum w:abstractNumId="1" w15:restartNumberingAfterBreak="0">
    <w:nsid w:val="06C67AB6"/>
    <w:multiLevelType w:val="multilevel"/>
    <w:tmpl w:val="8962E2BE"/>
    <w:lvl w:ilvl="0">
      <w:start w:val="1"/>
      <w:numFmt w:val="none"/>
      <w:isLgl/>
      <w:lvlText w:val=""/>
      <w:lvlJc w:val="left"/>
      <w:pPr>
        <w:tabs>
          <w:tab w:val="num" w:pos="360"/>
        </w:tabs>
        <w:ind w:left="0" w:firstLine="0"/>
      </w:pPr>
      <w:rPr>
        <w:rFonts w:ascii="Arial" w:hAnsi="Arial" w:cs="Times New Roman" w:hint="default"/>
        <w:b/>
        <w:i w:val="0"/>
        <w:sz w:val="28"/>
      </w:rPr>
    </w:lvl>
    <w:lvl w:ilvl="1">
      <w:start w:val="1"/>
      <w:numFmt w:val="none"/>
      <w:pStyle w:val="Heading2"/>
      <w:isLgl/>
      <w:lvlText w:val=""/>
      <w:lvlJc w:val="left"/>
      <w:pPr>
        <w:tabs>
          <w:tab w:val="num" w:pos="360"/>
        </w:tabs>
        <w:ind w:left="360" w:hanging="360"/>
      </w:pPr>
      <w:rPr>
        <w:rFonts w:ascii="Arial" w:hAnsi="Arial" w:cs="Times New Roman" w:hint="default"/>
        <w:b/>
        <w:i w:val="0"/>
        <w:sz w:val="24"/>
      </w:rPr>
    </w:lvl>
    <w:lvl w:ilvl="2">
      <w:start w:val="1"/>
      <w:numFmt w:val="none"/>
      <w:pStyle w:val="Heading3"/>
      <w:lvlText w:val=""/>
      <w:lvlJc w:val="left"/>
      <w:pPr>
        <w:tabs>
          <w:tab w:val="num" w:pos="720"/>
        </w:tabs>
        <w:ind w:left="720" w:hanging="720"/>
      </w:pPr>
      <w:rPr>
        <w:rFonts w:ascii="Arial" w:hAnsi="Arial" w:cs="Times New Roman"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 w15:restartNumberingAfterBreak="0">
    <w:nsid w:val="0B1303FC"/>
    <w:multiLevelType w:val="hybridMultilevel"/>
    <w:tmpl w:val="C4F477C0"/>
    <w:lvl w:ilvl="0" w:tplc="20B89AF4">
      <w:start w:val="1"/>
      <w:numFmt w:val="lowerLetter"/>
      <w:lvlText w:val="%1."/>
      <w:lvlJc w:val="left"/>
      <w:pPr>
        <w:ind w:left="720" w:hanging="360"/>
      </w:pPr>
      <w:rPr>
        <w:b w:val="0"/>
        <w:bCs w:val="0"/>
      </w:rPr>
    </w:lvl>
    <w:lvl w:ilvl="1" w:tplc="24C05012">
      <w:start w:val="1"/>
      <w:numFmt w:val="lowerLetter"/>
      <w:lvlText w:val="%2."/>
      <w:lvlJc w:val="left"/>
      <w:pPr>
        <w:ind w:left="1440" w:hanging="360"/>
      </w:pPr>
    </w:lvl>
    <w:lvl w:ilvl="2" w:tplc="2B1E6AB2">
      <w:start w:val="1"/>
      <w:numFmt w:val="lowerRoman"/>
      <w:lvlText w:val="%3."/>
      <w:lvlJc w:val="right"/>
      <w:pPr>
        <w:ind w:left="2160" w:hanging="180"/>
      </w:pPr>
    </w:lvl>
    <w:lvl w:ilvl="3" w:tplc="909C28C2">
      <w:start w:val="1"/>
      <w:numFmt w:val="decimal"/>
      <w:lvlText w:val="%4."/>
      <w:lvlJc w:val="left"/>
      <w:pPr>
        <w:ind w:left="2880" w:hanging="360"/>
      </w:pPr>
    </w:lvl>
    <w:lvl w:ilvl="4" w:tplc="07A48410">
      <w:start w:val="1"/>
      <w:numFmt w:val="lowerLetter"/>
      <w:lvlText w:val="%5."/>
      <w:lvlJc w:val="left"/>
      <w:pPr>
        <w:ind w:left="3600" w:hanging="360"/>
      </w:pPr>
    </w:lvl>
    <w:lvl w:ilvl="5" w:tplc="F800DCC4">
      <w:start w:val="1"/>
      <w:numFmt w:val="lowerRoman"/>
      <w:lvlText w:val="%6."/>
      <w:lvlJc w:val="right"/>
      <w:pPr>
        <w:ind w:left="4320" w:hanging="180"/>
      </w:pPr>
    </w:lvl>
    <w:lvl w:ilvl="6" w:tplc="E85232EE">
      <w:start w:val="1"/>
      <w:numFmt w:val="decimal"/>
      <w:lvlText w:val="%7."/>
      <w:lvlJc w:val="left"/>
      <w:pPr>
        <w:ind w:left="5040" w:hanging="360"/>
      </w:pPr>
    </w:lvl>
    <w:lvl w:ilvl="7" w:tplc="1C486DAC">
      <w:start w:val="1"/>
      <w:numFmt w:val="lowerLetter"/>
      <w:lvlText w:val="%8."/>
      <w:lvlJc w:val="left"/>
      <w:pPr>
        <w:ind w:left="5760" w:hanging="360"/>
      </w:pPr>
    </w:lvl>
    <w:lvl w:ilvl="8" w:tplc="C26083DC">
      <w:start w:val="1"/>
      <w:numFmt w:val="lowerRoman"/>
      <w:lvlText w:val="%9."/>
      <w:lvlJc w:val="right"/>
      <w:pPr>
        <w:ind w:left="6480" w:hanging="180"/>
      </w:pPr>
    </w:lvl>
  </w:abstractNum>
  <w:abstractNum w:abstractNumId="3" w15:restartNumberingAfterBreak="0">
    <w:nsid w:val="21CA7C2C"/>
    <w:multiLevelType w:val="multilevel"/>
    <w:tmpl w:val="70F03262"/>
    <w:lvl w:ilvl="0">
      <w:start w:val="1"/>
      <w:numFmt w:val="decimal"/>
      <w:lvlText w:val="%1."/>
      <w:lvlJc w:val="left"/>
      <w:pPr>
        <w:tabs>
          <w:tab w:val="num" w:pos="360"/>
        </w:tabs>
        <w:ind w:left="360" w:hanging="360"/>
      </w:pPr>
      <w:rPr>
        <w:b w:val="0"/>
        <w:i w:val="0"/>
        <w:color w:val="auto"/>
      </w:rPr>
    </w:lvl>
    <w:lvl w:ilvl="1">
      <w:start w:val="1"/>
      <w:numFmt w:val="lowerLetter"/>
      <w:lvlText w:val="%2."/>
      <w:lvlJc w:val="left"/>
      <w:pPr>
        <w:tabs>
          <w:tab w:val="num" w:pos="720"/>
        </w:tabs>
        <w:ind w:left="720" w:hanging="360"/>
      </w:pPr>
      <w:rPr>
        <w:b w:val="0"/>
        <w:i w:val="0"/>
      </w:rPr>
    </w:lvl>
    <w:lvl w:ilvl="2">
      <w:start w:val="2"/>
      <w:numFmt w:val="lowerRoman"/>
      <w:lvlText w:val="%3."/>
      <w:lvlJc w:val="left"/>
      <w:pPr>
        <w:tabs>
          <w:tab w:val="num" w:pos="1080"/>
        </w:tabs>
        <w:ind w:left="1080" w:hanging="360"/>
      </w:pPr>
      <w:rPr>
        <w:b w:val="0"/>
        <w:i w:val="0"/>
        <w:caps w:val="0"/>
        <w:strike w:val="0"/>
        <w:dstrike w:val="0"/>
        <w:vanish w:val="0"/>
        <w:webHidden w:val="0"/>
        <w:color w:val="auto"/>
        <w:u w:val="none"/>
        <w:effect w:val="none"/>
        <w:vertAlign w:val="baseline"/>
        <w:specVanish w:val="0"/>
      </w:rPr>
    </w:lvl>
    <w:lvl w:ilvl="3">
      <w:start w:val="1"/>
      <w:numFmt w:val="decimal"/>
      <w:lvlText w:val="%4."/>
      <w:lvlJc w:val="left"/>
      <w:pPr>
        <w:tabs>
          <w:tab w:val="num" w:pos="1440"/>
        </w:tabs>
        <w:ind w:left="1440" w:hanging="360"/>
      </w:pPr>
    </w:lvl>
    <w:lvl w:ilvl="4">
      <w:start w:val="1"/>
      <w:numFmt w:val="upp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380F4D30"/>
    <w:multiLevelType w:val="hybridMultilevel"/>
    <w:tmpl w:val="C730F5F0"/>
    <w:lvl w:ilvl="0" w:tplc="BEC87134">
      <w:start w:val="1"/>
      <w:numFmt w:val="decimal"/>
      <w:lvlText w:val="%1."/>
      <w:lvlJc w:val="left"/>
      <w:pPr>
        <w:ind w:left="780" w:hanging="360"/>
      </w:pPr>
      <w:rPr>
        <w:b w:val="0"/>
        <w:bCs/>
      </w:rPr>
    </w:lvl>
    <w:lvl w:ilvl="1" w:tplc="321EFDA2">
      <w:start w:val="1"/>
      <w:numFmt w:val="lowerLetter"/>
      <w:lvlText w:val="%2."/>
      <w:lvlJc w:val="left"/>
      <w:pPr>
        <w:ind w:left="1500" w:hanging="360"/>
      </w:pPr>
    </w:lvl>
    <w:lvl w:ilvl="2" w:tplc="E62A8096">
      <w:start w:val="1"/>
      <w:numFmt w:val="lowerRoman"/>
      <w:lvlText w:val="%3."/>
      <w:lvlJc w:val="right"/>
      <w:pPr>
        <w:ind w:left="2220" w:hanging="180"/>
      </w:pPr>
    </w:lvl>
    <w:lvl w:ilvl="3" w:tplc="9104AA1E">
      <w:start w:val="1"/>
      <w:numFmt w:val="decimal"/>
      <w:lvlText w:val="%4."/>
      <w:lvlJc w:val="left"/>
      <w:pPr>
        <w:ind w:left="2940" w:hanging="360"/>
      </w:pPr>
    </w:lvl>
    <w:lvl w:ilvl="4" w:tplc="B87C03D0">
      <w:start w:val="1"/>
      <w:numFmt w:val="lowerLetter"/>
      <w:lvlText w:val="%5."/>
      <w:lvlJc w:val="left"/>
      <w:pPr>
        <w:ind w:left="3660" w:hanging="360"/>
      </w:pPr>
    </w:lvl>
    <w:lvl w:ilvl="5" w:tplc="9702AF8A">
      <w:start w:val="1"/>
      <w:numFmt w:val="lowerRoman"/>
      <w:lvlText w:val="%6."/>
      <w:lvlJc w:val="right"/>
      <w:pPr>
        <w:ind w:left="4380" w:hanging="180"/>
      </w:pPr>
    </w:lvl>
    <w:lvl w:ilvl="6" w:tplc="C4A0CFC2">
      <w:start w:val="1"/>
      <w:numFmt w:val="decimal"/>
      <w:lvlText w:val="%7."/>
      <w:lvlJc w:val="left"/>
      <w:pPr>
        <w:ind w:left="5100" w:hanging="360"/>
      </w:pPr>
    </w:lvl>
    <w:lvl w:ilvl="7" w:tplc="BD7E0FEE">
      <w:start w:val="1"/>
      <w:numFmt w:val="lowerLetter"/>
      <w:lvlText w:val="%8."/>
      <w:lvlJc w:val="left"/>
      <w:pPr>
        <w:ind w:left="5820" w:hanging="360"/>
      </w:pPr>
    </w:lvl>
    <w:lvl w:ilvl="8" w:tplc="8C180A4A">
      <w:start w:val="1"/>
      <w:numFmt w:val="lowerRoman"/>
      <w:lvlText w:val="%9."/>
      <w:lvlJc w:val="right"/>
      <w:pPr>
        <w:ind w:left="6540" w:hanging="180"/>
      </w:pPr>
    </w:lvl>
  </w:abstractNum>
  <w:abstractNum w:abstractNumId="5" w15:restartNumberingAfterBreak="0">
    <w:nsid w:val="39595138"/>
    <w:multiLevelType w:val="multilevel"/>
    <w:tmpl w:val="70F03262"/>
    <w:lvl w:ilvl="0">
      <w:start w:val="1"/>
      <w:numFmt w:val="decimal"/>
      <w:lvlText w:val="%1."/>
      <w:lvlJc w:val="left"/>
      <w:pPr>
        <w:tabs>
          <w:tab w:val="num" w:pos="360"/>
        </w:tabs>
        <w:ind w:left="360" w:hanging="360"/>
      </w:pPr>
      <w:rPr>
        <w:b w:val="0"/>
        <w:i w:val="0"/>
        <w:color w:val="auto"/>
      </w:rPr>
    </w:lvl>
    <w:lvl w:ilvl="1">
      <w:start w:val="1"/>
      <w:numFmt w:val="lowerLetter"/>
      <w:lvlText w:val="%2."/>
      <w:lvlJc w:val="left"/>
      <w:pPr>
        <w:tabs>
          <w:tab w:val="num" w:pos="720"/>
        </w:tabs>
        <w:ind w:left="720" w:hanging="360"/>
      </w:pPr>
      <w:rPr>
        <w:b w:val="0"/>
        <w:i w:val="0"/>
      </w:rPr>
    </w:lvl>
    <w:lvl w:ilvl="2">
      <w:start w:val="2"/>
      <w:numFmt w:val="lowerRoman"/>
      <w:lvlText w:val="%3."/>
      <w:lvlJc w:val="left"/>
      <w:pPr>
        <w:tabs>
          <w:tab w:val="num" w:pos="1080"/>
        </w:tabs>
        <w:ind w:left="1080" w:hanging="360"/>
      </w:pPr>
      <w:rPr>
        <w:b w:val="0"/>
        <w:i w:val="0"/>
        <w:caps w:val="0"/>
        <w:strike w:val="0"/>
        <w:dstrike w:val="0"/>
        <w:vanish w:val="0"/>
        <w:webHidden w:val="0"/>
        <w:color w:val="auto"/>
        <w:u w:val="none"/>
        <w:effect w:val="none"/>
        <w:vertAlign w:val="baseline"/>
        <w:specVanish w:val="0"/>
      </w:rPr>
    </w:lvl>
    <w:lvl w:ilvl="3">
      <w:start w:val="1"/>
      <w:numFmt w:val="decimal"/>
      <w:lvlText w:val="%4."/>
      <w:lvlJc w:val="left"/>
      <w:pPr>
        <w:tabs>
          <w:tab w:val="num" w:pos="1440"/>
        </w:tabs>
        <w:ind w:left="1440" w:hanging="360"/>
      </w:pPr>
    </w:lvl>
    <w:lvl w:ilvl="4">
      <w:start w:val="1"/>
      <w:numFmt w:val="upp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3CEA1BE2"/>
    <w:multiLevelType w:val="multilevel"/>
    <w:tmpl w:val="EA3C8198"/>
    <w:lvl w:ilvl="0">
      <w:start w:val="1"/>
      <w:numFmt w:val="lowerLetter"/>
      <w:lvlText w:val="%1."/>
      <w:lvlJc w:val="left"/>
      <w:pPr>
        <w:tabs>
          <w:tab w:val="num" w:pos="360"/>
        </w:tabs>
        <w:ind w:left="360" w:hanging="360"/>
      </w:pPr>
      <w:rPr>
        <w:b w:val="0"/>
        <w:i w:val="0"/>
        <w:color w:val="auto"/>
      </w:rPr>
    </w:lvl>
    <w:lvl w:ilvl="1">
      <w:start w:val="1"/>
      <w:numFmt w:val="lowerLetter"/>
      <w:lvlText w:val="%2."/>
      <w:lvlJc w:val="left"/>
      <w:pPr>
        <w:tabs>
          <w:tab w:val="num" w:pos="720"/>
        </w:tabs>
        <w:ind w:left="720" w:hanging="360"/>
      </w:pPr>
      <w:rPr>
        <w:b w:val="0"/>
        <w:i w:val="0"/>
      </w:rPr>
    </w:lvl>
    <w:lvl w:ilvl="2">
      <w:start w:val="2"/>
      <w:numFmt w:val="lowerRoman"/>
      <w:lvlText w:val="%3."/>
      <w:lvlJc w:val="left"/>
      <w:pPr>
        <w:tabs>
          <w:tab w:val="num" w:pos="1080"/>
        </w:tabs>
        <w:ind w:left="1080" w:hanging="360"/>
      </w:pPr>
      <w:rPr>
        <w:b w:val="0"/>
        <w:i w:val="0"/>
        <w:caps w:val="0"/>
        <w:strike w:val="0"/>
        <w:dstrike w:val="0"/>
        <w:vanish w:val="0"/>
        <w:webHidden w:val="0"/>
        <w:color w:val="auto"/>
        <w:u w:val="none"/>
        <w:effect w:val="none"/>
        <w:vertAlign w:val="baseline"/>
        <w:specVanish w:val="0"/>
      </w:rPr>
    </w:lvl>
    <w:lvl w:ilvl="3">
      <w:start w:val="1"/>
      <w:numFmt w:val="decimal"/>
      <w:lvlText w:val="%4."/>
      <w:lvlJc w:val="left"/>
      <w:pPr>
        <w:tabs>
          <w:tab w:val="num" w:pos="1440"/>
        </w:tabs>
        <w:ind w:left="1440" w:hanging="360"/>
      </w:pPr>
    </w:lvl>
    <w:lvl w:ilvl="4">
      <w:start w:val="1"/>
      <w:numFmt w:val="upp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FA26AD0"/>
    <w:multiLevelType w:val="hybridMultilevel"/>
    <w:tmpl w:val="ACC47FE4"/>
    <w:lvl w:ilvl="0" w:tplc="2E48EB8C">
      <w:start w:val="1"/>
      <w:numFmt w:val="decimal"/>
      <w:lvlText w:val="%1."/>
      <w:lvlJc w:val="left"/>
      <w:pPr>
        <w:ind w:left="360" w:hanging="360"/>
      </w:pPr>
      <w:rPr>
        <w:rFonts w:hint="default"/>
      </w:rPr>
    </w:lvl>
    <w:lvl w:ilvl="1" w:tplc="0122D5DE">
      <w:start w:val="1"/>
      <w:numFmt w:val="lowerLetter"/>
      <w:lvlText w:val="%2."/>
      <w:lvlJc w:val="left"/>
      <w:pPr>
        <w:ind w:left="1440" w:hanging="360"/>
      </w:pPr>
    </w:lvl>
    <w:lvl w:ilvl="2" w:tplc="29B43588">
      <w:start w:val="1"/>
      <w:numFmt w:val="lowerRoman"/>
      <w:lvlText w:val="%3."/>
      <w:lvlJc w:val="right"/>
      <w:pPr>
        <w:ind w:left="2160" w:hanging="180"/>
      </w:pPr>
    </w:lvl>
    <w:lvl w:ilvl="3" w:tplc="0358C342">
      <w:start w:val="1"/>
      <w:numFmt w:val="decimal"/>
      <w:lvlText w:val="%4."/>
      <w:lvlJc w:val="left"/>
      <w:pPr>
        <w:ind w:left="2880" w:hanging="360"/>
      </w:pPr>
    </w:lvl>
    <w:lvl w:ilvl="4" w:tplc="6630B98A">
      <w:start w:val="1"/>
      <w:numFmt w:val="lowerLetter"/>
      <w:lvlText w:val="%5."/>
      <w:lvlJc w:val="left"/>
      <w:pPr>
        <w:ind w:left="3600" w:hanging="360"/>
      </w:pPr>
    </w:lvl>
    <w:lvl w:ilvl="5" w:tplc="82F68A8C">
      <w:start w:val="1"/>
      <w:numFmt w:val="lowerRoman"/>
      <w:lvlText w:val="%6."/>
      <w:lvlJc w:val="right"/>
      <w:pPr>
        <w:ind w:left="4320" w:hanging="180"/>
      </w:pPr>
    </w:lvl>
    <w:lvl w:ilvl="6" w:tplc="A6E65CF2">
      <w:start w:val="1"/>
      <w:numFmt w:val="decimal"/>
      <w:lvlText w:val="%7."/>
      <w:lvlJc w:val="left"/>
      <w:pPr>
        <w:ind w:left="5040" w:hanging="360"/>
      </w:pPr>
    </w:lvl>
    <w:lvl w:ilvl="7" w:tplc="25BCF894">
      <w:start w:val="1"/>
      <w:numFmt w:val="lowerLetter"/>
      <w:lvlText w:val="%8."/>
      <w:lvlJc w:val="left"/>
      <w:pPr>
        <w:ind w:left="5760" w:hanging="360"/>
      </w:pPr>
    </w:lvl>
    <w:lvl w:ilvl="8" w:tplc="069E2CBA">
      <w:start w:val="1"/>
      <w:numFmt w:val="lowerRoman"/>
      <w:lvlText w:val="%9."/>
      <w:lvlJc w:val="right"/>
      <w:pPr>
        <w:ind w:left="6480" w:hanging="180"/>
      </w:pPr>
    </w:lvl>
  </w:abstractNum>
  <w:abstractNum w:abstractNumId="8" w15:restartNumberingAfterBreak="0">
    <w:nsid w:val="44872A93"/>
    <w:multiLevelType w:val="multilevel"/>
    <w:tmpl w:val="70F03262"/>
    <w:lvl w:ilvl="0">
      <w:start w:val="1"/>
      <w:numFmt w:val="decimal"/>
      <w:lvlText w:val="%1."/>
      <w:lvlJc w:val="left"/>
      <w:pPr>
        <w:tabs>
          <w:tab w:val="num" w:pos="360"/>
        </w:tabs>
        <w:ind w:left="360" w:hanging="360"/>
      </w:pPr>
      <w:rPr>
        <w:b w:val="0"/>
        <w:i w:val="0"/>
        <w:color w:val="auto"/>
      </w:rPr>
    </w:lvl>
    <w:lvl w:ilvl="1">
      <w:start w:val="1"/>
      <w:numFmt w:val="lowerLetter"/>
      <w:lvlText w:val="%2."/>
      <w:lvlJc w:val="left"/>
      <w:pPr>
        <w:tabs>
          <w:tab w:val="num" w:pos="720"/>
        </w:tabs>
        <w:ind w:left="720" w:hanging="360"/>
      </w:pPr>
      <w:rPr>
        <w:b w:val="0"/>
        <w:i w:val="0"/>
      </w:rPr>
    </w:lvl>
    <w:lvl w:ilvl="2">
      <w:start w:val="2"/>
      <w:numFmt w:val="lowerRoman"/>
      <w:lvlText w:val="%3."/>
      <w:lvlJc w:val="left"/>
      <w:pPr>
        <w:tabs>
          <w:tab w:val="num" w:pos="1080"/>
        </w:tabs>
        <w:ind w:left="1080" w:hanging="360"/>
      </w:pPr>
      <w:rPr>
        <w:b w:val="0"/>
        <w:i w:val="0"/>
        <w:caps w:val="0"/>
        <w:strike w:val="0"/>
        <w:dstrike w:val="0"/>
        <w:vanish w:val="0"/>
        <w:webHidden w:val="0"/>
        <w:color w:val="auto"/>
        <w:u w:val="none"/>
        <w:effect w:val="none"/>
        <w:vertAlign w:val="baseline"/>
        <w:specVanish w:val="0"/>
      </w:rPr>
    </w:lvl>
    <w:lvl w:ilvl="3">
      <w:start w:val="1"/>
      <w:numFmt w:val="decimal"/>
      <w:lvlText w:val="%4."/>
      <w:lvlJc w:val="left"/>
      <w:pPr>
        <w:tabs>
          <w:tab w:val="num" w:pos="1440"/>
        </w:tabs>
        <w:ind w:left="1440" w:hanging="360"/>
      </w:pPr>
    </w:lvl>
    <w:lvl w:ilvl="4">
      <w:start w:val="1"/>
      <w:numFmt w:val="upp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49C84EB7"/>
    <w:multiLevelType w:val="multilevel"/>
    <w:tmpl w:val="89FAAB4A"/>
    <w:lvl w:ilvl="0">
      <w:start w:val="1"/>
      <w:numFmt w:val="decimal"/>
      <w:pStyle w:val="ROPShellNumbering"/>
      <w:isLg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03C660A"/>
    <w:multiLevelType w:val="multilevel"/>
    <w:tmpl w:val="24C62A30"/>
    <w:styleLink w:val="ROPShellNumTables"/>
    <w:lvl w:ilvl="0">
      <w:start w:val="1"/>
      <w:numFmt w:val="decimal"/>
      <w:isLgl/>
      <w:lvlText w:val="%1."/>
      <w:lvlJc w:val="left"/>
      <w:pPr>
        <w:tabs>
          <w:tab w:val="num" w:pos="360"/>
        </w:tabs>
        <w:ind w:left="360" w:hanging="360"/>
      </w:pPr>
      <w:rPr>
        <w:rFonts w:ascii="Arial" w:hAnsi="Arial" w:cs="Times New Roman" w:hint="default"/>
        <w:sz w:val="20"/>
        <w:szCs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799F1631"/>
    <w:multiLevelType w:val="hybridMultilevel"/>
    <w:tmpl w:val="FC4A6FFC"/>
    <w:lvl w:ilvl="0" w:tplc="5B985254">
      <w:start w:val="1"/>
      <w:numFmt w:val="lowerLetter"/>
      <w:lvlText w:val="%1."/>
      <w:lvlJc w:val="left"/>
      <w:pPr>
        <w:ind w:left="1195" w:hanging="360"/>
      </w:pPr>
      <w:rPr>
        <w:b w:val="0"/>
        <w:bCs w:val="0"/>
      </w:rPr>
    </w:lvl>
    <w:lvl w:ilvl="1" w:tplc="E620FD70">
      <w:start w:val="1"/>
      <w:numFmt w:val="lowerLetter"/>
      <w:lvlText w:val="%2."/>
      <w:lvlJc w:val="left"/>
      <w:pPr>
        <w:ind w:left="1915" w:hanging="360"/>
      </w:pPr>
    </w:lvl>
    <w:lvl w:ilvl="2" w:tplc="5FE2D172">
      <w:start w:val="1"/>
      <w:numFmt w:val="lowerRoman"/>
      <w:lvlText w:val="%3."/>
      <w:lvlJc w:val="right"/>
      <w:pPr>
        <w:ind w:left="2635" w:hanging="180"/>
      </w:pPr>
    </w:lvl>
    <w:lvl w:ilvl="3" w:tplc="C2D284F2">
      <w:start w:val="1"/>
      <w:numFmt w:val="decimal"/>
      <w:lvlText w:val="%4."/>
      <w:lvlJc w:val="left"/>
      <w:pPr>
        <w:ind w:left="3355" w:hanging="360"/>
      </w:pPr>
    </w:lvl>
    <w:lvl w:ilvl="4" w:tplc="B00AF34A">
      <w:start w:val="1"/>
      <w:numFmt w:val="lowerLetter"/>
      <w:lvlText w:val="%5."/>
      <w:lvlJc w:val="left"/>
      <w:pPr>
        <w:ind w:left="4075" w:hanging="360"/>
      </w:pPr>
    </w:lvl>
    <w:lvl w:ilvl="5" w:tplc="226C0874">
      <w:start w:val="1"/>
      <w:numFmt w:val="lowerRoman"/>
      <w:lvlText w:val="%6."/>
      <w:lvlJc w:val="right"/>
      <w:pPr>
        <w:ind w:left="4795" w:hanging="180"/>
      </w:pPr>
    </w:lvl>
    <w:lvl w:ilvl="6" w:tplc="B98C9E3C">
      <w:start w:val="1"/>
      <w:numFmt w:val="decimal"/>
      <w:lvlText w:val="%7."/>
      <w:lvlJc w:val="left"/>
      <w:pPr>
        <w:ind w:left="5515" w:hanging="360"/>
      </w:pPr>
    </w:lvl>
    <w:lvl w:ilvl="7" w:tplc="D6FAE914">
      <w:start w:val="1"/>
      <w:numFmt w:val="lowerLetter"/>
      <w:lvlText w:val="%8."/>
      <w:lvlJc w:val="left"/>
      <w:pPr>
        <w:ind w:left="6235" w:hanging="360"/>
      </w:pPr>
    </w:lvl>
    <w:lvl w:ilvl="8" w:tplc="3F8404C2">
      <w:start w:val="1"/>
      <w:numFmt w:val="lowerRoman"/>
      <w:lvlText w:val="%9."/>
      <w:lvlJc w:val="right"/>
      <w:pPr>
        <w:ind w:left="6955" w:hanging="180"/>
      </w:pPr>
    </w:lvl>
  </w:abstractNum>
  <w:num w:numId="1" w16cid:durableId="429526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7554086">
    <w:abstractNumId w:val="0"/>
    <w:lvlOverride w:ilvl="0">
      <w:startOverride w:val="1"/>
    </w:lvlOverride>
  </w:num>
  <w:num w:numId="3" w16cid:durableId="15747816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627494">
    <w:abstractNumId w:val="10"/>
  </w:num>
  <w:num w:numId="5" w16cid:durableId="1635022722">
    <w:abstractNumId w:val="2"/>
  </w:num>
  <w:num w:numId="6" w16cid:durableId="345446476">
    <w:abstractNumId w:val="7"/>
  </w:num>
  <w:num w:numId="7" w16cid:durableId="578515956">
    <w:abstractNumId w:val="5"/>
  </w:num>
  <w:num w:numId="8" w16cid:durableId="542063630">
    <w:abstractNumId w:val="3"/>
  </w:num>
  <w:num w:numId="9" w16cid:durableId="707486725">
    <w:abstractNumId w:val="8"/>
  </w:num>
  <w:num w:numId="10" w16cid:durableId="1192761903">
    <w:abstractNumId w:val="6"/>
  </w:num>
  <w:num w:numId="11" w16cid:durableId="878905118">
    <w:abstractNumId w:val="4"/>
  </w:num>
  <w:num w:numId="12" w16cid:durableId="1479959979">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21FC"/>
    <w:rsid w:val="00020AD6"/>
    <w:rsid w:val="0003471C"/>
    <w:rsid w:val="00161256"/>
    <w:rsid w:val="001839D3"/>
    <w:rsid w:val="001E0D37"/>
    <w:rsid w:val="001E431B"/>
    <w:rsid w:val="00202D89"/>
    <w:rsid w:val="003A42C5"/>
    <w:rsid w:val="003E7750"/>
    <w:rsid w:val="003F0F8C"/>
    <w:rsid w:val="00484FDE"/>
    <w:rsid w:val="005076AB"/>
    <w:rsid w:val="00552650"/>
    <w:rsid w:val="005C519A"/>
    <w:rsid w:val="006511CF"/>
    <w:rsid w:val="00674853"/>
    <w:rsid w:val="006A461D"/>
    <w:rsid w:val="006D4DA8"/>
    <w:rsid w:val="006E045F"/>
    <w:rsid w:val="00706430"/>
    <w:rsid w:val="00712ED8"/>
    <w:rsid w:val="00722D8D"/>
    <w:rsid w:val="00762FFE"/>
    <w:rsid w:val="007D2E30"/>
    <w:rsid w:val="008B00BC"/>
    <w:rsid w:val="008D3A84"/>
    <w:rsid w:val="008D5C48"/>
    <w:rsid w:val="0092217E"/>
    <w:rsid w:val="00956B80"/>
    <w:rsid w:val="00A55A1E"/>
    <w:rsid w:val="00B178AA"/>
    <w:rsid w:val="00B6477D"/>
    <w:rsid w:val="00B91113"/>
    <w:rsid w:val="00C01EB8"/>
    <w:rsid w:val="00CA7956"/>
    <w:rsid w:val="00DB4E98"/>
    <w:rsid w:val="00E03DAF"/>
    <w:rsid w:val="00E04270"/>
    <w:rsid w:val="00E9538F"/>
    <w:rsid w:val="00EC2AA9"/>
    <w:rsid w:val="00EE4ACD"/>
    <w:rsid w:val="00F008D0"/>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F25AF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71C"/>
  </w:style>
  <w:style w:type="paragraph" w:styleId="Heading1">
    <w:name w:val="heading 1"/>
    <w:basedOn w:val="Normal"/>
    <w:next w:val="Normal"/>
    <w:link w:val="Heading1Char"/>
    <w:qFormat/>
    <w:rsid w:val="008D5C48"/>
    <w:pPr>
      <w:keepNext/>
      <w:spacing w:after="0" w:line="240" w:lineRule="auto"/>
      <w:jc w:val="center"/>
      <w:outlineLvl w:val="0"/>
    </w:pPr>
    <w:rPr>
      <w:rFonts w:ascii="Arial" w:eastAsia="Times New Roman" w:hAnsi="Arial" w:cs="Times New Roman"/>
      <w:b/>
      <w:kern w:val="28"/>
      <w:sz w:val="28"/>
      <w:szCs w:val="28"/>
    </w:rPr>
  </w:style>
  <w:style w:type="paragraph" w:styleId="Heading2">
    <w:name w:val="heading 2"/>
    <w:basedOn w:val="Normal"/>
    <w:next w:val="Normal"/>
    <w:link w:val="Heading2Char"/>
    <w:unhideWhenUsed/>
    <w:qFormat/>
    <w:rsid w:val="008D5C48"/>
    <w:pPr>
      <w:keepNext/>
      <w:numPr>
        <w:ilvl w:val="1"/>
        <w:numId w:val="1"/>
      </w:numPr>
      <w:spacing w:before="240" w:after="60" w:line="240" w:lineRule="auto"/>
      <w:jc w:val="center"/>
      <w:outlineLvl w:val="1"/>
    </w:pPr>
    <w:rPr>
      <w:rFonts w:ascii="Arial" w:eastAsia="Times New Roman" w:hAnsi="Arial" w:cs="Times New Roman"/>
      <w:b/>
      <w:sz w:val="28"/>
      <w:szCs w:val="20"/>
    </w:rPr>
  </w:style>
  <w:style w:type="paragraph" w:styleId="Heading3">
    <w:name w:val="heading 3"/>
    <w:basedOn w:val="Normal"/>
    <w:next w:val="Normal"/>
    <w:link w:val="Heading3Char"/>
    <w:unhideWhenUsed/>
    <w:qFormat/>
    <w:rsid w:val="0003471C"/>
    <w:pPr>
      <w:keepNext/>
      <w:numPr>
        <w:ilvl w:val="2"/>
        <w:numId w:val="1"/>
      </w:numPr>
      <w:spacing w:before="60" w:after="240" w:line="240" w:lineRule="auto"/>
      <w:ind w:left="0" w:firstLine="0"/>
      <w:jc w:val="center"/>
      <w:outlineLvl w:val="2"/>
    </w:pPr>
    <w:rPr>
      <w:rFonts w:ascii="Arial" w:eastAsia="Times New Roman" w:hAnsi="Arial" w:cs="Times New Roman"/>
      <w:b/>
      <w:sz w:val="28"/>
      <w:szCs w:val="20"/>
    </w:rPr>
  </w:style>
  <w:style w:type="paragraph" w:styleId="Heading4">
    <w:name w:val="heading 4"/>
    <w:basedOn w:val="Normal"/>
    <w:next w:val="Normal"/>
    <w:link w:val="Heading4Char"/>
    <w:unhideWhenUsed/>
    <w:qFormat/>
    <w:rsid w:val="008D5C48"/>
    <w:pPr>
      <w:keepNext/>
      <w:numPr>
        <w:ilvl w:val="3"/>
        <w:numId w:val="1"/>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unhideWhenUsed/>
    <w:qFormat/>
    <w:rsid w:val="0003471C"/>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unhideWhenUsed/>
    <w:qFormat/>
    <w:rsid w:val="008D5C48"/>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unhideWhenUsed/>
    <w:qFormat/>
    <w:rsid w:val="008D5C48"/>
    <w:pPr>
      <w:numPr>
        <w:ilvl w:val="6"/>
        <w:numId w:val="1"/>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unhideWhenUsed/>
    <w:qFormat/>
    <w:rsid w:val="008D5C48"/>
    <w:pPr>
      <w:numPr>
        <w:ilvl w:val="7"/>
        <w:numId w:val="1"/>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unhideWhenUsed/>
    <w:qFormat/>
    <w:rsid w:val="008D5C48"/>
    <w:pPr>
      <w:numPr>
        <w:ilvl w:val="8"/>
        <w:numId w:val="1"/>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D5C48"/>
    <w:pPr>
      <w:tabs>
        <w:tab w:val="center" w:pos="4680"/>
        <w:tab w:val="right" w:pos="9360"/>
      </w:tabs>
      <w:spacing w:after="0" w:line="240" w:lineRule="auto"/>
    </w:pPr>
  </w:style>
  <w:style w:type="character" w:customStyle="1" w:styleId="HeaderChar">
    <w:name w:val="Header Char"/>
    <w:basedOn w:val="DefaultParagraphFont"/>
    <w:link w:val="Header"/>
    <w:rsid w:val="008D5C48"/>
  </w:style>
  <w:style w:type="paragraph" w:styleId="Footer">
    <w:name w:val="footer"/>
    <w:basedOn w:val="Normal"/>
    <w:link w:val="FooterChar"/>
    <w:unhideWhenUsed/>
    <w:rsid w:val="008D5C48"/>
    <w:pPr>
      <w:tabs>
        <w:tab w:val="center" w:pos="4680"/>
        <w:tab w:val="right" w:pos="9360"/>
      </w:tabs>
      <w:spacing w:after="0" w:line="240" w:lineRule="auto"/>
    </w:pPr>
  </w:style>
  <w:style w:type="character" w:customStyle="1" w:styleId="FooterChar">
    <w:name w:val="Footer Char"/>
    <w:basedOn w:val="DefaultParagraphFont"/>
    <w:link w:val="Footer"/>
    <w:rsid w:val="008D5C48"/>
  </w:style>
  <w:style w:type="character" w:customStyle="1" w:styleId="Heading1Char">
    <w:name w:val="Heading 1 Char"/>
    <w:basedOn w:val="DefaultParagraphFont"/>
    <w:link w:val="Heading1"/>
    <w:rsid w:val="008D5C48"/>
    <w:rPr>
      <w:rFonts w:ascii="Arial" w:eastAsia="Times New Roman" w:hAnsi="Arial" w:cs="Times New Roman"/>
      <w:b/>
      <w:kern w:val="28"/>
      <w:sz w:val="28"/>
      <w:szCs w:val="28"/>
    </w:rPr>
  </w:style>
  <w:style w:type="character" w:customStyle="1" w:styleId="Heading2Char">
    <w:name w:val="Heading 2 Char"/>
    <w:basedOn w:val="DefaultParagraphFont"/>
    <w:link w:val="Heading2"/>
    <w:rsid w:val="008D5C48"/>
    <w:rPr>
      <w:rFonts w:ascii="Arial" w:eastAsia="Times New Roman" w:hAnsi="Arial" w:cs="Times New Roman"/>
      <w:b/>
      <w:sz w:val="28"/>
      <w:szCs w:val="20"/>
    </w:rPr>
  </w:style>
  <w:style w:type="character" w:customStyle="1" w:styleId="Heading3Char">
    <w:name w:val="Heading 3 Char"/>
    <w:basedOn w:val="DefaultParagraphFont"/>
    <w:link w:val="Heading3"/>
    <w:rsid w:val="0003471C"/>
    <w:rPr>
      <w:rFonts w:ascii="Arial" w:eastAsia="Times New Roman" w:hAnsi="Arial" w:cs="Times New Roman"/>
      <w:b/>
      <w:sz w:val="28"/>
      <w:szCs w:val="20"/>
    </w:rPr>
  </w:style>
  <w:style w:type="character" w:customStyle="1" w:styleId="Heading4Char">
    <w:name w:val="Heading 4 Char"/>
    <w:basedOn w:val="DefaultParagraphFont"/>
    <w:link w:val="Heading4"/>
    <w:rsid w:val="008D5C48"/>
    <w:rPr>
      <w:rFonts w:ascii="Arial" w:eastAsia="Times New Roman" w:hAnsi="Arial" w:cs="Times New Roman"/>
      <w:b/>
      <w:sz w:val="24"/>
      <w:szCs w:val="20"/>
    </w:rPr>
  </w:style>
  <w:style w:type="character" w:customStyle="1" w:styleId="Heading5Char">
    <w:name w:val="Heading 5 Char"/>
    <w:basedOn w:val="DefaultParagraphFont"/>
    <w:link w:val="Heading5"/>
    <w:rsid w:val="0003471C"/>
    <w:rPr>
      <w:rFonts w:ascii="Arial" w:eastAsia="Times New Roman" w:hAnsi="Arial" w:cs="Times New Roman"/>
      <w:b/>
      <w:sz w:val="24"/>
      <w:szCs w:val="20"/>
    </w:rPr>
  </w:style>
  <w:style w:type="character" w:customStyle="1" w:styleId="Heading6Char">
    <w:name w:val="Heading 6 Char"/>
    <w:basedOn w:val="DefaultParagraphFont"/>
    <w:link w:val="Heading6"/>
    <w:rsid w:val="008D5C48"/>
    <w:rPr>
      <w:rFonts w:ascii="Times New Roman" w:eastAsia="Times New Roman" w:hAnsi="Times New Roman" w:cs="Times New Roman"/>
      <w:i/>
      <w:szCs w:val="20"/>
    </w:rPr>
  </w:style>
  <w:style w:type="character" w:customStyle="1" w:styleId="Heading7Char">
    <w:name w:val="Heading 7 Char"/>
    <w:basedOn w:val="DefaultParagraphFont"/>
    <w:link w:val="Heading7"/>
    <w:rsid w:val="008D5C48"/>
    <w:rPr>
      <w:rFonts w:ascii="Arial" w:eastAsia="Times New Roman" w:hAnsi="Arial" w:cs="Times New Roman"/>
      <w:sz w:val="20"/>
      <w:szCs w:val="20"/>
    </w:rPr>
  </w:style>
  <w:style w:type="character" w:customStyle="1" w:styleId="Heading8Char">
    <w:name w:val="Heading 8 Char"/>
    <w:basedOn w:val="DefaultParagraphFont"/>
    <w:link w:val="Heading8"/>
    <w:rsid w:val="008D5C48"/>
    <w:rPr>
      <w:rFonts w:ascii="Arial" w:eastAsia="Times New Roman" w:hAnsi="Arial" w:cs="Times New Roman"/>
      <w:i/>
      <w:sz w:val="20"/>
      <w:szCs w:val="20"/>
    </w:rPr>
  </w:style>
  <w:style w:type="character" w:customStyle="1" w:styleId="Heading9Char">
    <w:name w:val="Heading 9 Char"/>
    <w:basedOn w:val="DefaultParagraphFont"/>
    <w:link w:val="Heading9"/>
    <w:rsid w:val="008D5C48"/>
    <w:rPr>
      <w:rFonts w:ascii="Arial" w:eastAsia="Times New Roman" w:hAnsi="Arial" w:cs="Times New Roman"/>
      <w:b/>
      <w:i/>
      <w:sz w:val="18"/>
      <w:szCs w:val="20"/>
    </w:rPr>
  </w:style>
  <w:style w:type="numbering" w:customStyle="1" w:styleId="NoList1">
    <w:name w:val="No List1"/>
    <w:next w:val="NoList"/>
    <w:uiPriority w:val="99"/>
    <w:semiHidden/>
    <w:unhideWhenUsed/>
    <w:rsid w:val="008D5C48"/>
  </w:style>
  <w:style w:type="character" w:styleId="Hyperlink">
    <w:name w:val="Hyperlink"/>
    <w:unhideWhenUsed/>
    <w:rsid w:val="008D5C48"/>
    <w:rPr>
      <w:color w:val="0000FF"/>
      <w:u w:val="single"/>
    </w:rPr>
  </w:style>
  <w:style w:type="character" w:customStyle="1" w:styleId="FollowedHyperlink1">
    <w:name w:val="FollowedHyperlink1"/>
    <w:basedOn w:val="DefaultParagraphFont"/>
    <w:uiPriority w:val="99"/>
    <w:semiHidden/>
    <w:unhideWhenUsed/>
    <w:rsid w:val="008D5C48"/>
    <w:rPr>
      <w:color w:val="954F72"/>
      <w:u w:val="single"/>
    </w:rPr>
  </w:style>
  <w:style w:type="paragraph" w:customStyle="1" w:styleId="msonormal0">
    <w:name w:val="msonormal"/>
    <w:basedOn w:val="Normal"/>
    <w:rsid w:val="008D5C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nhideWhenUsed/>
    <w:rsid w:val="008D5C48"/>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semiHidden/>
    <w:unhideWhenUsed/>
    <w:rsid w:val="008D5C48"/>
    <w:pPr>
      <w:tabs>
        <w:tab w:val="right" w:leader="dot" w:pos="10210"/>
      </w:tabs>
      <w:spacing w:before="120" w:after="120" w:line="240" w:lineRule="auto"/>
    </w:pPr>
    <w:rPr>
      <w:rFonts w:ascii="Arial" w:eastAsia="Times New Roman" w:hAnsi="Arial" w:cs="Times New Roman"/>
      <w:b/>
    </w:rPr>
  </w:style>
  <w:style w:type="paragraph" w:styleId="TOC2">
    <w:name w:val="toc 2"/>
    <w:basedOn w:val="Normal"/>
    <w:next w:val="Normal"/>
    <w:autoRedefine/>
    <w:semiHidden/>
    <w:unhideWhenUsed/>
    <w:rsid w:val="008D5C48"/>
    <w:pPr>
      <w:tabs>
        <w:tab w:val="right" w:leader="dot" w:pos="10214"/>
      </w:tabs>
      <w:spacing w:after="0" w:line="240" w:lineRule="auto"/>
    </w:pPr>
    <w:rPr>
      <w:rFonts w:ascii="Arial" w:eastAsia="Times New Roman" w:hAnsi="Arial" w:cs="Times New Roman"/>
    </w:rPr>
  </w:style>
  <w:style w:type="paragraph" w:styleId="TOC3">
    <w:name w:val="toc 3"/>
    <w:basedOn w:val="Normal"/>
    <w:next w:val="Normal"/>
    <w:autoRedefine/>
    <w:semiHidden/>
    <w:unhideWhenUsed/>
    <w:rsid w:val="008D5C48"/>
    <w:pPr>
      <w:spacing w:after="0" w:line="240" w:lineRule="auto"/>
      <w:ind w:left="440"/>
    </w:pPr>
    <w:rPr>
      <w:rFonts w:ascii="Arial" w:eastAsia="Times New Roman" w:hAnsi="Arial" w:cs="Times New Roman"/>
      <w:i/>
      <w:szCs w:val="20"/>
    </w:rPr>
  </w:style>
  <w:style w:type="paragraph" w:styleId="TOC4">
    <w:name w:val="toc 4"/>
    <w:basedOn w:val="Normal"/>
    <w:next w:val="Normal"/>
    <w:autoRedefine/>
    <w:semiHidden/>
    <w:unhideWhenUsed/>
    <w:rsid w:val="008D5C48"/>
    <w:pPr>
      <w:spacing w:after="0" w:line="240" w:lineRule="auto"/>
      <w:ind w:left="660"/>
    </w:pPr>
    <w:rPr>
      <w:rFonts w:ascii="Arial" w:eastAsia="Times New Roman" w:hAnsi="Arial" w:cs="Times New Roman"/>
      <w:sz w:val="18"/>
      <w:szCs w:val="20"/>
    </w:rPr>
  </w:style>
  <w:style w:type="paragraph" w:styleId="TOC5">
    <w:name w:val="toc 5"/>
    <w:basedOn w:val="Normal"/>
    <w:next w:val="Normal"/>
    <w:autoRedefine/>
    <w:semiHidden/>
    <w:unhideWhenUsed/>
    <w:rsid w:val="008D5C48"/>
    <w:pPr>
      <w:spacing w:after="0" w:line="240" w:lineRule="auto"/>
      <w:ind w:left="880"/>
    </w:pPr>
    <w:rPr>
      <w:rFonts w:ascii="Arial" w:eastAsia="Times New Roman" w:hAnsi="Arial" w:cs="Times New Roman"/>
      <w:sz w:val="18"/>
      <w:szCs w:val="20"/>
    </w:rPr>
  </w:style>
  <w:style w:type="paragraph" w:styleId="TOC6">
    <w:name w:val="toc 6"/>
    <w:basedOn w:val="Normal"/>
    <w:next w:val="Normal"/>
    <w:autoRedefine/>
    <w:semiHidden/>
    <w:unhideWhenUsed/>
    <w:rsid w:val="008D5C48"/>
    <w:pPr>
      <w:spacing w:after="0" w:line="240" w:lineRule="auto"/>
      <w:ind w:left="1100"/>
    </w:pPr>
    <w:rPr>
      <w:rFonts w:ascii="Arial" w:eastAsia="Times New Roman" w:hAnsi="Arial" w:cs="Times New Roman"/>
      <w:sz w:val="18"/>
      <w:szCs w:val="20"/>
    </w:rPr>
  </w:style>
  <w:style w:type="paragraph" w:styleId="TOC7">
    <w:name w:val="toc 7"/>
    <w:basedOn w:val="Normal"/>
    <w:next w:val="Normal"/>
    <w:autoRedefine/>
    <w:semiHidden/>
    <w:unhideWhenUsed/>
    <w:rsid w:val="008D5C48"/>
    <w:pPr>
      <w:spacing w:after="0" w:line="240" w:lineRule="auto"/>
      <w:ind w:left="1320"/>
    </w:pPr>
    <w:rPr>
      <w:rFonts w:ascii="Arial" w:eastAsia="Times New Roman" w:hAnsi="Arial" w:cs="Times New Roman"/>
      <w:sz w:val="18"/>
      <w:szCs w:val="20"/>
    </w:rPr>
  </w:style>
  <w:style w:type="paragraph" w:styleId="TOC8">
    <w:name w:val="toc 8"/>
    <w:basedOn w:val="Normal"/>
    <w:next w:val="Normal"/>
    <w:autoRedefine/>
    <w:semiHidden/>
    <w:unhideWhenUsed/>
    <w:rsid w:val="008D5C48"/>
    <w:pPr>
      <w:spacing w:after="0" w:line="240" w:lineRule="auto"/>
      <w:ind w:left="1540"/>
    </w:pPr>
    <w:rPr>
      <w:rFonts w:ascii="Arial" w:eastAsia="Times New Roman" w:hAnsi="Arial" w:cs="Times New Roman"/>
      <w:sz w:val="18"/>
      <w:szCs w:val="20"/>
    </w:rPr>
  </w:style>
  <w:style w:type="paragraph" w:styleId="TOC9">
    <w:name w:val="toc 9"/>
    <w:basedOn w:val="Normal"/>
    <w:next w:val="Normal"/>
    <w:autoRedefine/>
    <w:semiHidden/>
    <w:unhideWhenUsed/>
    <w:rsid w:val="008D5C48"/>
    <w:pPr>
      <w:spacing w:after="0" w:line="240" w:lineRule="auto"/>
      <w:ind w:left="1760"/>
    </w:pPr>
    <w:rPr>
      <w:rFonts w:ascii="Arial" w:eastAsia="Times New Roman" w:hAnsi="Arial" w:cs="Times New Roman"/>
      <w:sz w:val="18"/>
      <w:szCs w:val="20"/>
    </w:rPr>
  </w:style>
  <w:style w:type="paragraph" w:styleId="CommentText">
    <w:name w:val="annotation text"/>
    <w:basedOn w:val="Normal"/>
    <w:link w:val="CommentTextChar"/>
    <w:uiPriority w:val="99"/>
    <w:unhideWhenUsed/>
    <w:rsid w:val="008D5C48"/>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8D5C48"/>
    <w:rPr>
      <w:rFonts w:ascii="Arial" w:eastAsia="Times New Roman" w:hAnsi="Arial" w:cs="Times New Roman"/>
      <w:sz w:val="20"/>
      <w:szCs w:val="20"/>
    </w:rPr>
  </w:style>
  <w:style w:type="paragraph" w:styleId="ListNumber">
    <w:name w:val="List Number"/>
    <w:basedOn w:val="Normal"/>
    <w:unhideWhenUsed/>
    <w:rsid w:val="008D5C48"/>
    <w:pPr>
      <w:numPr>
        <w:numId w:val="2"/>
      </w:numPr>
      <w:spacing w:after="0" w:line="240" w:lineRule="auto"/>
    </w:pPr>
    <w:rPr>
      <w:rFonts w:ascii="Arial" w:eastAsia="Times New Roman" w:hAnsi="Arial" w:cs="Times New Roman"/>
      <w:szCs w:val="20"/>
    </w:rPr>
  </w:style>
  <w:style w:type="paragraph" w:styleId="BodyText2">
    <w:name w:val="Body Text 2"/>
    <w:basedOn w:val="Normal"/>
    <w:link w:val="BodyText2Char"/>
    <w:unhideWhenUsed/>
    <w:rsid w:val="008D5C48"/>
    <w:pPr>
      <w:numPr>
        <w:ilvl w:val="12"/>
      </w:numPr>
      <w:spacing w:after="0" w:line="240" w:lineRule="auto"/>
      <w:jc w:val="both"/>
    </w:pPr>
    <w:rPr>
      <w:rFonts w:ascii="Arial" w:eastAsia="Times New Roman" w:hAnsi="Arial" w:cs="Times New Roman"/>
      <w:szCs w:val="20"/>
    </w:rPr>
  </w:style>
  <w:style w:type="character" w:customStyle="1" w:styleId="BodyText2Char">
    <w:name w:val="Body Text 2 Char"/>
    <w:basedOn w:val="DefaultParagraphFont"/>
    <w:link w:val="BodyText2"/>
    <w:semiHidden/>
    <w:rsid w:val="008D5C48"/>
    <w:rPr>
      <w:rFonts w:ascii="Arial" w:eastAsia="Times New Roman" w:hAnsi="Arial" w:cs="Times New Roman"/>
      <w:szCs w:val="20"/>
    </w:rPr>
  </w:style>
  <w:style w:type="paragraph" w:styleId="CommentSubject">
    <w:name w:val="annotation subject"/>
    <w:basedOn w:val="CommentText"/>
    <w:next w:val="CommentText"/>
    <w:link w:val="CommentSubjectChar"/>
    <w:semiHidden/>
    <w:unhideWhenUsed/>
    <w:rsid w:val="008D5C48"/>
    <w:rPr>
      <w:b/>
      <w:bCs/>
    </w:rPr>
  </w:style>
  <w:style w:type="character" w:customStyle="1" w:styleId="CommentSubjectChar">
    <w:name w:val="Comment Subject Char"/>
    <w:basedOn w:val="CommentTextChar"/>
    <w:link w:val="CommentSubject"/>
    <w:semiHidden/>
    <w:rsid w:val="008D5C48"/>
    <w:rPr>
      <w:rFonts w:ascii="Arial" w:eastAsia="Times New Roman" w:hAnsi="Arial" w:cs="Times New Roman"/>
      <w:b/>
      <w:bCs/>
      <w:sz w:val="20"/>
      <w:szCs w:val="20"/>
    </w:rPr>
  </w:style>
  <w:style w:type="paragraph" w:styleId="BalloonText">
    <w:name w:val="Balloon Text"/>
    <w:basedOn w:val="Normal"/>
    <w:link w:val="BalloonTextChar"/>
    <w:semiHidden/>
    <w:unhideWhenUsed/>
    <w:rsid w:val="008D5C4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8D5C48"/>
    <w:rPr>
      <w:rFonts w:ascii="Tahoma" w:eastAsia="Times New Roman" w:hAnsi="Tahoma" w:cs="Tahoma"/>
      <w:sz w:val="16"/>
      <w:szCs w:val="16"/>
    </w:rPr>
  </w:style>
  <w:style w:type="paragraph" w:styleId="NoSpacing">
    <w:name w:val="No Spacing"/>
    <w:uiPriority w:val="1"/>
    <w:qFormat/>
    <w:rsid w:val="008D5C48"/>
    <w:pPr>
      <w:spacing w:after="0" w:line="240" w:lineRule="auto"/>
    </w:pPr>
    <w:rPr>
      <w:rFonts w:ascii="Arial" w:eastAsia="Times New Roman" w:hAnsi="Arial" w:cs="Times New Roman"/>
      <w:szCs w:val="20"/>
    </w:rPr>
  </w:style>
  <w:style w:type="paragraph" w:styleId="Revision">
    <w:name w:val="Revision"/>
    <w:uiPriority w:val="99"/>
    <w:semiHidden/>
    <w:rsid w:val="008D5C48"/>
    <w:pPr>
      <w:spacing w:after="0" w:line="240" w:lineRule="auto"/>
    </w:pPr>
    <w:rPr>
      <w:rFonts w:ascii="Arial" w:eastAsia="Times New Roman" w:hAnsi="Arial" w:cs="Times New Roman"/>
      <w:szCs w:val="20"/>
    </w:rPr>
  </w:style>
  <w:style w:type="character" w:customStyle="1" w:styleId="ListParagraphChar">
    <w:name w:val="List Paragraph Char"/>
    <w:link w:val="ListParagraph"/>
    <w:uiPriority w:val="34"/>
    <w:locked/>
    <w:rsid w:val="008D5C48"/>
    <w:rPr>
      <w:rFonts w:ascii="Arial" w:hAnsi="Arial" w:cs="Arial"/>
    </w:rPr>
  </w:style>
  <w:style w:type="paragraph" w:customStyle="1" w:styleId="ListParagraph1">
    <w:name w:val="List Paragraph1"/>
    <w:basedOn w:val="Normal"/>
    <w:next w:val="ListParagraph"/>
    <w:uiPriority w:val="34"/>
    <w:qFormat/>
    <w:rsid w:val="008D5C48"/>
    <w:pPr>
      <w:spacing w:after="0" w:line="240" w:lineRule="auto"/>
      <w:ind w:left="720"/>
    </w:pPr>
    <w:rPr>
      <w:rFonts w:ascii="Arial" w:hAnsi="Arial" w:cs="Arial"/>
    </w:rPr>
  </w:style>
  <w:style w:type="paragraph" w:customStyle="1" w:styleId="InsideAddress">
    <w:name w:val="InsideAddress"/>
    <w:basedOn w:val="Normal"/>
    <w:rsid w:val="008D5C48"/>
    <w:pPr>
      <w:spacing w:before="480" w:after="0" w:line="240" w:lineRule="auto"/>
    </w:pPr>
    <w:rPr>
      <w:rFonts w:ascii="Courier New" w:eastAsia="Times New Roman" w:hAnsi="Courier New" w:cs="Times New Roman"/>
      <w:szCs w:val="20"/>
    </w:rPr>
  </w:style>
  <w:style w:type="paragraph" w:customStyle="1" w:styleId="ROPShellNumbering">
    <w:name w:val="ROPShellNumbering"/>
    <w:basedOn w:val="ListNumber"/>
    <w:rsid w:val="008D5C48"/>
    <w:pPr>
      <w:numPr>
        <w:numId w:val="3"/>
      </w:numPr>
      <w:spacing w:after="200"/>
    </w:pPr>
    <w:rPr>
      <w:sz w:val="20"/>
      <w:szCs w:val="22"/>
    </w:rPr>
  </w:style>
  <w:style w:type="paragraph" w:customStyle="1" w:styleId="flush-paragraph-2">
    <w:name w:val="flush-paragraph-2"/>
    <w:basedOn w:val="Normal"/>
    <w:rsid w:val="008D5C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1"/>
    <w:basedOn w:val="Normal"/>
    <w:rsid w:val="008D5C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2">
    <w:name w:val="indent-2"/>
    <w:basedOn w:val="Normal"/>
    <w:rsid w:val="008D5C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3">
    <w:name w:val="indent-3"/>
    <w:basedOn w:val="Normal"/>
    <w:rsid w:val="008D5C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unhideWhenUsed/>
    <w:rsid w:val="008D5C48"/>
    <w:rPr>
      <w:sz w:val="16"/>
    </w:rPr>
  </w:style>
  <w:style w:type="character" w:customStyle="1" w:styleId="paragraph-hierarchy">
    <w:name w:val="paragraph-hierarchy"/>
    <w:basedOn w:val="DefaultParagraphFont"/>
    <w:rsid w:val="008D5C48"/>
  </w:style>
  <w:style w:type="character" w:customStyle="1" w:styleId="paren">
    <w:name w:val="paren"/>
    <w:basedOn w:val="DefaultParagraphFont"/>
    <w:rsid w:val="008D5C48"/>
  </w:style>
  <w:style w:type="table" w:styleId="TableGrid">
    <w:name w:val="Table Grid"/>
    <w:basedOn w:val="TableNormal"/>
    <w:rsid w:val="008D5C4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OPShellNumTables">
    <w:name w:val="ROPShellNumTables"/>
    <w:rsid w:val="008D5C48"/>
    <w:pPr>
      <w:numPr>
        <w:numId w:val="4"/>
      </w:numPr>
    </w:pPr>
  </w:style>
  <w:style w:type="character" w:styleId="FollowedHyperlink">
    <w:name w:val="FollowedHyperlink"/>
    <w:basedOn w:val="DefaultParagraphFont"/>
    <w:uiPriority w:val="99"/>
    <w:semiHidden/>
    <w:unhideWhenUsed/>
    <w:rsid w:val="008D5C48"/>
    <w:rPr>
      <w:color w:val="954F72" w:themeColor="followedHyperlink"/>
      <w:u w:val="single"/>
    </w:rPr>
  </w:style>
  <w:style w:type="paragraph" w:styleId="ListParagraph">
    <w:name w:val="List Paragraph"/>
    <w:basedOn w:val="Normal"/>
    <w:link w:val="ListParagraphChar"/>
    <w:uiPriority w:val="34"/>
    <w:qFormat/>
    <w:rsid w:val="008D5C48"/>
    <w:pPr>
      <w:ind w:left="720"/>
      <w:contextualSpacing/>
    </w:pPr>
    <w:rPr>
      <w:rFonts w:ascii="Arial" w:hAnsi="Arial" w:cs="Arial"/>
    </w:rPr>
  </w:style>
  <w:style w:type="numbering" w:customStyle="1" w:styleId="NoList2">
    <w:name w:val="No List2"/>
    <w:next w:val="NoList"/>
    <w:uiPriority w:val="99"/>
    <w:semiHidden/>
    <w:unhideWhenUsed/>
    <w:rsid w:val="00E04270"/>
  </w:style>
  <w:style w:type="character" w:styleId="PageNumber">
    <w:name w:val="page number"/>
    <w:basedOn w:val="DefaultParagraphFont"/>
    <w:rsid w:val="00E04270"/>
  </w:style>
  <w:style w:type="numbering" w:customStyle="1" w:styleId="ROPShellNumTables1">
    <w:name w:val="ROPShellNumTables1"/>
    <w:basedOn w:val="NoList"/>
    <w:rsid w:val="00E04270"/>
  </w:style>
  <w:style w:type="character" w:styleId="Mention">
    <w:name w:val="Mention"/>
    <w:uiPriority w:val="99"/>
    <w:unhideWhenUsed/>
    <w:rsid w:val="00E04270"/>
    <w:rPr>
      <w:color w:val="2B579A"/>
      <w:shd w:val="clear" w:color="auto" w:fill="E6E6E6"/>
    </w:rPr>
  </w:style>
  <w:style w:type="character" w:styleId="UnresolvedMention">
    <w:name w:val="Unresolved Mention"/>
    <w:uiPriority w:val="99"/>
    <w:semiHidden/>
    <w:unhideWhenUsed/>
    <w:rsid w:val="00E04270"/>
    <w:rPr>
      <w:color w:val="605E5C"/>
      <w:shd w:val="clear" w:color="auto" w:fill="E1DFDD"/>
    </w:rPr>
  </w:style>
  <w:style w:type="character" w:styleId="Emphasis">
    <w:name w:val="Emphasis"/>
    <w:uiPriority w:val="20"/>
    <w:qFormat/>
    <w:rsid w:val="00E04270"/>
    <w:rPr>
      <w:i/>
      <w:iCs/>
    </w:rPr>
  </w:style>
  <w:style w:type="paragraph" w:styleId="Caption">
    <w:name w:val="caption"/>
    <w:basedOn w:val="Normal"/>
    <w:next w:val="Normal"/>
    <w:uiPriority w:val="35"/>
    <w:unhideWhenUsed/>
    <w:qFormat/>
    <w:rsid w:val="0003471C"/>
    <w:pPr>
      <w:spacing w:before="120" w:after="200" w:line="240" w:lineRule="auto"/>
      <w:jc w:val="center"/>
    </w:pPr>
    <w:rPr>
      <w:rFonts w:ascii="Arial" w:hAnsi="Arial"/>
      <w:b/>
      <w:iCs/>
      <w:sz w:val="24"/>
      <w:szCs w:val="18"/>
    </w:rPr>
  </w:style>
  <w:style w:type="paragraph" w:customStyle="1" w:styleId="Heading4A">
    <w:name w:val="Heading 4A"/>
    <w:basedOn w:val="Heading2"/>
    <w:link w:val="Heading4AChar"/>
    <w:qFormat/>
    <w:rsid w:val="0003471C"/>
    <w:pPr>
      <w:spacing w:before="120"/>
      <w:ind w:left="0" w:firstLine="0"/>
    </w:pPr>
  </w:style>
  <w:style w:type="character" w:customStyle="1" w:styleId="Heading4AChar">
    <w:name w:val="Heading 4A Char"/>
    <w:basedOn w:val="Heading2Char"/>
    <w:link w:val="Heading4A"/>
    <w:rsid w:val="0003471C"/>
    <w:rPr>
      <w:rFonts w:ascii="Arial" w:eastAsia="Times New Roman" w:hAnsi="Arial" w:cs="Times New Roman"/>
      <w:b/>
      <w:sz w:val="28"/>
      <w:szCs w:val="20"/>
    </w:rPr>
  </w:style>
  <w:style w:type="paragraph" w:customStyle="1" w:styleId="Heading4B">
    <w:name w:val="Heading 4B"/>
    <w:basedOn w:val="Heading4A"/>
    <w:link w:val="Heading4BChar"/>
    <w:qFormat/>
    <w:rsid w:val="0003471C"/>
    <w:pPr>
      <w:spacing w:before="60" w:after="240"/>
    </w:pPr>
    <w:rPr>
      <w:szCs w:val="28"/>
    </w:rPr>
  </w:style>
  <w:style w:type="character" w:customStyle="1" w:styleId="Heading4BChar">
    <w:name w:val="Heading 4B Char"/>
    <w:basedOn w:val="Heading4AChar"/>
    <w:link w:val="Heading4B"/>
    <w:rsid w:val="0003471C"/>
    <w:rPr>
      <w:rFonts w:ascii="Arial" w:eastAsia="Times New Roman" w:hAnsi="Arial" w:cs="Times New Roman"/>
      <w:b/>
      <w:sz w:val="28"/>
      <w:szCs w:val="28"/>
    </w:rPr>
  </w:style>
  <w:style w:type="paragraph" w:customStyle="1" w:styleId="Heading4C">
    <w:name w:val="Heading 4C"/>
    <w:basedOn w:val="Heading4A"/>
    <w:link w:val="Heading4CChar"/>
    <w:qFormat/>
    <w:rsid w:val="0003471C"/>
    <w:pPr>
      <w:numPr>
        <w:ilvl w:val="0"/>
        <w:numId w:val="0"/>
      </w:numPr>
      <w:spacing w:before="240" w:after="240"/>
      <w:jc w:val="left"/>
    </w:pPr>
    <w:rPr>
      <w:sz w:val="24"/>
      <w:szCs w:val="22"/>
    </w:rPr>
  </w:style>
  <w:style w:type="character" w:customStyle="1" w:styleId="Heading4CChar">
    <w:name w:val="Heading 4C Char"/>
    <w:basedOn w:val="Heading4AChar"/>
    <w:link w:val="Heading4C"/>
    <w:rsid w:val="0003471C"/>
    <w:rPr>
      <w:rFonts w:ascii="Arial" w:eastAsia="Times New Roman" w:hAnsi="Arial" w:cs="Times New Roman"/>
      <w:b/>
      <w:sz w:val="24"/>
      <w:szCs w:val="20"/>
    </w:rPr>
  </w:style>
  <w:style w:type="paragraph" w:customStyle="1" w:styleId="Caption2">
    <w:name w:val="Caption 2"/>
    <w:basedOn w:val="Heading4"/>
    <w:link w:val="Caption2Char"/>
    <w:qFormat/>
    <w:rsid w:val="0003471C"/>
    <w:pPr>
      <w:numPr>
        <w:ilvl w:val="0"/>
        <w:numId w:val="0"/>
      </w:numPr>
    </w:pPr>
    <w:rPr>
      <w:rFonts w:cs="Arial"/>
    </w:rPr>
  </w:style>
  <w:style w:type="character" w:customStyle="1" w:styleId="Caption2Char">
    <w:name w:val="Caption 2 Char"/>
    <w:basedOn w:val="Heading4Char"/>
    <w:link w:val="Caption2"/>
    <w:rsid w:val="0003471C"/>
    <w:rPr>
      <w:rFonts w:ascii="Arial" w:eastAsia="Times New Roman" w:hAnsi="Arial" w:cs="Arial"/>
      <w:b/>
      <w:sz w:val="24"/>
      <w:szCs w:val="20"/>
    </w:rPr>
  </w:style>
  <w:style w:type="paragraph" w:customStyle="1" w:styleId="Caption3">
    <w:name w:val="Caption 3"/>
    <w:basedOn w:val="Normal"/>
    <w:link w:val="Caption3Char"/>
    <w:qFormat/>
    <w:rsid w:val="0003471C"/>
    <w:pPr>
      <w:jc w:val="both"/>
    </w:pPr>
    <w:rPr>
      <w:rFonts w:ascii="Arial" w:eastAsia="Times New Roman" w:hAnsi="Arial" w:cs="Times New Roman"/>
      <w:b/>
      <w:szCs w:val="20"/>
    </w:rPr>
  </w:style>
  <w:style w:type="character" w:customStyle="1" w:styleId="Caption3Char">
    <w:name w:val="Caption 3 Char"/>
    <w:basedOn w:val="DefaultParagraphFont"/>
    <w:link w:val="Caption3"/>
    <w:rsid w:val="0003471C"/>
    <w:rPr>
      <w:rFonts w:ascii="Arial" w:eastAsia="Times New Roman" w:hAnsi="Arial" w:cs="Times New Roman"/>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x.epa.go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pa.gov/electronic-reporting-air-emissions/electronic-reporting-tool-er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cc02.safelinks.protection.outlook.com/?url=https%3A%2F%2Fmienviro.michigan.gov%2Fncore%2Fexternal%2Fhome&amp;data=05%7C02%7CORENTK%40michigan.gov%7Cf2e6fc9e313246740a2b08de3822b7aa%7Cd5fb7087377742ad966a892ef47225d1%7C0%7C0%7C639009918912711080%7CUnknown%7CTWFpbGZsb3d8eyJFbXB0eU1hcGkiOnRydWUsIlYiOiIwLjAuMDAwMCIsIlAiOiJXaW4zMiIsIkFOIjoiTWFpbCIsIldUIjoyfQ%3D%3D%7C0%7C%7C%7C&amp;sdata=GfhVu8turV%2F%2FPkX2AKxP6225DrI0m6PwTFE7KJBg2Do%3D&amp;reserved=0" TargetMode="External"/><Relationship Id="rId5" Type="http://schemas.openxmlformats.org/officeDocument/2006/relationships/footnotes" Target="footnotes.xml"/><Relationship Id="rId10" Type="http://schemas.openxmlformats.org/officeDocument/2006/relationships/hyperlink" Target="https://mienviro.michigan.gov/ncore/external/home" TargetMode="External"/><Relationship Id="rId4" Type="http://schemas.openxmlformats.org/officeDocument/2006/relationships/webSettings" Target="webSettings.xml"/><Relationship Id="rId9" Type="http://schemas.openxmlformats.org/officeDocument/2006/relationships/hyperlink" Target="https://www.epa.gov/electronic-reporting-air-emissions/cedr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62-3o-01-landfill-nmoc-less-than-34-mg.dotx</Template>
  <TotalTime>2</TotalTime>
  <Pages>17</Pages>
  <Words>6782</Words>
  <Characters>35812</Characters>
  <Application>Microsoft Office Word</Application>
  <DocSecurity>0</DocSecurity>
  <Lines>746</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ROP Landfills NMOC-OOO Less Than 34 Mg</dc:title>
  <dc:subject>ID No. 62-3O-01</dc:subject>
  <dc:creator>EGLE - AQD</dc:creator>
  <cp:keywords>AQD, Landfill, Permits, ROP, Title V, NMOC</cp:keywords>
  <cp:lastModifiedBy>Orent, Kelly (EGLE)</cp:lastModifiedBy>
  <cp:revision>3</cp:revision>
  <dcterms:created xsi:type="dcterms:W3CDTF">2026-04-15T13:47:00Z</dcterms:created>
  <dcterms:modified xsi:type="dcterms:W3CDTF">2026-04-16T13:48:00Z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de5a24f7-fd7e-4f43-9efd-1618cb93790a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2023-10-03T20:00:18Z</vt:lpwstr>
  </property>
  <property fmtid="{D5CDD505-2E9C-101B-9397-08002B2CF9AE}" pid="8" name="MSIP_Label_2f46dfe0-534f-4c95-815c-5b1af86b9823_SiteId">
    <vt:lpwstr>d5fb7087-3777-42ad-966a-892ef47225d1</vt:lpwstr>
  </property>
</Properties>
</file>