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6E159" w14:textId="77777777" w:rsidR="00090B49" w:rsidRPr="005745E9" w:rsidRDefault="000852FE" w:rsidP="00090B49">
      <w:pPr>
        <w:pStyle w:val="Heading4A"/>
        <w:rPr>
          <w:color w:val="EE0000"/>
        </w:rPr>
      </w:pPr>
      <w:r w:rsidRPr="00090B49">
        <w:t>EU</w:t>
      </w:r>
      <w:r w:rsidRPr="005745E9">
        <w:rPr>
          <w:color w:val="EE0000"/>
        </w:rPr>
        <w:t>{ID}</w:t>
      </w:r>
      <w:r w:rsidRPr="00090B49">
        <w:t>/FG</w:t>
      </w:r>
      <w:r w:rsidRPr="005745E9">
        <w:rPr>
          <w:color w:val="EE0000"/>
        </w:rPr>
        <w:t>{ID}</w:t>
      </w:r>
    </w:p>
    <w:p w14:paraId="727FD51E" w14:textId="77777777" w:rsidR="00090B49" w:rsidRPr="00090B49" w:rsidRDefault="000852FE" w:rsidP="00090B49">
      <w:pPr>
        <w:pStyle w:val="Heading4B"/>
      </w:pPr>
      <w:r w:rsidRPr="00090B49">
        <w:t>FLEXIBLE GROUP CONDITIONS</w:t>
      </w:r>
    </w:p>
    <w:p w14:paraId="26E98FA0" w14:textId="77777777" w:rsidR="0069668A" w:rsidRDefault="000852FE" w:rsidP="0069668A">
      <w:pPr>
        <w:spacing w:before="0" w:after="0"/>
        <w:jc w:val="center"/>
        <w:rPr>
          <w:rFonts w:ascii="Arial" w:eastAsia="Times New Roman" w:hAnsi="Arial" w:cs="Arial"/>
          <w:b/>
          <w:color w:val="0000FF"/>
          <w:sz w:val="28"/>
          <w:szCs w:val="28"/>
        </w:rPr>
      </w:pPr>
      <w:r w:rsidRPr="00E11DE9">
        <w:rPr>
          <w:rFonts w:ascii="Arial" w:eastAsia="Times New Roman" w:hAnsi="Arial" w:cs="Arial"/>
          <w:b/>
          <w:color w:val="0000FF"/>
          <w:sz w:val="28"/>
          <w:szCs w:val="28"/>
        </w:rPr>
        <w:t xml:space="preserve">40 CFR Part 63, Subpart KK – </w:t>
      </w:r>
    </w:p>
    <w:p w14:paraId="32082847" w14:textId="58574471" w:rsidR="00E11DE9" w:rsidRPr="00E11DE9" w:rsidRDefault="000852FE" w:rsidP="0069668A">
      <w:pPr>
        <w:spacing w:before="0" w:after="0"/>
        <w:jc w:val="center"/>
        <w:rPr>
          <w:rFonts w:ascii="Arial" w:eastAsia="Times New Roman" w:hAnsi="Arial" w:cs="Arial"/>
          <w:sz w:val="28"/>
          <w:szCs w:val="28"/>
        </w:rPr>
      </w:pPr>
      <w:r w:rsidRPr="00E11DE9">
        <w:rPr>
          <w:rFonts w:ascii="Arial" w:eastAsia="Times New Roman" w:hAnsi="Arial" w:cs="Arial"/>
          <w:b/>
          <w:color w:val="0000FF"/>
          <w:sz w:val="28"/>
          <w:szCs w:val="28"/>
        </w:rPr>
        <w:t>Printing &amp; Publishing covers major sources of HAPs.</w:t>
      </w:r>
    </w:p>
    <w:p w14:paraId="30215C72" w14:textId="77777777" w:rsidR="00E11DE9" w:rsidRPr="00F977CE" w:rsidRDefault="000852FE" w:rsidP="00702A36">
      <w:pPr>
        <w:spacing w:line="259" w:lineRule="auto"/>
        <w:jc w:val="left"/>
        <w:rPr>
          <w:rFonts w:ascii="Arial" w:eastAsia="Times New Roman" w:hAnsi="Arial" w:cs="Times New Roman"/>
          <w:bCs/>
          <w:sz w:val="20"/>
          <w:szCs w:val="20"/>
        </w:rPr>
      </w:pPr>
      <w:r w:rsidRPr="000852FE">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7185ACB6" w14:textId="52678EF0" w:rsidR="00E11DE9" w:rsidRPr="00F977CE" w:rsidRDefault="000852FE" w:rsidP="00702A36">
      <w:pPr>
        <w:spacing w:line="259" w:lineRule="auto"/>
        <w:jc w:val="left"/>
        <w:rPr>
          <w:rFonts w:ascii="Arial" w:eastAsia="Times New Roman" w:hAnsi="Arial" w:cs="Times New Roman"/>
          <w:bCs/>
          <w:color w:val="0000FF"/>
          <w:sz w:val="20"/>
          <w:szCs w:val="20"/>
        </w:rPr>
      </w:pPr>
      <w:r w:rsidRPr="00E11DE9">
        <w:rPr>
          <w:rFonts w:ascii="Arial" w:eastAsia="Times New Roman" w:hAnsi="Arial" w:cs="Times New Roman"/>
          <w:b/>
          <w:color w:val="0000FF"/>
          <w:sz w:val="20"/>
          <w:szCs w:val="20"/>
        </w:rPr>
        <w:t xml:space="preserve">Blue text is guidance or notes on the use of the template.  </w:t>
      </w:r>
      <w:r w:rsidR="00172DDC" w:rsidRPr="00172DDC">
        <w:rPr>
          <w:rFonts w:ascii="Arial" w:eastAsia="Times New Roman" w:hAnsi="Arial" w:cs="Times New Roman"/>
          <w:b/>
          <w:color w:val="0000FF"/>
          <w:sz w:val="20"/>
          <w:szCs w:val="20"/>
        </w:rPr>
        <w:t>DELETE ALL BLUE TEXT PRIOR TO ISSUING THE FINAL PERMIT OR SUBMITTING IT WITH A PERMIT APPLICATION.</w:t>
      </w:r>
      <w:r w:rsidR="00172DDC" w:rsidRPr="00E11DE9">
        <w:rPr>
          <w:rFonts w:ascii="Arial" w:eastAsia="Times New Roman" w:hAnsi="Arial" w:cs="Times New Roman"/>
          <w:b/>
          <w:color w:val="0000FF"/>
          <w:sz w:val="20"/>
          <w:szCs w:val="20"/>
        </w:rPr>
        <w:t xml:space="preserve">  </w:t>
      </w:r>
      <w:r w:rsidRPr="00E11DE9">
        <w:rPr>
          <w:rFonts w:ascii="Arial" w:eastAsia="Times New Roman" w:hAnsi="Arial" w:cs="Times New Roman"/>
          <w:b/>
          <w:color w:val="0000FF"/>
          <w:sz w:val="20"/>
          <w:szCs w:val="20"/>
        </w:rPr>
        <w:t xml:space="preserve">Read through all conditions.  If the permittee has control equipment or wants the option to add control equipment in the future, use all the conditions in this template, selecting the appropriate control type for the tables.  If there is currently no control or no plans to add control, eliminate the conditions that reference use of control (red conditions). </w:t>
      </w:r>
    </w:p>
    <w:p w14:paraId="167C533B" w14:textId="69E369B9" w:rsidR="00E11DE9" w:rsidRPr="00E11DE9" w:rsidRDefault="000852FE" w:rsidP="00702A36">
      <w:pPr>
        <w:spacing w:line="259" w:lineRule="auto"/>
        <w:jc w:val="left"/>
        <w:rPr>
          <w:rFonts w:ascii="Arial" w:eastAsia="Times New Roman" w:hAnsi="Arial" w:cs="Times New Roman"/>
          <w:sz w:val="20"/>
          <w:szCs w:val="20"/>
        </w:rPr>
      </w:pPr>
      <w:r w:rsidRPr="00E11DE9">
        <w:rPr>
          <w:rFonts w:ascii="Arial" w:eastAsia="Times New Roman" w:hAnsi="Arial" w:cs="Times New Roman"/>
          <w:b/>
          <w:color w:val="0000FF"/>
          <w:sz w:val="20"/>
          <w:szCs w:val="20"/>
        </w:rPr>
        <w:t>If this template is being used for a ROP Reopening or Renewal</w:t>
      </w:r>
      <w:r w:rsidRPr="00172DDC">
        <w:rPr>
          <w:rFonts w:ascii="Arial" w:eastAsia="Times New Roman" w:hAnsi="Arial" w:cs="Times New Roman"/>
          <w:b/>
          <w:color w:val="0000FF"/>
          <w:sz w:val="20"/>
          <w:szCs w:val="20"/>
        </w:rPr>
        <w:t>, and the MACT conditions were established in a PTI, the appropriate footnotes which reference enforceability must</w:t>
      </w:r>
      <w:r w:rsidRPr="00E11DE9">
        <w:rPr>
          <w:rFonts w:ascii="Arial" w:eastAsia="Times New Roman" w:hAnsi="Arial" w:cs="Times New Roman"/>
          <w:b/>
          <w:color w:val="0000FF"/>
          <w:sz w:val="20"/>
          <w:szCs w:val="20"/>
        </w:rPr>
        <w:t xml:space="preserve"> be added to each applicable condition in the template.  </w:t>
      </w:r>
    </w:p>
    <w:p w14:paraId="021B2C8E" w14:textId="77777777" w:rsidR="00E11DE9" w:rsidRPr="00F977CE" w:rsidRDefault="000852FE" w:rsidP="00702A36">
      <w:pPr>
        <w:spacing w:line="259" w:lineRule="auto"/>
        <w:jc w:val="left"/>
        <w:rPr>
          <w:rFonts w:ascii="Arial" w:eastAsia="Times New Roman" w:hAnsi="Arial" w:cs="Times New Roman"/>
          <w:bCs/>
          <w:sz w:val="20"/>
          <w:szCs w:val="20"/>
        </w:rPr>
      </w:pPr>
      <w:r w:rsidRPr="00E11DE9">
        <w:rPr>
          <w:rFonts w:ascii="Arial" w:eastAsia="Times New Roman" w:hAnsi="Arial" w:cs="Times New Roman"/>
          <w:b/>
          <w:color w:val="0000FF"/>
          <w:sz w:val="20"/>
          <w:szCs w:val="20"/>
        </w:rPr>
        <w:t>The following information may be incorporated into the staff report as it applies to the source:</w:t>
      </w:r>
    </w:p>
    <w:p w14:paraId="6788EA8C" w14:textId="77777777" w:rsidR="00E11DE9" w:rsidRPr="00E11DE9" w:rsidRDefault="000852FE" w:rsidP="00702A36">
      <w:pPr>
        <w:numPr>
          <w:ilvl w:val="0"/>
          <w:numId w:val="1"/>
        </w:numPr>
        <w:spacing w:line="259" w:lineRule="auto"/>
        <w:ind w:left="360"/>
        <w:jc w:val="left"/>
        <w:rPr>
          <w:rFonts w:ascii="Arial" w:eastAsia="Times New Roman" w:hAnsi="Arial" w:cs="Arial"/>
          <w:b/>
          <w:bCs/>
          <w:color w:val="0000FF"/>
          <w:sz w:val="20"/>
          <w:szCs w:val="20"/>
        </w:rPr>
      </w:pPr>
      <w:r w:rsidRPr="00E11DE9">
        <w:rPr>
          <w:rFonts w:ascii="Arial" w:eastAsia="Times New Roman" w:hAnsi="Arial" w:cs="Times New Roman"/>
          <w:b/>
          <w:bCs/>
          <w:color w:val="0000FF"/>
          <w:sz w:val="20"/>
          <w:szCs w:val="20"/>
        </w:rPr>
        <w:t>New and existing facility is defined in 40 CFR 63.2.  (40 CFR 63.820(a)(1))</w:t>
      </w:r>
    </w:p>
    <w:p w14:paraId="0A9AE816" w14:textId="77777777" w:rsidR="00E11DE9" w:rsidRPr="00E11DE9" w:rsidRDefault="000852FE" w:rsidP="00702A36">
      <w:pPr>
        <w:numPr>
          <w:ilvl w:val="0"/>
          <w:numId w:val="1"/>
        </w:numPr>
        <w:spacing w:line="259" w:lineRule="auto"/>
        <w:ind w:left="360"/>
        <w:jc w:val="left"/>
        <w:rPr>
          <w:rFonts w:ascii="Arial" w:eastAsia="Times New Roman" w:hAnsi="Arial" w:cs="Arial"/>
          <w:b/>
          <w:bCs/>
          <w:color w:val="0000FF"/>
          <w:sz w:val="20"/>
          <w:szCs w:val="20"/>
        </w:rPr>
      </w:pPr>
      <w:r w:rsidRPr="00E11DE9">
        <w:rPr>
          <w:rFonts w:ascii="Arial" w:eastAsia="Times New Roman" w:hAnsi="Arial" w:cs="Arial"/>
          <w:b/>
          <w:bCs/>
          <w:color w:val="0000FF"/>
          <w:sz w:val="20"/>
          <w:szCs w:val="20"/>
        </w:rPr>
        <w:t>There are no future compliance dates.</w:t>
      </w:r>
    </w:p>
    <w:p w14:paraId="1BB8B55A" w14:textId="77777777" w:rsidR="00E11DE9" w:rsidRPr="00F977CE" w:rsidRDefault="000852FE" w:rsidP="00702A36">
      <w:pPr>
        <w:spacing w:line="259" w:lineRule="auto"/>
        <w:jc w:val="left"/>
        <w:rPr>
          <w:rFonts w:ascii="Arial" w:eastAsia="Times New Roman" w:hAnsi="Arial" w:cs="Arial"/>
          <w:sz w:val="20"/>
          <w:szCs w:val="20"/>
        </w:rPr>
      </w:pPr>
      <w:r w:rsidRPr="00E11DE9">
        <w:rPr>
          <w:rFonts w:ascii="Arial" w:eastAsia="Times New Roman" w:hAnsi="Arial" w:cs="Arial"/>
          <w:b/>
          <w:bCs/>
          <w:color w:val="0000FF"/>
          <w:sz w:val="20"/>
          <w:szCs w:val="20"/>
        </w:rPr>
        <w:t>There are no future compliance dates.</w:t>
      </w:r>
    </w:p>
    <w:p w14:paraId="0346F7B2" w14:textId="1D44D9E5" w:rsidR="00E11DE9" w:rsidRPr="00A016F2" w:rsidRDefault="000852FE" w:rsidP="00702A36">
      <w:pPr>
        <w:spacing w:line="259" w:lineRule="auto"/>
        <w:jc w:val="left"/>
        <w:rPr>
          <w:rFonts w:ascii="Arial" w:hAnsi="Arial" w:cs="Arial"/>
          <w:b/>
          <w:bCs/>
          <w:color w:val="3333FF"/>
          <w:sz w:val="20"/>
          <w:szCs w:val="20"/>
        </w:rPr>
      </w:pPr>
      <w:r w:rsidRPr="00A016F2">
        <w:rPr>
          <w:rFonts w:ascii="Arial" w:hAnsi="Arial" w:cs="Arial"/>
          <w:b/>
          <w:bCs/>
          <w:color w:val="3333FF"/>
          <w:sz w:val="20"/>
          <w:szCs w:val="20"/>
        </w:rPr>
        <w:t xml:space="preserve">40 CFR Part 63, Subpart KK - </w:t>
      </w:r>
      <w:r w:rsidRPr="00A016F2">
        <w:rPr>
          <w:rFonts w:ascii="Arial" w:hAnsi="Arial" w:cs="Arial"/>
          <w:b/>
          <w:bCs/>
          <w:i/>
          <w:color w:val="3333FF"/>
          <w:sz w:val="20"/>
          <w:szCs w:val="20"/>
        </w:rPr>
        <w:t>Final rule</w:t>
      </w:r>
      <w:r w:rsidRPr="00A016F2">
        <w:rPr>
          <w:rFonts w:ascii="Arial" w:hAnsi="Arial" w:cs="Arial"/>
          <w:b/>
          <w:bCs/>
          <w:color w:val="3333FF"/>
          <w:sz w:val="20"/>
          <w:szCs w:val="20"/>
        </w:rPr>
        <w:t xml:space="preserve"> issued and published in the Federal Register on May 30, 1996.  Subsequent amendments to Subpart KK have been issued and published in the Federal Register on May</w:t>
      </w:r>
      <w:r w:rsidR="00CD6624">
        <w:rPr>
          <w:rFonts w:ascii="Arial" w:hAnsi="Arial" w:cs="Arial"/>
          <w:b/>
          <w:bCs/>
          <w:color w:val="3333FF"/>
          <w:sz w:val="20"/>
          <w:szCs w:val="20"/>
        </w:rPr>
        <w:t> </w:t>
      </w:r>
      <w:r w:rsidRPr="00A016F2">
        <w:rPr>
          <w:rFonts w:ascii="Arial" w:hAnsi="Arial" w:cs="Arial"/>
          <w:b/>
          <w:bCs/>
          <w:color w:val="3333FF"/>
          <w:sz w:val="20"/>
          <w:szCs w:val="20"/>
        </w:rPr>
        <w:t>24, 2006.</w:t>
      </w:r>
    </w:p>
    <w:p w14:paraId="792F1B88" w14:textId="77777777" w:rsidR="00DB7DEE" w:rsidRPr="00DB7DEE" w:rsidRDefault="000852FE" w:rsidP="00402608">
      <w:pPr>
        <w:pStyle w:val="Heading5"/>
        <w:rPr>
          <w:b w:val="0"/>
        </w:rPr>
      </w:pPr>
      <w:r w:rsidRPr="00DB7DEE">
        <w:t>DESCRIPTION</w:t>
      </w:r>
    </w:p>
    <w:p w14:paraId="2B3CEBC9" w14:textId="77777777" w:rsidR="00E11DE9" w:rsidRPr="00E11DE9" w:rsidRDefault="000852FE" w:rsidP="00A016F2">
      <w:pPr>
        <w:spacing w:before="240" w:after="240" w:line="259" w:lineRule="auto"/>
        <w:jc w:val="left"/>
        <w:rPr>
          <w:rFonts w:ascii="Arial" w:eastAsia="Times New Roman" w:hAnsi="Arial" w:cs="Times New Roman"/>
          <w:sz w:val="20"/>
          <w:szCs w:val="20"/>
        </w:rPr>
      </w:pPr>
      <w:r w:rsidRPr="00E11DE9">
        <w:rPr>
          <w:rFonts w:ascii="Arial" w:eastAsia="Times New Roman" w:hAnsi="Arial" w:cs="Times New Roman"/>
          <w:color w:val="000000"/>
          <w:sz w:val="20"/>
          <w:szCs w:val="20"/>
        </w:rPr>
        <w:t>Each new and existing facility that is a major source of hazardous air pollutants (HAPs) at which publication rotogravure, product and packaging rotogravure, or wide-web flexographic printing presses are operated as defined in 40 CFR Part 63, Subpart KK</w:t>
      </w:r>
      <w:r w:rsidRPr="00E11DE9">
        <w:rPr>
          <w:rFonts w:ascii="Arial" w:eastAsia="Times New Roman" w:hAnsi="Arial" w:cs="Times New Roman"/>
          <w:sz w:val="20"/>
          <w:szCs w:val="20"/>
        </w:rPr>
        <w:t>,</w:t>
      </w:r>
      <w:r w:rsidRPr="00E11DE9">
        <w:rPr>
          <w:rFonts w:ascii="Times New Roman" w:eastAsia="Times New Roman" w:hAnsi="Times New Roman" w:cs="Times New Roman"/>
          <w:sz w:val="20"/>
          <w:szCs w:val="20"/>
        </w:rPr>
        <w:t xml:space="preserve"> </w:t>
      </w:r>
      <w:r w:rsidRPr="00E11DE9">
        <w:rPr>
          <w:rFonts w:ascii="Arial" w:eastAsia="Times New Roman" w:hAnsi="Arial" w:cs="Arial"/>
          <w:sz w:val="20"/>
          <w:szCs w:val="20"/>
        </w:rPr>
        <w:t>40 CFR</w:t>
      </w:r>
      <w:r w:rsidRPr="00E11DE9">
        <w:rPr>
          <w:rFonts w:ascii="Times New Roman" w:eastAsia="Times New Roman" w:hAnsi="Times New Roman" w:cs="Times New Roman"/>
          <w:sz w:val="20"/>
          <w:szCs w:val="20"/>
        </w:rPr>
        <w:t xml:space="preserve"> </w:t>
      </w:r>
      <w:r w:rsidRPr="00E11DE9">
        <w:rPr>
          <w:rFonts w:ascii="Arial" w:eastAsia="Times New Roman" w:hAnsi="Arial" w:cs="Times New Roman"/>
          <w:sz w:val="20"/>
          <w:szCs w:val="20"/>
        </w:rPr>
        <w:t xml:space="preserve">63.820.  </w:t>
      </w:r>
      <w:r w:rsidRPr="00E11DE9">
        <w:rPr>
          <w:rFonts w:ascii="Arial" w:eastAsia="Times New Roman" w:hAnsi="Arial" w:cs="Arial"/>
          <w:sz w:val="20"/>
          <w:szCs w:val="20"/>
        </w:rPr>
        <w:t>Affected sources include equipment and processes described in 40 CFR 63.821</w:t>
      </w:r>
      <w:r w:rsidRPr="00E11DE9">
        <w:rPr>
          <w:rFonts w:ascii="Arial" w:eastAsia="Times New Roman" w:hAnsi="Arial" w:cs="Times New Roman"/>
          <w:sz w:val="20"/>
          <w:szCs w:val="20"/>
        </w:rPr>
        <w:t xml:space="preserve">.  </w:t>
      </w:r>
    </w:p>
    <w:p w14:paraId="1ADC50E2" w14:textId="009B0E45" w:rsidR="00E11DE9" w:rsidRPr="00F977CE" w:rsidRDefault="000852FE" w:rsidP="00A016F2">
      <w:pPr>
        <w:tabs>
          <w:tab w:val="left" w:pos="6510"/>
        </w:tabs>
        <w:spacing w:before="240" w:after="240" w:line="259" w:lineRule="auto"/>
        <w:rPr>
          <w:rFonts w:ascii="Arial" w:eastAsia="Times New Roman" w:hAnsi="Arial" w:cs="Times New Roman"/>
          <w:bCs/>
          <w:sz w:val="20"/>
          <w:szCs w:val="20"/>
        </w:rPr>
      </w:pPr>
      <w:r w:rsidRPr="00E11DE9">
        <w:rPr>
          <w:rFonts w:ascii="Arial" w:eastAsia="Times New Roman" w:hAnsi="Arial" w:cs="Times New Roman"/>
          <w:b/>
          <w:sz w:val="20"/>
          <w:szCs w:val="20"/>
        </w:rPr>
        <w:t>Emission Unit</w:t>
      </w:r>
      <w:r w:rsidR="00763219">
        <w:rPr>
          <w:rFonts w:ascii="Arial" w:eastAsia="Times New Roman" w:hAnsi="Arial" w:cs="Times New Roman"/>
          <w:b/>
          <w:sz w:val="20"/>
          <w:szCs w:val="20"/>
        </w:rPr>
        <w:t>(</w:t>
      </w:r>
      <w:r w:rsidRPr="00E11DE9">
        <w:rPr>
          <w:rFonts w:ascii="Arial" w:eastAsia="Times New Roman" w:hAnsi="Arial" w:cs="Times New Roman"/>
          <w:b/>
          <w:sz w:val="20"/>
          <w:szCs w:val="20"/>
        </w:rPr>
        <w:t>s</w:t>
      </w:r>
      <w:r w:rsidR="00763219">
        <w:rPr>
          <w:rFonts w:ascii="Arial" w:eastAsia="Times New Roman" w:hAnsi="Arial" w:cs="Times New Roman"/>
          <w:b/>
          <w:sz w:val="20"/>
          <w:szCs w:val="20"/>
        </w:rPr>
        <w:t>)</w:t>
      </w:r>
      <w:r w:rsidRPr="00E11DE9">
        <w:rPr>
          <w:rFonts w:ascii="Arial" w:eastAsia="Times New Roman" w:hAnsi="Arial" w:cs="Times New Roman"/>
          <w:b/>
          <w:sz w:val="20"/>
          <w:szCs w:val="20"/>
        </w:rPr>
        <w:t xml:space="preserve">: </w:t>
      </w:r>
      <w:bookmarkStart w:id="0" w:name="_Hlk117680136"/>
      <w:r w:rsidRPr="000852FE">
        <w:rPr>
          <w:rFonts w:ascii="Arial" w:eastAsia="Times New Roman" w:hAnsi="Arial" w:cs="Times New Roman"/>
          <w:bCs/>
          <w:color w:val="ED0000"/>
          <w:sz w:val="20"/>
          <w:szCs w:val="20"/>
        </w:rPr>
        <w:t>{Enter Emission Units}</w:t>
      </w:r>
      <w:bookmarkEnd w:id="0"/>
    </w:p>
    <w:p w14:paraId="53BB0FA2" w14:textId="77777777" w:rsidR="00E11DE9" w:rsidRPr="00E11DE9" w:rsidRDefault="000852FE" w:rsidP="0069668A">
      <w:pPr>
        <w:pStyle w:val="Heading5"/>
        <w:rPr>
          <w:rFonts w:eastAsia="Times New Roman"/>
        </w:rPr>
      </w:pPr>
      <w:r w:rsidRPr="00E11DE9">
        <w:rPr>
          <w:rFonts w:eastAsia="Times New Roman"/>
        </w:rPr>
        <w:t>POLLUTION CONTROL EQUIPMENT</w:t>
      </w:r>
    </w:p>
    <w:p w14:paraId="055E0792" w14:textId="77777777" w:rsidR="00E11DE9" w:rsidRPr="00F977CE" w:rsidRDefault="000852FE" w:rsidP="00A016F2">
      <w:pPr>
        <w:spacing w:before="160" w:after="160" w:line="259" w:lineRule="auto"/>
        <w:rPr>
          <w:rFonts w:ascii="Arial" w:eastAsia="Times New Roman" w:hAnsi="Arial" w:cs="Times New Roman"/>
          <w:bCs/>
          <w:sz w:val="20"/>
          <w:szCs w:val="20"/>
        </w:rPr>
      </w:pPr>
      <w:bookmarkStart w:id="1" w:name="_Hlk117680014"/>
      <w:r w:rsidRPr="000852FE">
        <w:rPr>
          <w:rFonts w:ascii="Arial" w:eastAsia="Times New Roman" w:hAnsi="Arial" w:cs="Times New Roman"/>
          <w:bCs/>
          <w:color w:val="ED0000"/>
          <w:sz w:val="20"/>
          <w:szCs w:val="20"/>
        </w:rPr>
        <w:t>{Enter specific control equipment used by the facility or NA}</w:t>
      </w:r>
      <w:bookmarkEnd w:id="1"/>
    </w:p>
    <w:p w14:paraId="71091AC1" w14:textId="77777777" w:rsidR="00E11DE9" w:rsidRPr="00E11DE9" w:rsidRDefault="000852FE" w:rsidP="00CD6624">
      <w:pPr>
        <w:pStyle w:val="Heading5"/>
        <w:rPr>
          <w:rFonts w:eastAsia="Times New Roman"/>
          <w:sz w:val="20"/>
        </w:rPr>
      </w:pPr>
      <w:r w:rsidRPr="00E11DE9">
        <w:rPr>
          <w:rFonts w:eastAsia="Times New Roman"/>
        </w:rPr>
        <w:t>I.  EMISSION LIMIT(S)</w:t>
      </w:r>
      <w:r w:rsidRPr="00E11DE9">
        <w:rPr>
          <w:rFonts w:eastAsia="Times New Roman"/>
          <w:sz w:val="20"/>
        </w:rPr>
        <w:t xml:space="preserve">  </w:t>
      </w:r>
    </w:p>
    <w:p w14:paraId="05545EFF" w14:textId="77777777" w:rsidR="00E11DE9" w:rsidRPr="00F977CE" w:rsidRDefault="000852FE" w:rsidP="00A016F2">
      <w:pPr>
        <w:spacing w:after="0"/>
        <w:jc w:val="left"/>
        <w:rPr>
          <w:rFonts w:ascii="Arial" w:eastAsia="Times New Roman" w:hAnsi="Arial" w:cs="Times New Roman"/>
          <w:bCs/>
          <w:szCs w:val="20"/>
        </w:rPr>
      </w:pPr>
      <w:r w:rsidRPr="00994D8F">
        <w:rPr>
          <w:rFonts w:ascii="Arial" w:eastAsia="Times New Roman" w:hAnsi="Arial" w:cs="Times New Roman"/>
          <w:b/>
          <w:color w:val="0000FF"/>
          <w:sz w:val="20"/>
          <w:szCs w:val="20"/>
        </w:rPr>
        <w:t xml:space="preserve">Select all appropriate limits for the facility and number the conditions accordingly.  If the source has BOTH Product and Packaging Rotogravure AND Wide-Web Flexographic, change the OR to AND in the Equipment box.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3"/>
        <w:gridCol w:w="1432"/>
        <w:gridCol w:w="2251"/>
        <w:gridCol w:w="1350"/>
        <w:gridCol w:w="1973"/>
        <w:gridCol w:w="1585"/>
      </w:tblGrid>
      <w:tr w:rsidR="007C10B5" w14:paraId="3AFD4D9B" w14:textId="77777777" w:rsidTr="003C1115">
        <w:trPr>
          <w:cantSplit/>
          <w:tblHeader/>
        </w:trPr>
        <w:tc>
          <w:tcPr>
            <w:tcW w:w="794"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1278A8" w14:textId="77777777" w:rsidR="00E11DE9" w:rsidRPr="00E11DE9" w:rsidRDefault="000852FE" w:rsidP="003C1115">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Pollutant</w:t>
            </w:r>
          </w:p>
        </w:tc>
        <w:tc>
          <w:tcPr>
            <w:tcW w:w="70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AB9355" w14:textId="77777777" w:rsidR="00E11DE9" w:rsidRPr="00E11DE9" w:rsidRDefault="000852FE" w:rsidP="003C1115">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Limit</w:t>
            </w:r>
          </w:p>
        </w:tc>
        <w:tc>
          <w:tcPr>
            <w:tcW w:w="110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3FF69A" w14:textId="77777777" w:rsidR="00E11DE9" w:rsidRPr="00E11DE9" w:rsidRDefault="000852FE" w:rsidP="003C1115">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Time Period/ Operating Scenario</w:t>
            </w:r>
          </w:p>
        </w:tc>
        <w:tc>
          <w:tcPr>
            <w:tcW w:w="66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E439CC" w14:textId="77777777" w:rsidR="00E11DE9" w:rsidRPr="00E11DE9" w:rsidRDefault="000852FE" w:rsidP="003C1115">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Equipment</w:t>
            </w:r>
          </w:p>
        </w:tc>
        <w:tc>
          <w:tcPr>
            <w:tcW w:w="96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8A4EBB" w14:textId="77777777" w:rsidR="00E11DE9" w:rsidRPr="00E11DE9" w:rsidRDefault="000852FE" w:rsidP="003C1115">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Monitoring/Testing Method</w:t>
            </w:r>
          </w:p>
        </w:tc>
        <w:tc>
          <w:tcPr>
            <w:tcW w:w="77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FB2D15" w14:textId="77777777" w:rsidR="00E11DE9" w:rsidRPr="00E11DE9" w:rsidRDefault="000852FE" w:rsidP="003C1115">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Underlying Applicable Requirements</w:t>
            </w:r>
          </w:p>
        </w:tc>
      </w:tr>
      <w:tr w:rsidR="007C10B5" w14:paraId="4F2490E7" w14:textId="77777777" w:rsidTr="00E11DE9">
        <w:trPr>
          <w:cantSplit/>
        </w:trPr>
        <w:tc>
          <w:tcPr>
            <w:tcW w:w="794" w:type="pct"/>
            <w:tcBorders>
              <w:top w:val="single" w:sz="4" w:space="0" w:color="auto"/>
              <w:left w:val="single" w:sz="4" w:space="0" w:color="auto"/>
              <w:bottom w:val="single" w:sz="4" w:space="0" w:color="auto"/>
              <w:right w:val="single" w:sz="4" w:space="0" w:color="auto"/>
            </w:tcBorders>
            <w:hideMark/>
          </w:tcPr>
          <w:p w14:paraId="2296F805" w14:textId="77777777" w:rsidR="00E11DE9" w:rsidRPr="000852FE" w:rsidRDefault="000852FE" w:rsidP="003C1115">
            <w:pPr>
              <w:numPr>
                <w:ilvl w:val="0"/>
                <w:numId w:val="2"/>
              </w:numPr>
              <w:spacing w:before="60" w:after="60" w:line="259" w:lineRule="auto"/>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Organic HAP </w:t>
            </w:r>
          </w:p>
        </w:tc>
        <w:tc>
          <w:tcPr>
            <w:tcW w:w="701" w:type="pct"/>
            <w:tcBorders>
              <w:top w:val="single" w:sz="4" w:space="0" w:color="auto"/>
              <w:left w:val="single" w:sz="4" w:space="0" w:color="auto"/>
              <w:bottom w:val="single" w:sz="4" w:space="0" w:color="auto"/>
              <w:right w:val="single" w:sz="4" w:space="0" w:color="auto"/>
            </w:tcBorders>
            <w:hideMark/>
          </w:tcPr>
          <w:p w14:paraId="14B5A0F3" w14:textId="77777777" w:rsidR="00E11DE9" w:rsidRPr="000852FE" w:rsidRDefault="000852FE" w:rsidP="003C1115">
            <w:pPr>
              <w:spacing w:before="60" w:after="60" w:line="259" w:lineRule="auto"/>
              <w:ind w:left="46"/>
              <w:jc w:val="center"/>
              <w:rPr>
                <w:rFonts w:ascii="Arial" w:eastAsia="Times New Roman" w:hAnsi="Arial" w:cs="Arial"/>
                <w:color w:val="ED0000"/>
                <w:sz w:val="20"/>
                <w:szCs w:val="20"/>
              </w:rPr>
            </w:pPr>
            <w:r w:rsidRPr="000852FE">
              <w:rPr>
                <w:rFonts w:ascii="Arial" w:eastAsia="Times New Roman" w:hAnsi="Arial" w:cs="Arial"/>
                <w:color w:val="ED0000"/>
                <w:sz w:val="20"/>
                <w:szCs w:val="20"/>
              </w:rPr>
              <w:t>8% of the total volatile matter used</w:t>
            </w:r>
          </w:p>
        </w:tc>
        <w:tc>
          <w:tcPr>
            <w:tcW w:w="1102" w:type="pct"/>
            <w:tcBorders>
              <w:top w:val="single" w:sz="4" w:space="0" w:color="auto"/>
              <w:left w:val="single" w:sz="4" w:space="0" w:color="auto"/>
              <w:bottom w:val="single" w:sz="4" w:space="0" w:color="auto"/>
              <w:right w:val="single" w:sz="4" w:space="0" w:color="auto"/>
            </w:tcBorders>
            <w:hideMark/>
          </w:tcPr>
          <w:p w14:paraId="16EC488C"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color w:val="ED0000"/>
                <w:sz w:val="20"/>
                <w:szCs w:val="20"/>
              </w:rPr>
              <w:t>Calendar month</w:t>
            </w:r>
          </w:p>
        </w:tc>
        <w:tc>
          <w:tcPr>
            <w:tcW w:w="661" w:type="pct"/>
            <w:tcBorders>
              <w:top w:val="single" w:sz="4" w:space="0" w:color="auto"/>
              <w:left w:val="single" w:sz="4" w:space="0" w:color="auto"/>
              <w:bottom w:val="single" w:sz="4" w:space="0" w:color="auto"/>
              <w:right w:val="single" w:sz="4" w:space="0" w:color="auto"/>
            </w:tcBorders>
            <w:hideMark/>
          </w:tcPr>
          <w:p w14:paraId="01A7D42B"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color w:val="ED0000"/>
                <w:sz w:val="20"/>
                <w:szCs w:val="20"/>
              </w:rPr>
              <w:t>Publication Rotogravure</w:t>
            </w:r>
          </w:p>
        </w:tc>
        <w:tc>
          <w:tcPr>
            <w:tcW w:w="966" w:type="pct"/>
            <w:tcBorders>
              <w:top w:val="single" w:sz="4" w:space="0" w:color="auto"/>
              <w:left w:val="single" w:sz="4" w:space="0" w:color="auto"/>
              <w:bottom w:val="single" w:sz="4" w:space="0" w:color="auto"/>
              <w:right w:val="single" w:sz="4" w:space="0" w:color="auto"/>
            </w:tcBorders>
            <w:hideMark/>
          </w:tcPr>
          <w:p w14:paraId="1E8316AB"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color w:val="ED0000"/>
                <w:sz w:val="20"/>
                <w:szCs w:val="20"/>
              </w:rPr>
              <w:t>SC V.1, VI.1, VI.2, VI.3, VI.4, VI.5 &amp; VI.6</w:t>
            </w:r>
          </w:p>
        </w:tc>
        <w:tc>
          <w:tcPr>
            <w:tcW w:w="776" w:type="pct"/>
            <w:tcBorders>
              <w:top w:val="single" w:sz="4" w:space="0" w:color="auto"/>
              <w:left w:val="single" w:sz="4" w:space="0" w:color="auto"/>
              <w:bottom w:val="single" w:sz="4" w:space="0" w:color="auto"/>
              <w:right w:val="single" w:sz="4" w:space="0" w:color="auto"/>
            </w:tcBorders>
            <w:hideMark/>
          </w:tcPr>
          <w:p w14:paraId="26095592" w14:textId="77777777" w:rsidR="00E11DE9" w:rsidRPr="000852FE" w:rsidRDefault="000852FE" w:rsidP="003C1115">
            <w:pPr>
              <w:spacing w:before="60" w:after="60" w:line="259" w:lineRule="auto"/>
              <w:jc w:val="center"/>
              <w:rPr>
                <w:rFonts w:ascii="Arial" w:eastAsia="Times New Roman" w:hAnsi="Arial" w:cs="Arial"/>
                <w:b/>
                <w:color w:val="ED0000"/>
                <w:sz w:val="20"/>
                <w:szCs w:val="20"/>
              </w:rPr>
            </w:pPr>
            <w:r w:rsidRPr="000852FE">
              <w:rPr>
                <w:rFonts w:ascii="Arial" w:eastAsia="Times New Roman" w:hAnsi="Arial" w:cs="Arial"/>
                <w:b/>
                <w:color w:val="ED0000"/>
                <w:sz w:val="20"/>
                <w:szCs w:val="20"/>
              </w:rPr>
              <w:t>40 CFR 63.824(b)</w:t>
            </w:r>
          </w:p>
        </w:tc>
      </w:tr>
      <w:tr w:rsidR="007C10B5" w14:paraId="3E2BC7C9" w14:textId="77777777" w:rsidTr="00E11DE9">
        <w:trPr>
          <w:cantSplit/>
        </w:trPr>
        <w:tc>
          <w:tcPr>
            <w:tcW w:w="794" w:type="pct"/>
            <w:tcBorders>
              <w:top w:val="single" w:sz="4" w:space="0" w:color="auto"/>
              <w:left w:val="single" w:sz="4" w:space="0" w:color="auto"/>
              <w:bottom w:val="single" w:sz="4" w:space="0" w:color="auto"/>
              <w:right w:val="single" w:sz="4" w:space="0" w:color="auto"/>
            </w:tcBorders>
            <w:hideMark/>
          </w:tcPr>
          <w:p w14:paraId="48D7BB5B" w14:textId="77777777" w:rsidR="00E11DE9" w:rsidRPr="000852FE" w:rsidRDefault="000852FE" w:rsidP="003C1115">
            <w:pPr>
              <w:numPr>
                <w:ilvl w:val="0"/>
                <w:numId w:val="2"/>
              </w:numPr>
              <w:spacing w:before="60" w:after="60" w:line="259" w:lineRule="auto"/>
              <w:rPr>
                <w:rFonts w:ascii="Arial" w:eastAsia="Times New Roman" w:hAnsi="Arial" w:cs="Arial"/>
                <w:color w:val="ED0000"/>
                <w:sz w:val="20"/>
                <w:szCs w:val="20"/>
              </w:rPr>
            </w:pPr>
            <w:r w:rsidRPr="000852FE">
              <w:rPr>
                <w:rFonts w:ascii="Arial" w:eastAsia="Times New Roman" w:hAnsi="Arial" w:cs="Arial"/>
                <w:color w:val="ED0000"/>
                <w:sz w:val="20"/>
                <w:szCs w:val="20"/>
              </w:rPr>
              <w:lastRenderedPageBreak/>
              <w:t xml:space="preserve">Organic HAP </w:t>
            </w:r>
          </w:p>
        </w:tc>
        <w:tc>
          <w:tcPr>
            <w:tcW w:w="701" w:type="pct"/>
            <w:tcBorders>
              <w:top w:val="single" w:sz="4" w:space="0" w:color="auto"/>
              <w:left w:val="single" w:sz="4" w:space="0" w:color="auto"/>
              <w:bottom w:val="single" w:sz="4" w:space="0" w:color="auto"/>
              <w:right w:val="single" w:sz="4" w:space="0" w:color="auto"/>
            </w:tcBorders>
          </w:tcPr>
          <w:p w14:paraId="173B7484" w14:textId="77777777" w:rsidR="00E11DE9" w:rsidRPr="000852FE" w:rsidRDefault="000852FE" w:rsidP="003C1115">
            <w:pPr>
              <w:overflowPunct w:val="0"/>
              <w:autoSpaceDE w:val="0"/>
              <w:autoSpaceDN w:val="0"/>
              <w:adjustRightInd w:val="0"/>
              <w:spacing w:before="60" w:after="60" w:line="259" w:lineRule="auto"/>
              <w:ind w:left="46"/>
              <w:jc w:val="center"/>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5% of the organic HAP applied; OR</w:t>
            </w:r>
          </w:p>
          <w:p w14:paraId="5EF1B95A" w14:textId="77777777" w:rsidR="00E11DE9" w:rsidRPr="000852FE" w:rsidRDefault="00E11DE9" w:rsidP="003C1115">
            <w:pPr>
              <w:overflowPunct w:val="0"/>
              <w:autoSpaceDE w:val="0"/>
              <w:autoSpaceDN w:val="0"/>
              <w:adjustRightInd w:val="0"/>
              <w:spacing w:before="60" w:after="60" w:line="259" w:lineRule="auto"/>
              <w:ind w:left="46"/>
              <w:jc w:val="center"/>
              <w:textAlignment w:val="baseline"/>
              <w:rPr>
                <w:rFonts w:ascii="Arial" w:eastAsia="Times New Roman" w:hAnsi="Arial" w:cs="Arial"/>
                <w:color w:val="ED0000"/>
                <w:sz w:val="20"/>
                <w:szCs w:val="20"/>
              </w:rPr>
            </w:pPr>
          </w:p>
          <w:p w14:paraId="7A60A3E2" w14:textId="77777777" w:rsidR="00E11DE9" w:rsidRPr="000852FE" w:rsidRDefault="000852FE" w:rsidP="003C1115">
            <w:pPr>
              <w:overflowPunct w:val="0"/>
              <w:autoSpaceDE w:val="0"/>
              <w:autoSpaceDN w:val="0"/>
              <w:adjustRightInd w:val="0"/>
              <w:spacing w:before="60" w:after="60" w:line="259" w:lineRule="auto"/>
              <w:ind w:left="46"/>
              <w:jc w:val="center"/>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4% of the mass of all materials applied; OR</w:t>
            </w:r>
          </w:p>
          <w:p w14:paraId="687C0E69" w14:textId="77777777" w:rsidR="00E11DE9" w:rsidRPr="000852FE" w:rsidRDefault="00E11DE9" w:rsidP="003C1115">
            <w:pPr>
              <w:overflowPunct w:val="0"/>
              <w:autoSpaceDE w:val="0"/>
              <w:autoSpaceDN w:val="0"/>
              <w:adjustRightInd w:val="0"/>
              <w:spacing w:before="60" w:after="60" w:line="259" w:lineRule="auto"/>
              <w:ind w:left="46"/>
              <w:jc w:val="center"/>
              <w:textAlignment w:val="baseline"/>
              <w:rPr>
                <w:rFonts w:ascii="Arial" w:eastAsia="Times New Roman" w:hAnsi="Arial" w:cs="Arial"/>
                <w:color w:val="ED0000"/>
                <w:sz w:val="20"/>
                <w:szCs w:val="20"/>
              </w:rPr>
            </w:pPr>
          </w:p>
          <w:p w14:paraId="7A41AEFA" w14:textId="77777777" w:rsidR="00E11DE9" w:rsidRPr="000852FE" w:rsidRDefault="000852FE" w:rsidP="003C1115">
            <w:pPr>
              <w:spacing w:before="60" w:after="60" w:line="259" w:lineRule="auto"/>
              <w:ind w:left="46"/>
              <w:jc w:val="center"/>
              <w:rPr>
                <w:rFonts w:ascii="Arial" w:eastAsia="Times New Roman" w:hAnsi="Arial" w:cs="Arial"/>
                <w:color w:val="ED0000"/>
                <w:sz w:val="20"/>
                <w:szCs w:val="20"/>
              </w:rPr>
            </w:pPr>
            <w:r w:rsidRPr="000852FE">
              <w:rPr>
                <w:rFonts w:ascii="Arial" w:eastAsia="Times New Roman" w:hAnsi="Arial" w:cs="Arial"/>
                <w:color w:val="ED0000"/>
                <w:sz w:val="20"/>
                <w:szCs w:val="20"/>
              </w:rPr>
              <w:t>20% of the mass of solids applied; OR</w:t>
            </w:r>
          </w:p>
          <w:p w14:paraId="44E2AF0C" w14:textId="77777777" w:rsidR="00E11DE9" w:rsidRPr="000852FE" w:rsidRDefault="00E11DE9" w:rsidP="003C1115">
            <w:pPr>
              <w:spacing w:before="60" w:after="60" w:line="259" w:lineRule="auto"/>
              <w:ind w:left="46"/>
              <w:jc w:val="center"/>
              <w:rPr>
                <w:rFonts w:ascii="Arial" w:eastAsia="Times New Roman" w:hAnsi="Arial" w:cs="Arial"/>
                <w:color w:val="ED0000"/>
                <w:sz w:val="20"/>
                <w:szCs w:val="20"/>
              </w:rPr>
            </w:pPr>
          </w:p>
          <w:p w14:paraId="47622D82" w14:textId="77777777" w:rsidR="00E11DE9" w:rsidRPr="000852FE" w:rsidRDefault="000852FE" w:rsidP="003C1115">
            <w:pPr>
              <w:spacing w:before="60" w:after="60" w:line="259" w:lineRule="auto"/>
              <w:ind w:left="46"/>
              <w:jc w:val="center"/>
              <w:rPr>
                <w:rFonts w:ascii="Arial" w:eastAsia="Times New Roman" w:hAnsi="Arial" w:cs="Arial"/>
                <w:color w:val="ED0000"/>
                <w:sz w:val="20"/>
                <w:szCs w:val="20"/>
              </w:rPr>
            </w:pPr>
            <w:r w:rsidRPr="000852FE">
              <w:rPr>
                <w:rFonts w:ascii="Arial" w:eastAsia="Times New Roman" w:hAnsi="Arial" w:cs="Arial"/>
                <w:color w:val="ED0000"/>
                <w:sz w:val="20"/>
                <w:szCs w:val="20"/>
              </w:rPr>
              <w:t>A calculated equivalent allowable mass based on the organic HAP and solids contents of inks, coatings, varnishes, adhesives, primers, solvents, reducers, thinners, and other materials applied.</w:t>
            </w:r>
          </w:p>
        </w:tc>
        <w:tc>
          <w:tcPr>
            <w:tcW w:w="1102" w:type="pct"/>
            <w:tcBorders>
              <w:top w:val="single" w:sz="4" w:space="0" w:color="auto"/>
              <w:left w:val="single" w:sz="4" w:space="0" w:color="auto"/>
              <w:bottom w:val="single" w:sz="4" w:space="0" w:color="auto"/>
              <w:right w:val="single" w:sz="4" w:space="0" w:color="auto"/>
            </w:tcBorders>
            <w:hideMark/>
          </w:tcPr>
          <w:p w14:paraId="1C78BF60"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color w:val="ED0000"/>
                <w:sz w:val="20"/>
                <w:szCs w:val="20"/>
              </w:rPr>
              <w:t>Calendar month</w:t>
            </w:r>
          </w:p>
        </w:tc>
        <w:tc>
          <w:tcPr>
            <w:tcW w:w="661" w:type="pct"/>
            <w:tcBorders>
              <w:top w:val="single" w:sz="4" w:space="0" w:color="auto"/>
              <w:left w:val="single" w:sz="4" w:space="0" w:color="auto"/>
              <w:bottom w:val="single" w:sz="4" w:space="0" w:color="auto"/>
              <w:right w:val="single" w:sz="4" w:space="0" w:color="auto"/>
            </w:tcBorders>
          </w:tcPr>
          <w:p w14:paraId="5F5295F9"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color w:val="ED0000"/>
                <w:sz w:val="20"/>
                <w:szCs w:val="20"/>
              </w:rPr>
              <w:t>Product and Packaging Rotogravure</w:t>
            </w:r>
          </w:p>
          <w:p w14:paraId="7E5051F6" w14:textId="77777777" w:rsidR="00E11DE9" w:rsidRPr="000852FE" w:rsidRDefault="00E11DE9" w:rsidP="003C1115">
            <w:pPr>
              <w:spacing w:before="60" w:after="60" w:line="259" w:lineRule="auto"/>
              <w:jc w:val="center"/>
              <w:rPr>
                <w:rFonts w:ascii="Arial" w:eastAsia="Times New Roman" w:hAnsi="Arial" w:cs="Arial"/>
                <w:color w:val="ED0000"/>
                <w:sz w:val="20"/>
                <w:szCs w:val="20"/>
              </w:rPr>
            </w:pPr>
          </w:p>
          <w:p w14:paraId="6A6548C5"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color w:val="ED0000"/>
                <w:sz w:val="20"/>
                <w:szCs w:val="20"/>
              </w:rPr>
              <w:t>OR</w:t>
            </w:r>
          </w:p>
          <w:p w14:paraId="4AA597E4" w14:textId="77777777" w:rsidR="00E11DE9" w:rsidRPr="000852FE" w:rsidRDefault="00E11DE9" w:rsidP="003C1115">
            <w:pPr>
              <w:spacing w:before="60" w:after="60" w:line="259" w:lineRule="auto"/>
              <w:jc w:val="center"/>
              <w:rPr>
                <w:rFonts w:ascii="Arial" w:eastAsia="Times New Roman" w:hAnsi="Arial" w:cs="Arial"/>
                <w:color w:val="ED0000"/>
                <w:sz w:val="20"/>
                <w:szCs w:val="20"/>
              </w:rPr>
            </w:pPr>
          </w:p>
          <w:p w14:paraId="4DC0D600"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color w:val="ED0000"/>
                <w:sz w:val="20"/>
                <w:szCs w:val="20"/>
              </w:rPr>
              <w:t>Wide-Web Flexographic</w:t>
            </w:r>
          </w:p>
        </w:tc>
        <w:tc>
          <w:tcPr>
            <w:tcW w:w="966" w:type="pct"/>
            <w:tcBorders>
              <w:top w:val="single" w:sz="4" w:space="0" w:color="auto"/>
              <w:left w:val="single" w:sz="4" w:space="0" w:color="auto"/>
              <w:bottom w:val="single" w:sz="4" w:space="0" w:color="auto"/>
              <w:right w:val="single" w:sz="4" w:space="0" w:color="auto"/>
            </w:tcBorders>
            <w:hideMark/>
          </w:tcPr>
          <w:p w14:paraId="79DEA579"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color w:val="ED0000"/>
                <w:sz w:val="20"/>
                <w:szCs w:val="20"/>
              </w:rPr>
              <w:t>SC V.1, VI.1, VI.2, VI.3, VI.6, VI.7 &amp; VI.8</w:t>
            </w:r>
          </w:p>
        </w:tc>
        <w:tc>
          <w:tcPr>
            <w:tcW w:w="776" w:type="pct"/>
            <w:tcBorders>
              <w:top w:val="single" w:sz="4" w:space="0" w:color="auto"/>
              <w:left w:val="single" w:sz="4" w:space="0" w:color="auto"/>
              <w:bottom w:val="single" w:sz="4" w:space="0" w:color="auto"/>
              <w:right w:val="single" w:sz="4" w:space="0" w:color="auto"/>
            </w:tcBorders>
            <w:hideMark/>
          </w:tcPr>
          <w:p w14:paraId="6D7F0D3D" w14:textId="77777777" w:rsidR="00E11DE9" w:rsidRPr="000852FE" w:rsidRDefault="000852FE" w:rsidP="003C1115">
            <w:pPr>
              <w:spacing w:before="60" w:after="60" w:line="259" w:lineRule="auto"/>
              <w:jc w:val="center"/>
              <w:rPr>
                <w:rFonts w:ascii="Arial" w:eastAsia="Times New Roman" w:hAnsi="Arial" w:cs="Arial"/>
                <w:color w:val="ED0000"/>
                <w:sz w:val="20"/>
                <w:szCs w:val="20"/>
              </w:rPr>
            </w:pPr>
            <w:r w:rsidRPr="000852FE">
              <w:rPr>
                <w:rFonts w:ascii="Arial" w:eastAsia="Times New Roman" w:hAnsi="Arial" w:cs="Arial"/>
                <w:b/>
                <w:color w:val="ED0000"/>
                <w:sz w:val="20"/>
                <w:szCs w:val="20"/>
              </w:rPr>
              <w:t>40 CFR 63.825(b</w:t>
            </w:r>
            <w:r w:rsidRPr="000852FE">
              <w:rPr>
                <w:rFonts w:ascii="Arial" w:eastAsia="Times New Roman" w:hAnsi="Arial" w:cs="Arial"/>
                <w:color w:val="ED0000"/>
                <w:sz w:val="20"/>
                <w:szCs w:val="20"/>
              </w:rPr>
              <w:t>)</w:t>
            </w:r>
          </w:p>
        </w:tc>
      </w:tr>
    </w:tbl>
    <w:p w14:paraId="72E1C340" w14:textId="77777777" w:rsidR="00E11DE9" w:rsidRPr="00F977CE" w:rsidRDefault="000852FE" w:rsidP="00A016F2">
      <w:pPr>
        <w:spacing w:after="0"/>
        <w:ind w:left="360" w:hanging="360"/>
        <w:jc w:val="left"/>
        <w:rPr>
          <w:rFonts w:ascii="Arial" w:eastAsia="Times New Roman" w:hAnsi="Arial" w:cs="Arial"/>
          <w:bCs/>
          <w:sz w:val="20"/>
          <w:szCs w:val="20"/>
        </w:rPr>
      </w:pPr>
      <w:r w:rsidRPr="000852FE">
        <w:rPr>
          <w:rFonts w:ascii="Arial" w:eastAsia="Times New Roman" w:hAnsi="Arial" w:cs="Arial"/>
          <w:color w:val="ED0000"/>
          <w:sz w:val="20"/>
          <w:szCs w:val="20"/>
        </w:rPr>
        <w:t>3.</w:t>
      </w:r>
      <w:r w:rsidRPr="000852FE">
        <w:rPr>
          <w:rFonts w:ascii="Arial" w:eastAsia="Times New Roman" w:hAnsi="Arial" w:cs="Arial"/>
          <w:color w:val="ED0000"/>
          <w:sz w:val="20"/>
          <w:szCs w:val="20"/>
        </w:rPr>
        <w:tab/>
      </w:r>
      <w:r w:rsidRPr="000852FE">
        <w:rPr>
          <w:rFonts w:ascii="Arial" w:eastAsia="Times New Roman" w:hAnsi="Arial" w:cs="Arial"/>
          <w:color w:val="ED0000"/>
          <w:sz w:val="20"/>
          <w:szCs w:val="20"/>
        </w:rPr>
        <w:t xml:space="preserve">The permittee shall demonstrate compliance with the emission limits of 40 CFR 63.824(b) for a publication rotogravure printing affected source, using one of the procedures specified in SC VI.4.  </w:t>
      </w:r>
      <w:r w:rsidRPr="000852FE">
        <w:rPr>
          <w:rFonts w:ascii="Arial" w:eastAsia="Times New Roman" w:hAnsi="Arial" w:cs="Arial"/>
          <w:b/>
          <w:color w:val="ED0000"/>
          <w:sz w:val="20"/>
          <w:szCs w:val="20"/>
        </w:rPr>
        <w:t>(40 CFR 63.824(b))</w:t>
      </w:r>
    </w:p>
    <w:p w14:paraId="28AE78A2" w14:textId="77777777" w:rsidR="00E11DE9" w:rsidRPr="00F977CE" w:rsidRDefault="000852FE" w:rsidP="00A016F2">
      <w:pPr>
        <w:spacing w:after="0"/>
        <w:ind w:left="360" w:hanging="360"/>
        <w:jc w:val="left"/>
        <w:rPr>
          <w:rFonts w:ascii="Arial" w:eastAsia="Times New Roman" w:hAnsi="Arial" w:cs="Arial"/>
          <w:bCs/>
          <w:sz w:val="20"/>
          <w:szCs w:val="20"/>
        </w:rPr>
      </w:pPr>
      <w:r w:rsidRPr="000852FE">
        <w:rPr>
          <w:rFonts w:ascii="Arial" w:eastAsia="Times New Roman" w:hAnsi="Arial" w:cs="Arial"/>
          <w:color w:val="ED0000"/>
          <w:sz w:val="20"/>
          <w:szCs w:val="20"/>
        </w:rPr>
        <w:t>4.</w:t>
      </w:r>
      <w:r w:rsidRPr="000852FE">
        <w:rPr>
          <w:rFonts w:ascii="Arial" w:eastAsia="Times New Roman" w:hAnsi="Arial" w:cs="Arial"/>
          <w:color w:val="ED0000"/>
          <w:sz w:val="20"/>
          <w:szCs w:val="20"/>
        </w:rPr>
        <w:tab/>
        <w:t xml:space="preserve">The permittee shall demonstrate compliance with the emission limits of 40 CFR 63.825(b) for product and packaging rotogravure and/or wide-web flexographic printing affected sources, using one of the procedures specified in SC VI.5.  </w:t>
      </w:r>
      <w:r w:rsidRPr="000852FE">
        <w:rPr>
          <w:rFonts w:ascii="Arial" w:eastAsia="Times New Roman" w:hAnsi="Arial" w:cs="Arial"/>
          <w:b/>
          <w:color w:val="ED0000"/>
          <w:sz w:val="20"/>
          <w:szCs w:val="20"/>
        </w:rPr>
        <w:t>(40 CFR 63.825(b))</w:t>
      </w:r>
    </w:p>
    <w:p w14:paraId="3E9CB6A4" w14:textId="77777777" w:rsidR="00E11DE9" w:rsidRPr="00E11DE9" w:rsidRDefault="000852FE" w:rsidP="003C1115">
      <w:pPr>
        <w:pStyle w:val="Heading5"/>
        <w:rPr>
          <w:rFonts w:eastAsia="Times New Roman"/>
        </w:rPr>
      </w:pPr>
      <w:r w:rsidRPr="00E11DE9">
        <w:rPr>
          <w:rFonts w:eastAsia="Times New Roman"/>
        </w:rPr>
        <w:t>II.  MATERIAL LIMIT(S)</w:t>
      </w:r>
    </w:p>
    <w:p w14:paraId="2BEA726E" w14:textId="77777777" w:rsidR="00E11DE9" w:rsidRPr="00E11DE9" w:rsidRDefault="000852FE" w:rsidP="003C1115">
      <w:pPr>
        <w:spacing w:after="160" w:line="259" w:lineRule="auto"/>
        <w:rPr>
          <w:rFonts w:ascii="Arial" w:eastAsia="Times New Roman" w:hAnsi="Arial" w:cs="Times New Roman"/>
          <w:sz w:val="20"/>
          <w:szCs w:val="20"/>
        </w:rPr>
      </w:pPr>
      <w:r w:rsidRPr="00E11DE9">
        <w:rPr>
          <w:rFonts w:ascii="Arial" w:eastAsia="Times New Roman" w:hAnsi="Arial" w:cs="Times New Roman"/>
          <w:sz w:val="20"/>
          <w:szCs w:val="20"/>
        </w:rPr>
        <w:t>NA</w:t>
      </w:r>
    </w:p>
    <w:p w14:paraId="6F24C7D7" w14:textId="77777777" w:rsidR="00E11DE9" w:rsidRPr="00E11DE9" w:rsidRDefault="000852FE" w:rsidP="003C1115">
      <w:pPr>
        <w:pStyle w:val="Heading5"/>
        <w:rPr>
          <w:rFonts w:eastAsia="Times New Roman"/>
        </w:rPr>
      </w:pPr>
      <w:r w:rsidRPr="00E11DE9">
        <w:rPr>
          <w:rFonts w:eastAsia="Times New Roman"/>
        </w:rPr>
        <w:t xml:space="preserve">III.  PROCESS/OPERATIONAL RESTRICTION(S) </w:t>
      </w:r>
    </w:p>
    <w:p w14:paraId="123CFB12" w14:textId="77777777" w:rsidR="00E11DE9" w:rsidRPr="00F977CE" w:rsidRDefault="000852FE" w:rsidP="00A016F2">
      <w:pPr>
        <w:spacing w:after="160" w:line="259" w:lineRule="auto"/>
        <w:ind w:left="360" w:hanging="360"/>
        <w:jc w:val="left"/>
        <w:rPr>
          <w:rFonts w:ascii="Arial" w:eastAsia="Times New Roman" w:hAnsi="Arial" w:cs="Arial"/>
          <w:b/>
          <w:bCs/>
          <w:sz w:val="20"/>
          <w:szCs w:val="20"/>
        </w:rPr>
      </w:pPr>
      <w:r w:rsidRPr="000852FE">
        <w:rPr>
          <w:rFonts w:ascii="Arial" w:eastAsia="Times New Roman" w:hAnsi="Arial" w:cs="Arial"/>
          <w:color w:val="ED0000"/>
          <w:sz w:val="20"/>
          <w:szCs w:val="20"/>
        </w:rPr>
        <w:t>1.</w:t>
      </w:r>
      <w:r w:rsidRPr="000852FE">
        <w:rPr>
          <w:rFonts w:ascii="Arial" w:eastAsia="Times New Roman" w:hAnsi="Arial" w:cs="Arial"/>
          <w:color w:val="ED0000"/>
          <w:sz w:val="20"/>
          <w:szCs w:val="20"/>
        </w:rPr>
        <w:tab/>
        <w:t xml:space="preserve">The permittee shall not operate any publication rotogravure printing affected source unless a control device is used, which achieves overall control of at least 92% of organic HAP used; non-HAP materials are substituted for organic HAP; or a combination of capture and control technologies and substitution of material is applied.  </w:t>
      </w:r>
      <w:r w:rsidRPr="000852FE">
        <w:rPr>
          <w:rFonts w:ascii="Arial" w:eastAsia="Times New Roman" w:hAnsi="Arial" w:cs="Arial"/>
          <w:b/>
          <w:color w:val="ED0000"/>
          <w:sz w:val="20"/>
          <w:szCs w:val="20"/>
        </w:rPr>
        <w:t>(40 CFR 63.824(b))</w:t>
      </w:r>
    </w:p>
    <w:p w14:paraId="56527C9B" w14:textId="77777777" w:rsidR="00E11DE9" w:rsidRPr="00F977CE" w:rsidRDefault="000852FE" w:rsidP="00A016F2">
      <w:pPr>
        <w:spacing w:after="160" w:line="259" w:lineRule="auto"/>
        <w:ind w:left="360" w:hanging="360"/>
        <w:jc w:val="left"/>
        <w:rPr>
          <w:rFonts w:ascii="Arial" w:eastAsia="Times New Roman" w:hAnsi="Arial" w:cs="Arial"/>
          <w:b/>
          <w:bCs/>
          <w:sz w:val="20"/>
          <w:szCs w:val="20"/>
        </w:rPr>
      </w:pPr>
      <w:r w:rsidRPr="000852FE">
        <w:rPr>
          <w:rFonts w:ascii="Arial" w:eastAsia="Times New Roman" w:hAnsi="Arial" w:cs="Arial"/>
          <w:color w:val="ED0000"/>
          <w:sz w:val="20"/>
          <w:szCs w:val="20"/>
        </w:rPr>
        <w:t>2.</w:t>
      </w:r>
      <w:r w:rsidRPr="000852FE">
        <w:rPr>
          <w:rFonts w:ascii="Arial" w:eastAsia="Times New Roman" w:hAnsi="Arial" w:cs="Arial"/>
          <w:color w:val="ED0000"/>
          <w:sz w:val="20"/>
          <w:szCs w:val="20"/>
        </w:rPr>
        <w:tab/>
        <w:t xml:space="preserve">The permittee shall not operate any product and packaging rotogravure and/or wide-web flexographic printing affected sources unless low HAP materials are used or a capture system and control device with an overall organic HAP control efficiency of at least 95% for each month is used.  </w:t>
      </w:r>
      <w:r w:rsidRPr="000852FE">
        <w:rPr>
          <w:rFonts w:ascii="Arial" w:eastAsia="Times New Roman" w:hAnsi="Arial" w:cs="Arial"/>
          <w:b/>
          <w:color w:val="ED0000"/>
          <w:sz w:val="20"/>
          <w:szCs w:val="20"/>
        </w:rPr>
        <w:t>(40 CFR 63.825(b))</w:t>
      </w:r>
    </w:p>
    <w:p w14:paraId="0304DD04" w14:textId="77777777" w:rsidR="00E11DE9" w:rsidRPr="00E11DE9" w:rsidRDefault="000852FE" w:rsidP="003C1115">
      <w:pPr>
        <w:pStyle w:val="Heading5"/>
        <w:rPr>
          <w:rFonts w:eastAsia="Times New Roman"/>
        </w:rPr>
      </w:pPr>
      <w:r w:rsidRPr="00E11DE9">
        <w:rPr>
          <w:rFonts w:eastAsia="Times New Roman"/>
        </w:rPr>
        <w:lastRenderedPageBreak/>
        <w:t>IV.  DESIGN/EQUIPMENT PARAMETER(S)</w:t>
      </w:r>
    </w:p>
    <w:p w14:paraId="3F14367C" w14:textId="77777777" w:rsidR="00E11DE9" w:rsidRPr="00E11DE9" w:rsidRDefault="000852FE" w:rsidP="003C1115">
      <w:pPr>
        <w:spacing w:after="160" w:line="259" w:lineRule="auto"/>
        <w:ind w:left="360" w:hanging="360"/>
        <w:rPr>
          <w:rFonts w:ascii="Arial" w:eastAsia="Times New Roman" w:hAnsi="Arial" w:cs="Times New Roman"/>
          <w:sz w:val="20"/>
          <w:szCs w:val="20"/>
        </w:rPr>
      </w:pPr>
      <w:r w:rsidRPr="00E11DE9">
        <w:rPr>
          <w:rFonts w:ascii="Arial" w:eastAsia="Times New Roman" w:hAnsi="Arial" w:cs="Times New Roman"/>
          <w:sz w:val="20"/>
          <w:szCs w:val="20"/>
        </w:rPr>
        <w:t>NA</w:t>
      </w:r>
    </w:p>
    <w:p w14:paraId="5A9F09AC" w14:textId="77777777" w:rsidR="00E11DE9" w:rsidRPr="00E11DE9" w:rsidRDefault="000852FE" w:rsidP="00A016F2">
      <w:pPr>
        <w:pStyle w:val="Heading5"/>
        <w:spacing w:after="20"/>
        <w:rPr>
          <w:rFonts w:eastAsia="Times New Roman"/>
        </w:rPr>
      </w:pPr>
      <w:r w:rsidRPr="00E11DE9">
        <w:rPr>
          <w:rFonts w:eastAsia="Times New Roman"/>
        </w:rPr>
        <w:t>V.  TESTING/SAMPLING</w:t>
      </w:r>
    </w:p>
    <w:p w14:paraId="2242FA01" w14:textId="77777777" w:rsidR="00E11DE9" w:rsidRPr="00E11DE9" w:rsidRDefault="000852FE" w:rsidP="00A016F2">
      <w:pPr>
        <w:spacing w:before="0" w:after="0"/>
        <w:rPr>
          <w:rFonts w:ascii="Arial" w:eastAsia="Times New Roman" w:hAnsi="Arial" w:cs="Times New Roman"/>
          <w:sz w:val="20"/>
          <w:szCs w:val="20"/>
        </w:rPr>
      </w:pPr>
      <w:r w:rsidRPr="00E11DE9">
        <w:rPr>
          <w:rFonts w:ascii="Arial" w:eastAsia="Times New Roman" w:hAnsi="Arial" w:cs="Times New Roman"/>
          <w:sz w:val="20"/>
          <w:szCs w:val="20"/>
        </w:rPr>
        <w:t xml:space="preserve">Records shall be maintained on file for a period of five years.  </w:t>
      </w:r>
      <w:r w:rsidRPr="00E11DE9">
        <w:rPr>
          <w:rFonts w:ascii="Arial" w:eastAsia="Times New Roman" w:hAnsi="Arial" w:cs="Times New Roman"/>
          <w:b/>
          <w:sz w:val="20"/>
          <w:szCs w:val="20"/>
        </w:rPr>
        <w:t>(R 336.1213(3)(b)(ii))</w:t>
      </w:r>
    </w:p>
    <w:p w14:paraId="7E7DCF20" w14:textId="7FBD9A55" w:rsidR="00E11DE9" w:rsidRPr="00F977CE" w:rsidRDefault="000852FE" w:rsidP="00A016F2">
      <w:pPr>
        <w:spacing w:after="0"/>
        <w:ind w:left="360" w:hanging="360"/>
        <w:jc w:val="left"/>
        <w:rPr>
          <w:rFonts w:ascii="Arial" w:eastAsia="Times New Roman" w:hAnsi="Arial" w:cs="Times New Roman"/>
          <w:bCs/>
          <w:sz w:val="20"/>
          <w:szCs w:val="20"/>
        </w:rPr>
      </w:pPr>
      <w:r w:rsidRPr="00E11DE9">
        <w:rPr>
          <w:rFonts w:ascii="Arial" w:eastAsia="Times New Roman" w:hAnsi="Arial" w:cs="Times New Roman"/>
          <w:b/>
          <w:color w:val="0000FF"/>
          <w:sz w:val="20"/>
          <w:szCs w:val="20"/>
        </w:rPr>
        <w:t xml:space="preserve">Permit staff – </w:t>
      </w:r>
      <w:r w:rsidR="00CD6624" w:rsidRPr="00CD6624">
        <w:rPr>
          <w:rFonts w:ascii="Arial" w:eastAsia="Times New Roman" w:hAnsi="Arial" w:cs="Times New Roman"/>
          <w:b/>
          <w:color w:val="0000FF"/>
          <w:sz w:val="20"/>
          <w:szCs w:val="20"/>
        </w:rPr>
        <w:t>CHANGE</w:t>
      </w:r>
      <w:r w:rsidRPr="00E11DE9">
        <w:rPr>
          <w:rFonts w:ascii="Arial" w:eastAsia="Times New Roman" w:hAnsi="Arial" w:cs="Times New Roman"/>
          <w:b/>
          <w:color w:val="0000FF"/>
          <w:sz w:val="20"/>
          <w:szCs w:val="20"/>
        </w:rPr>
        <w:t xml:space="preserve"> above UAR to Rule 201(3) if using in a PTI.</w:t>
      </w:r>
    </w:p>
    <w:p w14:paraId="3A540643" w14:textId="77777777" w:rsidR="00E11DE9" w:rsidRPr="00E11DE9" w:rsidRDefault="000852FE" w:rsidP="00A016F2">
      <w:pPr>
        <w:spacing w:after="160" w:line="259" w:lineRule="auto"/>
        <w:ind w:left="360" w:hanging="360"/>
        <w:jc w:val="left"/>
        <w:rPr>
          <w:rFonts w:ascii="Arial" w:eastAsia="Times New Roman" w:hAnsi="Arial" w:cs="Arial"/>
          <w:color w:val="000000"/>
          <w:sz w:val="20"/>
          <w:szCs w:val="20"/>
        </w:rPr>
      </w:pPr>
      <w:r w:rsidRPr="00E11DE9">
        <w:rPr>
          <w:rFonts w:ascii="Arial" w:eastAsia="Times New Roman" w:hAnsi="Arial" w:cs="Arial"/>
          <w:color w:val="000000"/>
          <w:sz w:val="20"/>
          <w:szCs w:val="20"/>
        </w:rPr>
        <w:t>1.</w:t>
      </w:r>
      <w:r w:rsidRPr="00E11DE9">
        <w:rPr>
          <w:rFonts w:ascii="Arial" w:eastAsia="Times New Roman" w:hAnsi="Arial" w:cs="Arial"/>
          <w:color w:val="000000"/>
          <w:sz w:val="20"/>
          <w:szCs w:val="20"/>
        </w:rPr>
        <w:tab/>
      </w:r>
      <w:r w:rsidRPr="00E11DE9">
        <w:rPr>
          <w:rFonts w:ascii="Arial" w:eastAsia="Times New Roman" w:hAnsi="Arial" w:cs="Arial"/>
          <w:color w:val="000000"/>
          <w:sz w:val="20"/>
          <w:szCs w:val="20"/>
        </w:rPr>
        <w:t xml:space="preserve">The permittee shall perform the applicable performance tests to determine organic HAP content, VOC content, destruction efficiency of the control device, and capture efficiency of each capture system as </w:t>
      </w:r>
      <w:r w:rsidRPr="00E11DE9">
        <w:rPr>
          <w:rFonts w:ascii="Arial" w:eastAsia="Times New Roman" w:hAnsi="Arial" w:cs="Arial"/>
          <w:sz w:val="20"/>
          <w:szCs w:val="20"/>
        </w:rPr>
        <w:t>specified</w:t>
      </w:r>
      <w:r w:rsidRPr="00E11DE9">
        <w:rPr>
          <w:rFonts w:ascii="Arial" w:eastAsia="Times New Roman" w:hAnsi="Arial" w:cs="Arial"/>
          <w:color w:val="000000"/>
          <w:sz w:val="20"/>
          <w:szCs w:val="20"/>
        </w:rPr>
        <w:t xml:space="preserve"> in 40 CFR 63.827(b) through (e).  </w:t>
      </w:r>
      <w:r w:rsidRPr="00E11DE9">
        <w:rPr>
          <w:rFonts w:ascii="Arial" w:eastAsia="Times New Roman" w:hAnsi="Arial" w:cs="Arial"/>
          <w:b/>
          <w:color w:val="000000"/>
          <w:sz w:val="20"/>
          <w:szCs w:val="20"/>
        </w:rPr>
        <w:t>(40 CFR 63.827)</w:t>
      </w:r>
    </w:p>
    <w:p w14:paraId="23A3C2EA" w14:textId="77777777" w:rsidR="00E11DE9" w:rsidRPr="00E11DE9" w:rsidRDefault="000852FE" w:rsidP="00A016F2">
      <w:pPr>
        <w:spacing w:after="0"/>
        <w:jc w:val="left"/>
        <w:rPr>
          <w:rFonts w:ascii="Arial" w:eastAsia="Times New Roman" w:hAnsi="Arial" w:cs="Times New Roman"/>
          <w:b/>
          <w:sz w:val="20"/>
          <w:szCs w:val="20"/>
        </w:rPr>
      </w:pPr>
      <w:r w:rsidRPr="00E11DE9">
        <w:rPr>
          <w:rFonts w:ascii="Arial" w:eastAsia="Times New Roman" w:hAnsi="Arial" w:cs="Times New Roman"/>
          <w:b/>
          <w:sz w:val="20"/>
          <w:szCs w:val="20"/>
        </w:rPr>
        <w:t>See Appendix 5</w:t>
      </w:r>
    </w:p>
    <w:p w14:paraId="3638E05C" w14:textId="77777777" w:rsidR="00E11DE9" w:rsidRPr="00E11DE9" w:rsidRDefault="000852FE" w:rsidP="00A016F2">
      <w:pPr>
        <w:pStyle w:val="Heading5"/>
        <w:spacing w:after="20"/>
        <w:rPr>
          <w:rFonts w:eastAsia="Times New Roman"/>
        </w:rPr>
      </w:pPr>
      <w:r w:rsidRPr="00E11DE9">
        <w:rPr>
          <w:rFonts w:eastAsia="Times New Roman"/>
        </w:rPr>
        <w:t>VI.  MONITORING/RECORDKEEPING</w:t>
      </w:r>
    </w:p>
    <w:p w14:paraId="3F0408BB" w14:textId="77777777" w:rsidR="00E11DE9" w:rsidRPr="00E11DE9" w:rsidRDefault="000852FE" w:rsidP="00A016F2">
      <w:pPr>
        <w:spacing w:before="0" w:after="0"/>
        <w:rPr>
          <w:rFonts w:ascii="Arial" w:eastAsia="Times New Roman" w:hAnsi="Arial" w:cs="Arial"/>
          <w:sz w:val="20"/>
          <w:szCs w:val="20"/>
        </w:rPr>
      </w:pPr>
      <w:r w:rsidRPr="00E11DE9">
        <w:rPr>
          <w:rFonts w:ascii="Arial" w:eastAsia="Times New Roman" w:hAnsi="Arial" w:cs="Arial"/>
          <w:sz w:val="20"/>
          <w:szCs w:val="20"/>
        </w:rPr>
        <w:t xml:space="preserve">Records shall be maintained on file for a period of five years.  </w:t>
      </w:r>
      <w:r w:rsidRPr="00E11DE9">
        <w:rPr>
          <w:rFonts w:ascii="Arial" w:eastAsia="Times New Roman" w:hAnsi="Arial" w:cs="Arial"/>
          <w:b/>
          <w:sz w:val="20"/>
          <w:szCs w:val="20"/>
        </w:rPr>
        <w:t>(R 336.1213(3)(b)(ii))</w:t>
      </w:r>
    </w:p>
    <w:p w14:paraId="18CFC993" w14:textId="7007E165" w:rsidR="00E11DE9" w:rsidRPr="00F977CE" w:rsidRDefault="000852FE" w:rsidP="00A016F2">
      <w:pPr>
        <w:spacing w:after="0"/>
        <w:jc w:val="left"/>
        <w:rPr>
          <w:rFonts w:ascii="Arial" w:eastAsia="Times New Roman" w:hAnsi="Arial" w:cs="Times New Roman"/>
          <w:bCs/>
          <w:sz w:val="20"/>
          <w:szCs w:val="20"/>
        </w:rPr>
      </w:pPr>
      <w:r w:rsidRPr="00E11DE9">
        <w:rPr>
          <w:rFonts w:ascii="Arial" w:eastAsia="Times New Roman" w:hAnsi="Arial" w:cs="Times New Roman"/>
          <w:b/>
          <w:color w:val="0000FF"/>
          <w:sz w:val="20"/>
          <w:szCs w:val="20"/>
        </w:rPr>
        <w:t xml:space="preserve">Permit staff – </w:t>
      </w:r>
      <w:r w:rsidR="00CD6624" w:rsidRPr="00CD6624">
        <w:rPr>
          <w:rFonts w:ascii="Arial" w:eastAsia="Times New Roman" w:hAnsi="Arial" w:cs="Times New Roman"/>
          <w:b/>
          <w:color w:val="0000FF"/>
          <w:sz w:val="20"/>
          <w:szCs w:val="20"/>
        </w:rPr>
        <w:t>CHANGE</w:t>
      </w:r>
      <w:r w:rsidRPr="00E11DE9">
        <w:rPr>
          <w:rFonts w:ascii="Arial" w:eastAsia="Times New Roman" w:hAnsi="Arial" w:cs="Times New Roman"/>
          <w:b/>
          <w:color w:val="0000FF"/>
          <w:sz w:val="20"/>
          <w:szCs w:val="20"/>
        </w:rPr>
        <w:t xml:space="preserve"> above UAR to Rule 201(3) if using in a PTI.</w:t>
      </w:r>
    </w:p>
    <w:p w14:paraId="78C982B5" w14:textId="77777777" w:rsidR="00E11DE9" w:rsidRPr="00E11DE9" w:rsidRDefault="000852FE" w:rsidP="00CD6624">
      <w:pPr>
        <w:spacing w:before="160" w:after="160" w:line="259" w:lineRule="auto"/>
        <w:ind w:left="360" w:hanging="360"/>
        <w:jc w:val="left"/>
        <w:rPr>
          <w:rFonts w:ascii="Arial" w:eastAsia="Times New Roman" w:hAnsi="Arial" w:cs="Arial"/>
          <w:sz w:val="20"/>
          <w:szCs w:val="20"/>
        </w:rPr>
      </w:pPr>
      <w:r w:rsidRPr="00E11DE9">
        <w:rPr>
          <w:rFonts w:ascii="Arial" w:eastAsia="Times New Roman" w:hAnsi="Arial" w:cs="Arial"/>
          <w:sz w:val="20"/>
          <w:szCs w:val="20"/>
        </w:rPr>
        <w:t>1.</w:t>
      </w:r>
      <w:r w:rsidRPr="00E11DE9">
        <w:rPr>
          <w:rFonts w:ascii="Arial" w:eastAsia="Times New Roman" w:hAnsi="Arial" w:cs="Arial"/>
          <w:sz w:val="20"/>
          <w:szCs w:val="20"/>
        </w:rPr>
        <w:tab/>
      </w:r>
      <w:r w:rsidRPr="00E11DE9">
        <w:rPr>
          <w:rFonts w:ascii="Arial" w:eastAsia="Times New Roman" w:hAnsi="Arial" w:cs="Arial"/>
          <w:sz w:val="20"/>
          <w:szCs w:val="20"/>
        </w:rPr>
        <w:t xml:space="preserve">To demonstrate continuing compliance, the permittee shall monitor and inspect each control device required to comply with 40 CFR 63.824 and 40 CFR 63.825 to ensure proper operation and maintenance by implementing the applicable requirements as follows:  </w:t>
      </w:r>
    </w:p>
    <w:p w14:paraId="65A85768" w14:textId="63CEBCDA" w:rsidR="00E11DE9" w:rsidRPr="00E11DE9" w:rsidRDefault="000852FE" w:rsidP="00CD6624">
      <w:pPr>
        <w:spacing w:before="160" w:after="160" w:line="259" w:lineRule="auto"/>
        <w:ind w:left="720" w:hanging="360"/>
        <w:jc w:val="left"/>
        <w:rPr>
          <w:rFonts w:ascii="Arial" w:eastAsia="Times New Roman" w:hAnsi="Arial" w:cs="Arial"/>
          <w:b/>
          <w:sz w:val="20"/>
          <w:szCs w:val="20"/>
        </w:rPr>
      </w:pPr>
      <w:r w:rsidRPr="00E11DE9">
        <w:rPr>
          <w:rFonts w:ascii="Arial" w:eastAsia="Times New Roman" w:hAnsi="Arial" w:cs="Arial"/>
          <w:sz w:val="20"/>
          <w:szCs w:val="20"/>
        </w:rPr>
        <w:t>a.</w:t>
      </w:r>
      <w:r w:rsidRPr="00E11DE9">
        <w:rPr>
          <w:rFonts w:ascii="Arial" w:eastAsia="Times New Roman" w:hAnsi="Arial" w:cs="Arial"/>
          <w:sz w:val="20"/>
          <w:szCs w:val="20"/>
        </w:rPr>
        <w:tab/>
        <w:t xml:space="preserve">For product and packaging rotogravure or wide-web flexographic presses with intermittently controlled workstations, the permittee shall follow the procedures in 40 CFR 63.828 (a)(1)(i) through (iv) for each dryer associated with such </w:t>
      </w:r>
      <w:r w:rsidR="00F977CE" w:rsidRPr="00E11DE9">
        <w:rPr>
          <w:rFonts w:ascii="Arial" w:eastAsia="Times New Roman" w:hAnsi="Arial" w:cs="Arial"/>
          <w:sz w:val="20"/>
          <w:szCs w:val="20"/>
        </w:rPr>
        <w:t>workstation</w:t>
      </w:r>
      <w:r w:rsidRPr="00E11DE9">
        <w:rPr>
          <w:rFonts w:ascii="Arial" w:eastAsia="Times New Roman" w:hAnsi="Arial" w:cs="Arial"/>
          <w:sz w:val="20"/>
          <w:szCs w:val="20"/>
        </w:rPr>
        <w:t xml:space="preserve">.  </w:t>
      </w:r>
      <w:r w:rsidRPr="00E11DE9">
        <w:rPr>
          <w:rFonts w:ascii="Arial" w:eastAsia="Times New Roman" w:hAnsi="Arial" w:cs="Arial"/>
          <w:b/>
          <w:sz w:val="20"/>
          <w:szCs w:val="20"/>
        </w:rPr>
        <w:t>(40 CFR 63.828(a)(1))</w:t>
      </w:r>
    </w:p>
    <w:p w14:paraId="062E2227" w14:textId="77777777" w:rsidR="00E11DE9" w:rsidRPr="00E11DE9" w:rsidRDefault="000852FE" w:rsidP="00CD6624">
      <w:pPr>
        <w:spacing w:before="160" w:after="160" w:line="259" w:lineRule="auto"/>
        <w:ind w:left="720" w:hanging="360"/>
        <w:jc w:val="left"/>
        <w:rPr>
          <w:rFonts w:ascii="Arial" w:eastAsia="Times New Roman" w:hAnsi="Arial" w:cs="Arial"/>
          <w:b/>
          <w:sz w:val="20"/>
          <w:szCs w:val="20"/>
        </w:rPr>
      </w:pPr>
      <w:r w:rsidRPr="00E11DE9">
        <w:rPr>
          <w:rFonts w:ascii="Arial" w:eastAsia="Times New Roman" w:hAnsi="Arial" w:cs="Arial"/>
          <w:sz w:val="20"/>
          <w:szCs w:val="20"/>
        </w:rPr>
        <w:t>b.</w:t>
      </w:r>
      <w:r w:rsidRPr="00E11DE9">
        <w:rPr>
          <w:rFonts w:ascii="Arial" w:eastAsia="Times New Roman" w:hAnsi="Arial" w:cs="Arial"/>
          <w:sz w:val="20"/>
          <w:szCs w:val="20"/>
        </w:rPr>
        <w:tab/>
        <w:t xml:space="preserve">Compliance monitoring shall be subject to the provisions of 40 CFR 63.828(a)(2)(i) and (ii), as applicable.  </w:t>
      </w:r>
      <w:r w:rsidRPr="00E11DE9">
        <w:rPr>
          <w:rFonts w:ascii="Arial" w:eastAsia="Times New Roman" w:hAnsi="Arial" w:cs="Arial"/>
          <w:b/>
          <w:sz w:val="20"/>
          <w:szCs w:val="20"/>
        </w:rPr>
        <w:t>(40 CFR 63.828(a)(2))</w:t>
      </w:r>
    </w:p>
    <w:p w14:paraId="32E0DED4" w14:textId="77777777" w:rsidR="00E11DE9" w:rsidRPr="00E11DE9" w:rsidRDefault="000852FE" w:rsidP="00CD6624">
      <w:pPr>
        <w:spacing w:before="160" w:after="160" w:line="259" w:lineRule="auto"/>
        <w:ind w:left="720" w:hanging="360"/>
        <w:jc w:val="left"/>
        <w:rPr>
          <w:rFonts w:ascii="Arial" w:eastAsia="Times New Roman" w:hAnsi="Arial" w:cs="Arial"/>
          <w:b/>
          <w:sz w:val="20"/>
          <w:szCs w:val="20"/>
        </w:rPr>
      </w:pPr>
      <w:r w:rsidRPr="00E11DE9">
        <w:rPr>
          <w:rFonts w:ascii="Arial" w:eastAsia="Times New Roman" w:hAnsi="Arial" w:cs="Arial"/>
          <w:sz w:val="20"/>
          <w:szCs w:val="20"/>
        </w:rPr>
        <w:t>c.</w:t>
      </w:r>
      <w:r w:rsidRPr="00E11DE9">
        <w:rPr>
          <w:rFonts w:ascii="Arial" w:eastAsia="Times New Roman" w:hAnsi="Arial" w:cs="Arial"/>
          <w:sz w:val="20"/>
          <w:szCs w:val="20"/>
        </w:rPr>
        <w:tab/>
        <w:t xml:space="preserve">If complying through continuous emission monitoring of a control device, the permittee shall install, calibrate, operate and maintain a CEMS to measure the total organic volatile matter concentration at both the control device inlet and outlet.  </w:t>
      </w:r>
      <w:r w:rsidRPr="00E11DE9">
        <w:rPr>
          <w:rFonts w:ascii="Arial" w:eastAsia="Times New Roman" w:hAnsi="Arial" w:cs="Arial"/>
          <w:b/>
          <w:sz w:val="20"/>
          <w:szCs w:val="20"/>
        </w:rPr>
        <w:t>(40 CFR 63.828(a)(3))</w:t>
      </w:r>
    </w:p>
    <w:p w14:paraId="77D12861" w14:textId="77777777" w:rsidR="00E11DE9" w:rsidRPr="00E11DE9" w:rsidRDefault="000852FE" w:rsidP="00CD6624">
      <w:pPr>
        <w:spacing w:before="160" w:after="160" w:line="259" w:lineRule="auto"/>
        <w:ind w:left="720" w:hanging="360"/>
        <w:jc w:val="left"/>
        <w:rPr>
          <w:rFonts w:ascii="Arial" w:eastAsia="Times New Roman" w:hAnsi="Arial" w:cs="Arial"/>
          <w:b/>
          <w:sz w:val="20"/>
          <w:szCs w:val="20"/>
        </w:rPr>
      </w:pPr>
      <w:r w:rsidRPr="00E11DE9">
        <w:rPr>
          <w:rFonts w:ascii="Arial" w:eastAsia="Times New Roman" w:hAnsi="Arial" w:cs="Arial"/>
          <w:sz w:val="20"/>
          <w:szCs w:val="20"/>
        </w:rPr>
        <w:t>d.</w:t>
      </w:r>
      <w:r w:rsidRPr="00E11DE9">
        <w:rPr>
          <w:rFonts w:ascii="Arial" w:eastAsia="Times New Roman" w:hAnsi="Arial" w:cs="Arial"/>
          <w:sz w:val="20"/>
          <w:szCs w:val="20"/>
        </w:rPr>
        <w:tab/>
        <w:t xml:space="preserve">If complying through the use of an oxidizer and demonstrating continuous compliance through monitoring of an oxidizer operation parameter, the permittee shall install, calibrate, operate and maintain a temperature monitoring device equipped with a continuous recorder as described in 40 CFR 63.824(a)(4)(i) or (ii).  </w:t>
      </w:r>
      <w:r w:rsidRPr="00E11DE9">
        <w:rPr>
          <w:rFonts w:ascii="Arial" w:eastAsia="Times New Roman" w:hAnsi="Arial" w:cs="Arial"/>
          <w:b/>
          <w:sz w:val="20"/>
          <w:szCs w:val="20"/>
        </w:rPr>
        <w:t>(40 CFR 63.828(a)(4))</w:t>
      </w:r>
    </w:p>
    <w:p w14:paraId="2E070860" w14:textId="77777777" w:rsidR="00E11DE9" w:rsidRPr="00E11DE9" w:rsidRDefault="000852FE" w:rsidP="00CD6624">
      <w:pPr>
        <w:spacing w:before="160" w:after="160" w:line="259" w:lineRule="auto"/>
        <w:ind w:left="720" w:hanging="360"/>
        <w:jc w:val="left"/>
        <w:rPr>
          <w:rFonts w:ascii="Arial" w:eastAsia="Times New Roman" w:hAnsi="Arial" w:cs="Arial"/>
          <w:b/>
          <w:sz w:val="20"/>
          <w:szCs w:val="20"/>
        </w:rPr>
      </w:pPr>
      <w:r w:rsidRPr="00E11DE9">
        <w:rPr>
          <w:rFonts w:ascii="Arial" w:eastAsia="Times New Roman" w:hAnsi="Arial" w:cs="Arial"/>
          <w:sz w:val="20"/>
          <w:szCs w:val="20"/>
        </w:rPr>
        <w:t>e.</w:t>
      </w:r>
      <w:r w:rsidRPr="00E11DE9">
        <w:rPr>
          <w:rFonts w:ascii="Arial" w:eastAsia="Times New Roman" w:hAnsi="Arial" w:cs="Arial"/>
          <w:sz w:val="20"/>
          <w:szCs w:val="20"/>
        </w:rPr>
        <w:tab/>
      </w:r>
      <w:r w:rsidRPr="00E11DE9">
        <w:rPr>
          <w:rFonts w:ascii="Arial" w:eastAsia="Times New Roman" w:hAnsi="Arial" w:cs="Arial"/>
          <w:sz w:val="20"/>
          <w:szCs w:val="20"/>
        </w:rPr>
        <w:t xml:space="preserve">If complying through the use of a control device and demonstrating continuous compliance by monitoring an operating parameter to ensure that the capture efficiency measured during the initial compliance test is maintained, the permittee shall submit and conduct a monitoring plan as described in 40 CFR 63.828(a)(5)(i) through (iii).  </w:t>
      </w:r>
      <w:r w:rsidRPr="00E11DE9">
        <w:rPr>
          <w:rFonts w:ascii="Arial" w:eastAsia="Times New Roman" w:hAnsi="Arial" w:cs="Arial"/>
          <w:b/>
          <w:sz w:val="20"/>
          <w:szCs w:val="20"/>
        </w:rPr>
        <w:t>(40 CFR 63.828(a)(5))</w:t>
      </w:r>
    </w:p>
    <w:p w14:paraId="4A4E5E91" w14:textId="77777777" w:rsidR="00E11DE9" w:rsidRPr="00E11DE9" w:rsidRDefault="000852FE" w:rsidP="00CD6624">
      <w:pPr>
        <w:spacing w:before="160" w:after="160" w:line="259" w:lineRule="auto"/>
        <w:ind w:left="360" w:hanging="360"/>
        <w:jc w:val="left"/>
        <w:rPr>
          <w:rFonts w:ascii="Arial" w:eastAsia="Times New Roman" w:hAnsi="Arial" w:cs="Arial"/>
          <w:color w:val="000000"/>
          <w:sz w:val="20"/>
          <w:szCs w:val="20"/>
        </w:rPr>
      </w:pPr>
      <w:r w:rsidRPr="00E11DE9">
        <w:rPr>
          <w:rFonts w:ascii="Arial" w:eastAsia="Times New Roman" w:hAnsi="Arial" w:cs="Arial"/>
          <w:color w:val="000000"/>
          <w:sz w:val="20"/>
          <w:szCs w:val="20"/>
        </w:rPr>
        <w:t>2.</w:t>
      </w:r>
      <w:r w:rsidRPr="00E11DE9">
        <w:rPr>
          <w:rFonts w:ascii="Arial" w:eastAsia="Times New Roman" w:hAnsi="Arial" w:cs="Arial"/>
          <w:color w:val="000000"/>
          <w:sz w:val="20"/>
          <w:szCs w:val="20"/>
        </w:rPr>
        <w:tab/>
      </w:r>
      <w:r w:rsidRPr="003C1115">
        <w:rPr>
          <w:rFonts w:ascii="Arial" w:eastAsia="Times New Roman" w:hAnsi="Arial" w:cs="Arial"/>
          <w:color w:val="000000"/>
          <w:sz w:val="20"/>
          <w:szCs w:val="20"/>
        </w:rPr>
        <w:t xml:space="preserve">The permittee shall keep all records required by 40 CFR Part 63, Subpart A as identified in Table 1 to Subpart KK.  </w:t>
      </w:r>
      <w:r w:rsidRPr="003C1115">
        <w:rPr>
          <w:rFonts w:ascii="Arial" w:eastAsia="Times New Roman" w:hAnsi="Arial" w:cs="Arial"/>
          <w:b/>
          <w:color w:val="000000"/>
          <w:sz w:val="20"/>
          <w:szCs w:val="20"/>
        </w:rPr>
        <w:t>(40 CFR 63.829(a))</w:t>
      </w:r>
    </w:p>
    <w:p w14:paraId="6F50D7B5" w14:textId="77777777" w:rsidR="00E11DE9" w:rsidRPr="00E11DE9" w:rsidRDefault="000852FE" w:rsidP="00CD6624">
      <w:pPr>
        <w:spacing w:before="160" w:after="160" w:line="259" w:lineRule="auto"/>
        <w:ind w:left="360" w:hanging="360"/>
        <w:jc w:val="left"/>
        <w:rPr>
          <w:rFonts w:ascii="Arial" w:eastAsia="Times New Roman" w:hAnsi="Arial" w:cs="Arial"/>
          <w:b/>
          <w:sz w:val="20"/>
          <w:szCs w:val="20"/>
        </w:rPr>
      </w:pPr>
      <w:r w:rsidRPr="00E11DE9">
        <w:rPr>
          <w:rFonts w:ascii="Arial" w:eastAsia="Times New Roman" w:hAnsi="Arial" w:cs="Arial"/>
          <w:sz w:val="20"/>
          <w:szCs w:val="20"/>
        </w:rPr>
        <w:t>3.</w:t>
      </w:r>
      <w:r w:rsidRPr="00E11DE9">
        <w:rPr>
          <w:rFonts w:ascii="Arial" w:eastAsia="Times New Roman" w:hAnsi="Arial" w:cs="Arial"/>
          <w:sz w:val="20"/>
          <w:szCs w:val="20"/>
        </w:rPr>
        <w:tab/>
      </w:r>
      <w:r w:rsidRPr="00E11DE9">
        <w:rPr>
          <w:rFonts w:ascii="Arial" w:eastAsia="Times New Roman" w:hAnsi="Arial" w:cs="Arial"/>
          <w:sz w:val="20"/>
          <w:szCs w:val="20"/>
        </w:rPr>
        <w:t xml:space="preserve">The permittee shall maintain monthly records specified in 40 CFR 63.829(b) and (c) in accordance with 40 CFR 63.10(b), and all other applicable records specified in 40 CFR 63.829(d) through (f).  These include but are not limited to:  </w:t>
      </w:r>
      <w:r w:rsidRPr="00E11DE9">
        <w:rPr>
          <w:rFonts w:ascii="Arial" w:eastAsia="Times New Roman" w:hAnsi="Arial" w:cs="Arial"/>
          <w:b/>
          <w:sz w:val="20"/>
          <w:szCs w:val="20"/>
        </w:rPr>
        <w:t>(40 CFR 63.829)</w:t>
      </w:r>
    </w:p>
    <w:p w14:paraId="0B7025AE" w14:textId="77777777" w:rsidR="00E11DE9" w:rsidRPr="00E11DE9" w:rsidRDefault="000852FE" w:rsidP="00CD6624">
      <w:pPr>
        <w:spacing w:before="160" w:after="160" w:line="259" w:lineRule="auto"/>
        <w:ind w:left="810" w:hanging="450"/>
        <w:jc w:val="left"/>
        <w:rPr>
          <w:rFonts w:ascii="Arial" w:eastAsia="Times New Roman" w:hAnsi="Arial" w:cs="Arial"/>
          <w:sz w:val="20"/>
          <w:szCs w:val="20"/>
        </w:rPr>
      </w:pPr>
      <w:r w:rsidRPr="00E11DE9">
        <w:rPr>
          <w:rFonts w:ascii="Arial" w:eastAsia="Times New Roman" w:hAnsi="Arial" w:cs="Arial"/>
          <w:sz w:val="20"/>
          <w:szCs w:val="20"/>
        </w:rPr>
        <w:t>a.</w:t>
      </w:r>
      <w:r w:rsidRPr="00E11DE9">
        <w:rPr>
          <w:rFonts w:ascii="Arial" w:eastAsia="Times New Roman" w:hAnsi="Arial" w:cs="Arial"/>
          <w:sz w:val="20"/>
          <w:szCs w:val="20"/>
        </w:rPr>
        <w:tab/>
        <w:t xml:space="preserve">Records specified in 40 CFR 63.10(b)(2) of all measurements needed to demonstrate compliance.  </w:t>
      </w:r>
      <w:r w:rsidRPr="00E11DE9">
        <w:rPr>
          <w:rFonts w:ascii="Arial" w:eastAsia="Times New Roman" w:hAnsi="Arial" w:cs="Arial"/>
          <w:b/>
          <w:sz w:val="20"/>
          <w:szCs w:val="20"/>
        </w:rPr>
        <w:t>(40 CFR 63.829(b)(1))</w:t>
      </w:r>
    </w:p>
    <w:p w14:paraId="68623F7A" w14:textId="77777777" w:rsidR="00E11DE9" w:rsidRPr="00E11DE9" w:rsidRDefault="000852FE" w:rsidP="00CD6624">
      <w:pPr>
        <w:spacing w:before="160" w:after="160" w:line="259" w:lineRule="auto"/>
        <w:ind w:left="810" w:hanging="450"/>
        <w:jc w:val="left"/>
        <w:rPr>
          <w:rFonts w:ascii="Arial" w:eastAsia="Times New Roman" w:hAnsi="Arial" w:cs="Arial"/>
          <w:b/>
          <w:sz w:val="20"/>
          <w:szCs w:val="20"/>
        </w:rPr>
      </w:pPr>
      <w:r w:rsidRPr="00E11DE9">
        <w:rPr>
          <w:rFonts w:ascii="Arial" w:eastAsia="Times New Roman" w:hAnsi="Arial" w:cs="Arial"/>
          <w:sz w:val="20"/>
          <w:szCs w:val="20"/>
        </w:rPr>
        <w:t>b.</w:t>
      </w:r>
      <w:r w:rsidRPr="00E11DE9">
        <w:rPr>
          <w:rFonts w:ascii="Arial" w:eastAsia="Times New Roman" w:hAnsi="Arial" w:cs="Arial"/>
          <w:sz w:val="20"/>
          <w:szCs w:val="20"/>
        </w:rPr>
        <w:tab/>
        <w:t xml:space="preserve">Records specified in 40 CFR 63.10(b)(3) for each applicability determination performed by the permittee in accordance with the requirements of 40 CFR 63.820(a).  </w:t>
      </w:r>
      <w:r w:rsidRPr="00E11DE9">
        <w:rPr>
          <w:rFonts w:ascii="Arial" w:eastAsia="Times New Roman" w:hAnsi="Arial" w:cs="Arial"/>
          <w:b/>
          <w:sz w:val="20"/>
          <w:szCs w:val="20"/>
        </w:rPr>
        <w:t>(40 CFR 63.829(b)(2))</w:t>
      </w:r>
    </w:p>
    <w:p w14:paraId="1C2A1F29" w14:textId="77777777" w:rsidR="00E11DE9" w:rsidRPr="00E11DE9" w:rsidRDefault="000852FE" w:rsidP="00CD6624">
      <w:pPr>
        <w:spacing w:before="160" w:after="160" w:line="259" w:lineRule="auto"/>
        <w:ind w:left="810" w:hanging="450"/>
        <w:jc w:val="left"/>
        <w:rPr>
          <w:rFonts w:ascii="Arial" w:eastAsia="Times New Roman" w:hAnsi="Arial" w:cs="Arial"/>
          <w:b/>
          <w:sz w:val="20"/>
          <w:szCs w:val="20"/>
        </w:rPr>
      </w:pPr>
      <w:r w:rsidRPr="00E11DE9">
        <w:rPr>
          <w:rFonts w:ascii="Arial" w:eastAsia="Times New Roman" w:hAnsi="Arial" w:cs="Arial"/>
          <w:sz w:val="20"/>
          <w:szCs w:val="20"/>
        </w:rPr>
        <w:t>c.</w:t>
      </w:r>
      <w:r w:rsidRPr="00E11DE9">
        <w:rPr>
          <w:rFonts w:ascii="Arial" w:eastAsia="Times New Roman" w:hAnsi="Arial" w:cs="Arial"/>
          <w:sz w:val="20"/>
          <w:szCs w:val="20"/>
        </w:rPr>
        <w:tab/>
        <w:t xml:space="preserve">Records specified in 40 CFR 63.10(c) for each continuous monitoring system in accordance with the requirements of 40 CFR 63.828(a).  </w:t>
      </w:r>
      <w:r w:rsidRPr="00E11DE9">
        <w:rPr>
          <w:rFonts w:ascii="Arial" w:eastAsia="Times New Roman" w:hAnsi="Arial" w:cs="Arial"/>
          <w:b/>
          <w:sz w:val="20"/>
          <w:szCs w:val="20"/>
        </w:rPr>
        <w:t>(40 CFR 63.829(b)(3))</w:t>
      </w:r>
    </w:p>
    <w:p w14:paraId="16FA3AB1" w14:textId="77777777" w:rsidR="00E11DE9" w:rsidRPr="00E11DE9" w:rsidRDefault="000852FE" w:rsidP="00CD6624">
      <w:pPr>
        <w:spacing w:before="160" w:after="160" w:line="259" w:lineRule="auto"/>
        <w:ind w:left="806" w:hanging="446"/>
        <w:jc w:val="left"/>
        <w:rPr>
          <w:rFonts w:ascii="Arial" w:eastAsia="Times New Roman" w:hAnsi="Arial" w:cs="Arial"/>
          <w:sz w:val="20"/>
          <w:szCs w:val="20"/>
        </w:rPr>
      </w:pPr>
      <w:r w:rsidRPr="00E11DE9">
        <w:rPr>
          <w:rFonts w:ascii="Arial" w:eastAsia="Times New Roman" w:hAnsi="Arial" w:cs="Arial"/>
          <w:sz w:val="20"/>
          <w:szCs w:val="20"/>
        </w:rPr>
        <w:lastRenderedPageBreak/>
        <w:t>d.</w:t>
      </w:r>
      <w:r w:rsidRPr="00E11DE9">
        <w:rPr>
          <w:rFonts w:ascii="Arial" w:eastAsia="Times New Roman" w:hAnsi="Arial" w:cs="Arial"/>
          <w:sz w:val="20"/>
          <w:szCs w:val="20"/>
        </w:rPr>
        <w:tab/>
        <w:t xml:space="preserve">Records of all liquid-liquid material balances performed in accordance with the requirements of 40 CFR 63.824 and 40 CFR 63.825.  </w:t>
      </w:r>
      <w:r w:rsidRPr="00E11DE9">
        <w:rPr>
          <w:rFonts w:ascii="Arial" w:eastAsia="Times New Roman" w:hAnsi="Arial" w:cs="Arial"/>
          <w:b/>
          <w:sz w:val="20"/>
          <w:szCs w:val="20"/>
        </w:rPr>
        <w:t>(40 CFR 63.829(c))</w:t>
      </w:r>
    </w:p>
    <w:p w14:paraId="5C4313C2" w14:textId="77777777" w:rsidR="00E11DE9" w:rsidRPr="00F977CE" w:rsidRDefault="000852FE" w:rsidP="00CD6624">
      <w:pPr>
        <w:spacing w:before="160" w:after="160" w:line="259" w:lineRule="auto"/>
        <w:ind w:left="360" w:hanging="360"/>
        <w:jc w:val="left"/>
        <w:rPr>
          <w:rFonts w:ascii="Arial" w:eastAsia="Times New Roman" w:hAnsi="Arial" w:cs="Arial"/>
          <w:bCs/>
          <w:sz w:val="20"/>
          <w:szCs w:val="20"/>
        </w:rPr>
      </w:pPr>
      <w:r w:rsidRPr="000852FE">
        <w:rPr>
          <w:rFonts w:ascii="Arial" w:eastAsia="Times New Roman" w:hAnsi="Arial" w:cs="Arial"/>
          <w:color w:val="ED0000"/>
          <w:sz w:val="20"/>
          <w:szCs w:val="20"/>
        </w:rPr>
        <w:t>4.</w:t>
      </w:r>
      <w:r w:rsidRPr="000852FE">
        <w:rPr>
          <w:rFonts w:ascii="Arial" w:eastAsia="Times New Roman" w:hAnsi="Arial" w:cs="Arial"/>
          <w:color w:val="ED0000"/>
          <w:sz w:val="20"/>
          <w:szCs w:val="20"/>
        </w:rPr>
        <w:tab/>
        <w:t xml:space="preserve">For publication rotogravure presses, the permittee shall demonstrate compliance with the emission limits of 40 CFR 63.824(b) using one of the methods identified in the following table for the applicable compliance option.  </w:t>
      </w:r>
      <w:r w:rsidRPr="000852FE">
        <w:rPr>
          <w:rFonts w:ascii="Arial" w:eastAsia="Times New Roman" w:hAnsi="Arial" w:cs="Arial"/>
          <w:b/>
          <w:color w:val="ED0000"/>
          <w:sz w:val="20"/>
          <w:szCs w:val="20"/>
        </w:rPr>
        <w:t>(40 CFR 63.824(b))</w:t>
      </w:r>
    </w:p>
    <w:tbl>
      <w:tblPr>
        <w:tblW w:w="4876" w:type="pct"/>
        <w:tblInd w:w="108" w:type="dxa"/>
        <w:tblLook w:val="04A0" w:firstRow="1" w:lastRow="0" w:firstColumn="1" w:lastColumn="0" w:noHBand="0" w:noVBand="1"/>
      </w:tblPr>
      <w:tblGrid>
        <w:gridCol w:w="2489"/>
        <w:gridCol w:w="7466"/>
      </w:tblGrid>
      <w:tr w:rsidR="007C10B5" w14:paraId="04B9A517" w14:textId="77777777" w:rsidTr="0069668A">
        <w:trPr>
          <w:tblHeader/>
        </w:trPr>
        <w:tc>
          <w:tcPr>
            <w:tcW w:w="1250" w:type="pct"/>
            <w:tcBorders>
              <w:top w:val="single" w:sz="6" w:space="0" w:color="auto"/>
              <w:left w:val="single" w:sz="6" w:space="0" w:color="auto"/>
              <w:bottom w:val="nil"/>
              <w:right w:val="single" w:sz="6" w:space="0" w:color="auto"/>
            </w:tcBorders>
            <w:shd w:val="clear" w:color="auto" w:fill="F2F2F2" w:themeFill="background1" w:themeFillShade="F2"/>
            <w:hideMark/>
          </w:tcPr>
          <w:p w14:paraId="5987887F" w14:textId="77777777" w:rsidR="00E11DE9" w:rsidRPr="00E11DE9" w:rsidRDefault="000852FE" w:rsidP="003C1115">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Compliance Option</w:t>
            </w:r>
          </w:p>
        </w:tc>
        <w:tc>
          <w:tcPr>
            <w:tcW w:w="3750" w:type="pct"/>
            <w:tcBorders>
              <w:top w:val="single" w:sz="6" w:space="0" w:color="auto"/>
              <w:left w:val="nil"/>
              <w:bottom w:val="nil"/>
              <w:right w:val="single" w:sz="6" w:space="0" w:color="auto"/>
            </w:tcBorders>
            <w:shd w:val="clear" w:color="auto" w:fill="F2F2F2" w:themeFill="background1" w:themeFillShade="F2"/>
            <w:hideMark/>
          </w:tcPr>
          <w:p w14:paraId="3F8C4ED9" w14:textId="77777777" w:rsidR="00E11DE9" w:rsidRPr="00E11DE9" w:rsidRDefault="000852FE" w:rsidP="003C1115">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Compliance Demonstration Method</w:t>
            </w:r>
          </w:p>
        </w:tc>
      </w:tr>
      <w:tr w:rsidR="007C10B5" w14:paraId="5C73065E" w14:textId="77777777" w:rsidTr="00E11DE9">
        <w:tc>
          <w:tcPr>
            <w:tcW w:w="1250" w:type="pct"/>
            <w:tcBorders>
              <w:top w:val="single" w:sz="6" w:space="0" w:color="auto"/>
              <w:left w:val="single" w:sz="6" w:space="0" w:color="auto"/>
              <w:bottom w:val="single" w:sz="6" w:space="0" w:color="auto"/>
              <w:right w:val="nil"/>
            </w:tcBorders>
            <w:hideMark/>
          </w:tcPr>
          <w:p w14:paraId="60FF170E" w14:textId="77777777" w:rsidR="00E11DE9" w:rsidRPr="000852FE" w:rsidRDefault="000852FE" w:rsidP="00A016F2">
            <w:pPr>
              <w:spacing w:before="60" w:after="60" w:line="259" w:lineRule="auto"/>
              <w:jc w:val="left"/>
              <w:rPr>
                <w:rFonts w:ascii="Arial" w:eastAsia="Times New Roman" w:hAnsi="Arial" w:cs="Arial"/>
                <w:color w:val="ED0000"/>
                <w:sz w:val="20"/>
                <w:szCs w:val="20"/>
              </w:rPr>
            </w:pPr>
            <w:r w:rsidRPr="000852FE">
              <w:rPr>
                <w:rFonts w:ascii="Arial" w:eastAsia="Times New Roman" w:hAnsi="Arial" w:cs="Arial"/>
                <w:color w:val="ED0000"/>
                <w:sz w:val="20"/>
                <w:szCs w:val="20"/>
              </w:rPr>
              <w:t>Solvent Recovery System (40 CFR 63.824(b)(1))</w:t>
            </w:r>
          </w:p>
        </w:tc>
        <w:tc>
          <w:tcPr>
            <w:tcW w:w="3750" w:type="pct"/>
            <w:tcBorders>
              <w:top w:val="single" w:sz="6" w:space="0" w:color="auto"/>
              <w:left w:val="single" w:sz="6" w:space="0" w:color="auto"/>
              <w:bottom w:val="single" w:sz="6" w:space="0" w:color="auto"/>
              <w:right w:val="single" w:sz="6" w:space="0" w:color="auto"/>
            </w:tcBorders>
            <w:hideMark/>
          </w:tcPr>
          <w:p w14:paraId="35245AAA" w14:textId="77777777" w:rsidR="00E11DE9" w:rsidRPr="000852FE" w:rsidRDefault="000852FE" w:rsidP="00A016F2">
            <w:p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Perform a liquid-liquid material balance on a monthly basis as specified in 40 CFR 63.824(b)(1)(A) through (G), OR</w:t>
            </w:r>
          </w:p>
          <w:p w14:paraId="4EB6F8C9" w14:textId="77777777" w:rsidR="00E11DE9" w:rsidRPr="000852FE" w:rsidRDefault="000852FE" w:rsidP="00A016F2">
            <w:p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Use continuous emissions monitors, conduct initial performance test of capture efficiency, and continuously monitor a site-specific operating parameter as specified in 40 CFR 63.824(b)(1)(ii)(A) through (b)(1)(ii)(E).</w:t>
            </w:r>
          </w:p>
        </w:tc>
      </w:tr>
      <w:tr w:rsidR="007C10B5" w14:paraId="2DDF89DA" w14:textId="77777777" w:rsidTr="00E11DE9">
        <w:tc>
          <w:tcPr>
            <w:tcW w:w="1250" w:type="pct"/>
            <w:tcBorders>
              <w:top w:val="single" w:sz="6" w:space="0" w:color="auto"/>
              <w:left w:val="single" w:sz="6" w:space="0" w:color="auto"/>
              <w:bottom w:val="single" w:sz="6" w:space="0" w:color="auto"/>
              <w:right w:val="nil"/>
            </w:tcBorders>
            <w:hideMark/>
          </w:tcPr>
          <w:p w14:paraId="43C82BB3" w14:textId="77777777" w:rsidR="00E11DE9" w:rsidRPr="000852FE" w:rsidRDefault="000852FE" w:rsidP="00A016F2">
            <w:pPr>
              <w:spacing w:before="60" w:after="60" w:line="259" w:lineRule="auto"/>
              <w:jc w:val="left"/>
              <w:rPr>
                <w:rFonts w:ascii="Arial" w:eastAsia="Times New Roman" w:hAnsi="Arial" w:cs="Arial"/>
                <w:color w:val="ED0000"/>
                <w:sz w:val="20"/>
                <w:szCs w:val="20"/>
              </w:rPr>
            </w:pPr>
            <w:r w:rsidRPr="000852FE">
              <w:rPr>
                <w:rFonts w:ascii="Arial" w:eastAsia="Times New Roman" w:hAnsi="Arial" w:cs="Arial"/>
                <w:color w:val="ED0000"/>
                <w:sz w:val="20"/>
                <w:szCs w:val="20"/>
              </w:rPr>
              <w:t>Oxidizer</w:t>
            </w:r>
          </w:p>
          <w:p w14:paraId="71414CEA" w14:textId="77777777" w:rsidR="00E11DE9" w:rsidRPr="000852FE" w:rsidRDefault="000852FE" w:rsidP="00A016F2">
            <w:pPr>
              <w:spacing w:before="60" w:after="60" w:line="259" w:lineRule="auto"/>
              <w:jc w:val="left"/>
              <w:rPr>
                <w:rFonts w:ascii="Arial" w:eastAsia="Times New Roman" w:hAnsi="Arial" w:cs="Arial"/>
                <w:color w:val="ED0000"/>
                <w:sz w:val="20"/>
                <w:szCs w:val="20"/>
              </w:rPr>
            </w:pPr>
            <w:r w:rsidRPr="000852FE">
              <w:rPr>
                <w:rFonts w:ascii="Arial" w:eastAsia="Times New Roman" w:hAnsi="Arial" w:cs="Arial"/>
                <w:color w:val="ED0000"/>
                <w:sz w:val="20"/>
                <w:szCs w:val="20"/>
              </w:rPr>
              <w:t>(40 CFR 63.824(b)(2))</w:t>
            </w:r>
          </w:p>
        </w:tc>
        <w:tc>
          <w:tcPr>
            <w:tcW w:w="3750" w:type="pct"/>
            <w:tcBorders>
              <w:top w:val="single" w:sz="6" w:space="0" w:color="auto"/>
              <w:left w:val="single" w:sz="6" w:space="0" w:color="auto"/>
              <w:bottom w:val="single" w:sz="6" w:space="0" w:color="auto"/>
              <w:right w:val="single" w:sz="6" w:space="0" w:color="auto"/>
            </w:tcBorders>
            <w:hideMark/>
          </w:tcPr>
          <w:p w14:paraId="71309382" w14:textId="77777777" w:rsidR="00E11DE9" w:rsidRPr="000852FE" w:rsidRDefault="000852FE" w:rsidP="00A016F2">
            <w:p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Conduct initial performance test and continuously monitor oxidizer operating parameters as specified in 40 CFR 63.824(b)(2)(i)(A) through (b)(2)(i)(E), OR</w:t>
            </w:r>
          </w:p>
          <w:p w14:paraId="6F97CEA5" w14:textId="77777777" w:rsidR="00E11DE9" w:rsidRPr="000852FE" w:rsidRDefault="000852FE" w:rsidP="00A016F2">
            <w:p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Use continuous emissions monitors, conduct an initial performance test of capture efficiency, and continuously monitor a site-specific operating parameter in accordance with the requirements of 40 CFR 63.824(b)(1)(ii).</w:t>
            </w:r>
          </w:p>
        </w:tc>
      </w:tr>
      <w:tr w:rsidR="007C10B5" w14:paraId="6C8344ED" w14:textId="77777777" w:rsidTr="00E11DE9">
        <w:tc>
          <w:tcPr>
            <w:tcW w:w="1250" w:type="pct"/>
            <w:tcBorders>
              <w:top w:val="single" w:sz="6" w:space="0" w:color="auto"/>
              <w:left w:val="single" w:sz="6" w:space="0" w:color="auto"/>
              <w:bottom w:val="single" w:sz="6" w:space="0" w:color="auto"/>
              <w:right w:val="nil"/>
            </w:tcBorders>
            <w:hideMark/>
          </w:tcPr>
          <w:p w14:paraId="73B8380C" w14:textId="77777777" w:rsidR="00E11DE9" w:rsidRPr="000852FE" w:rsidRDefault="000852FE" w:rsidP="00A016F2">
            <w:pPr>
              <w:spacing w:before="60" w:after="60" w:line="259" w:lineRule="auto"/>
              <w:jc w:val="left"/>
              <w:rPr>
                <w:rFonts w:ascii="Arial" w:eastAsia="Times New Roman" w:hAnsi="Arial" w:cs="Arial"/>
                <w:color w:val="ED0000"/>
                <w:sz w:val="20"/>
                <w:szCs w:val="20"/>
              </w:rPr>
            </w:pPr>
            <w:r w:rsidRPr="000852FE">
              <w:rPr>
                <w:rFonts w:ascii="Arial" w:eastAsia="Times New Roman" w:hAnsi="Arial" w:cs="Arial"/>
                <w:color w:val="ED0000"/>
                <w:sz w:val="20"/>
                <w:szCs w:val="20"/>
              </w:rPr>
              <w:t>No Control Device</w:t>
            </w:r>
          </w:p>
          <w:p w14:paraId="7D4B2BFA" w14:textId="77777777" w:rsidR="00E11DE9" w:rsidRPr="000852FE" w:rsidRDefault="000852FE" w:rsidP="00A016F2">
            <w:pPr>
              <w:spacing w:before="60" w:after="60" w:line="259" w:lineRule="auto"/>
              <w:jc w:val="left"/>
              <w:rPr>
                <w:rFonts w:ascii="Arial" w:eastAsia="Times New Roman" w:hAnsi="Arial" w:cs="Arial"/>
                <w:color w:val="ED0000"/>
                <w:sz w:val="20"/>
                <w:szCs w:val="20"/>
              </w:rPr>
            </w:pPr>
            <w:r w:rsidRPr="000852FE">
              <w:rPr>
                <w:rFonts w:ascii="Arial" w:eastAsia="Times New Roman" w:hAnsi="Arial" w:cs="Arial"/>
                <w:color w:val="ED0000"/>
                <w:sz w:val="20"/>
                <w:szCs w:val="20"/>
              </w:rPr>
              <w:t>(40 CFR 63.824(b)(3))</w:t>
            </w:r>
          </w:p>
        </w:tc>
        <w:tc>
          <w:tcPr>
            <w:tcW w:w="3750" w:type="pct"/>
            <w:tcBorders>
              <w:top w:val="single" w:sz="6" w:space="0" w:color="auto"/>
              <w:left w:val="single" w:sz="6" w:space="0" w:color="auto"/>
              <w:bottom w:val="single" w:sz="6" w:space="0" w:color="auto"/>
              <w:right w:val="single" w:sz="6" w:space="0" w:color="auto"/>
            </w:tcBorders>
            <w:hideMark/>
          </w:tcPr>
          <w:p w14:paraId="47E30D55" w14:textId="77777777" w:rsidR="00E11DE9" w:rsidRPr="000852FE" w:rsidRDefault="000852FE" w:rsidP="00A016F2">
            <w:p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Compare the mass of organic HAP used to the mass of volatile matter used each month as specified in 40 CFR 63.824(b)(3)(i) through (b)(3)(iv).</w:t>
            </w:r>
          </w:p>
        </w:tc>
      </w:tr>
    </w:tbl>
    <w:p w14:paraId="05756C3E" w14:textId="77777777" w:rsidR="00E11DE9" w:rsidRPr="000852FE" w:rsidRDefault="000852FE" w:rsidP="00A016F2">
      <w:pPr>
        <w:spacing w:after="160" w:line="259" w:lineRule="auto"/>
        <w:ind w:left="360" w:hanging="360"/>
        <w:jc w:val="left"/>
        <w:rPr>
          <w:rFonts w:ascii="Arial" w:eastAsia="Times New Roman" w:hAnsi="Arial" w:cs="Arial"/>
          <w:b/>
          <w:color w:val="ED0000"/>
          <w:sz w:val="20"/>
          <w:szCs w:val="20"/>
        </w:rPr>
      </w:pPr>
      <w:r w:rsidRPr="000852FE">
        <w:rPr>
          <w:rFonts w:ascii="Arial" w:eastAsia="Times New Roman" w:hAnsi="Arial" w:cs="Arial"/>
          <w:color w:val="ED0000"/>
          <w:sz w:val="20"/>
          <w:szCs w:val="20"/>
        </w:rPr>
        <w:t>5.</w:t>
      </w:r>
      <w:r w:rsidRPr="000852FE">
        <w:rPr>
          <w:rFonts w:ascii="Arial" w:eastAsia="Times New Roman" w:hAnsi="Arial" w:cs="Arial"/>
          <w:color w:val="ED0000"/>
          <w:sz w:val="20"/>
          <w:szCs w:val="20"/>
        </w:rPr>
        <w:tab/>
        <w:t xml:space="preserve">For product and packaging rotogravure presses and/or wide-web flexographic presses, the permittee shall demonstrate compliance with the emission limits of 40 CFR 63.825(b) using one of the methods identified in the following table for the applicable compliance option.  </w:t>
      </w:r>
      <w:r w:rsidRPr="000852FE">
        <w:rPr>
          <w:rFonts w:ascii="Arial" w:eastAsia="Times New Roman" w:hAnsi="Arial" w:cs="Arial"/>
          <w:b/>
          <w:color w:val="ED0000"/>
          <w:sz w:val="20"/>
          <w:szCs w:val="20"/>
        </w:rPr>
        <w:t>(40 CFR 63.825(b))</w:t>
      </w:r>
    </w:p>
    <w:tbl>
      <w:tblPr>
        <w:tblW w:w="4947" w:type="pct"/>
        <w:tblInd w:w="108" w:type="dxa"/>
        <w:tblLook w:val="04A0" w:firstRow="1" w:lastRow="0" w:firstColumn="1" w:lastColumn="0" w:noHBand="0" w:noVBand="1"/>
      </w:tblPr>
      <w:tblGrid>
        <w:gridCol w:w="2398"/>
        <w:gridCol w:w="7702"/>
      </w:tblGrid>
      <w:tr w:rsidR="007C10B5" w14:paraId="024118EC" w14:textId="77777777" w:rsidTr="0069668A">
        <w:trPr>
          <w:tblHeader/>
        </w:trPr>
        <w:tc>
          <w:tcPr>
            <w:tcW w:w="1187" w:type="pct"/>
            <w:tcBorders>
              <w:top w:val="single" w:sz="6" w:space="0" w:color="auto"/>
              <w:left w:val="single" w:sz="6" w:space="0" w:color="auto"/>
              <w:bottom w:val="nil"/>
              <w:right w:val="single" w:sz="6" w:space="0" w:color="auto"/>
            </w:tcBorders>
            <w:shd w:val="clear" w:color="auto" w:fill="F2F2F2" w:themeFill="background1" w:themeFillShade="F2"/>
            <w:hideMark/>
          </w:tcPr>
          <w:p w14:paraId="41AF318E" w14:textId="77777777" w:rsidR="00E11DE9" w:rsidRPr="00E11DE9" w:rsidRDefault="000852FE" w:rsidP="0069668A">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Compliance Option</w:t>
            </w:r>
          </w:p>
        </w:tc>
        <w:tc>
          <w:tcPr>
            <w:tcW w:w="3813" w:type="pct"/>
            <w:tcBorders>
              <w:top w:val="single" w:sz="6" w:space="0" w:color="auto"/>
              <w:left w:val="nil"/>
              <w:bottom w:val="nil"/>
              <w:right w:val="single" w:sz="6" w:space="0" w:color="auto"/>
            </w:tcBorders>
            <w:shd w:val="clear" w:color="auto" w:fill="F2F2F2" w:themeFill="background1" w:themeFillShade="F2"/>
            <w:hideMark/>
          </w:tcPr>
          <w:p w14:paraId="790CFC89" w14:textId="77777777" w:rsidR="00E11DE9" w:rsidRPr="00E11DE9" w:rsidRDefault="000852FE" w:rsidP="0069668A">
            <w:pPr>
              <w:spacing w:before="60" w:after="60" w:line="259" w:lineRule="auto"/>
              <w:jc w:val="center"/>
              <w:rPr>
                <w:rFonts w:ascii="Arial" w:eastAsia="Times New Roman" w:hAnsi="Arial" w:cs="Arial"/>
                <w:b/>
                <w:sz w:val="20"/>
                <w:szCs w:val="20"/>
              </w:rPr>
            </w:pPr>
            <w:r w:rsidRPr="00E11DE9">
              <w:rPr>
                <w:rFonts w:ascii="Arial" w:eastAsia="Times New Roman" w:hAnsi="Arial" w:cs="Arial"/>
                <w:b/>
                <w:sz w:val="20"/>
                <w:szCs w:val="20"/>
              </w:rPr>
              <w:t>Compliance Determinations</w:t>
            </w:r>
          </w:p>
        </w:tc>
      </w:tr>
      <w:tr w:rsidR="007C10B5" w14:paraId="30534571" w14:textId="77777777" w:rsidTr="00E11DE9">
        <w:tc>
          <w:tcPr>
            <w:tcW w:w="1187" w:type="pct"/>
            <w:tcBorders>
              <w:top w:val="single" w:sz="6" w:space="0" w:color="auto"/>
              <w:left w:val="single" w:sz="6" w:space="0" w:color="auto"/>
              <w:bottom w:val="single" w:sz="6" w:space="0" w:color="auto"/>
              <w:right w:val="single" w:sz="6" w:space="0" w:color="auto"/>
            </w:tcBorders>
            <w:hideMark/>
          </w:tcPr>
          <w:p w14:paraId="1665C0AC" w14:textId="77777777" w:rsidR="00E11DE9" w:rsidRPr="000852FE" w:rsidRDefault="000852FE" w:rsidP="00A016F2">
            <w:pPr>
              <w:spacing w:before="60" w:after="60" w:line="259" w:lineRule="auto"/>
              <w:jc w:val="left"/>
              <w:rPr>
                <w:rFonts w:ascii="Arial" w:eastAsia="Times New Roman" w:hAnsi="Arial" w:cs="Arial"/>
                <w:b/>
                <w:color w:val="ED0000"/>
                <w:sz w:val="20"/>
                <w:szCs w:val="20"/>
              </w:rPr>
            </w:pPr>
            <w:r w:rsidRPr="000852FE">
              <w:rPr>
                <w:rFonts w:ascii="Arial" w:eastAsia="Times New Roman" w:hAnsi="Arial" w:cs="Arial"/>
                <w:color w:val="ED0000"/>
                <w:sz w:val="20"/>
                <w:szCs w:val="20"/>
              </w:rPr>
              <w:t>Use of low HAP materials (inks, thinners, adhesives etc.)</w:t>
            </w:r>
          </w:p>
        </w:tc>
        <w:tc>
          <w:tcPr>
            <w:tcW w:w="3813" w:type="pct"/>
            <w:tcBorders>
              <w:top w:val="single" w:sz="6" w:space="0" w:color="auto"/>
              <w:left w:val="nil"/>
              <w:bottom w:val="single" w:sz="6" w:space="0" w:color="auto"/>
              <w:right w:val="single" w:sz="6" w:space="0" w:color="auto"/>
            </w:tcBorders>
            <w:hideMark/>
          </w:tcPr>
          <w:p w14:paraId="589D3D09" w14:textId="77777777" w:rsidR="00E11DE9" w:rsidRPr="000852FE" w:rsidRDefault="000852FE" w:rsidP="00A016F2">
            <w:pPr>
              <w:numPr>
                <w:ilvl w:val="0"/>
                <w:numId w:val="3"/>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Demonstrate that each material applied for the month, contains no more than 0.04 weight-fraction organic HAP, as purchased, in accordance with 40 CFR 63.827(b)(2).  </w:t>
            </w:r>
            <w:r w:rsidRPr="000852FE">
              <w:rPr>
                <w:rFonts w:ascii="Arial" w:eastAsia="Times New Roman" w:hAnsi="Arial" w:cs="Arial"/>
                <w:b/>
                <w:color w:val="ED0000"/>
                <w:sz w:val="20"/>
                <w:szCs w:val="20"/>
              </w:rPr>
              <w:t>(40 CFR 63.825(b)(1))</w:t>
            </w:r>
          </w:p>
          <w:p w14:paraId="233B55BE" w14:textId="77777777" w:rsidR="00E11DE9" w:rsidRPr="000852FE" w:rsidRDefault="000852FE" w:rsidP="00A016F2">
            <w:pPr>
              <w:numPr>
                <w:ilvl w:val="0"/>
                <w:numId w:val="3"/>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Demonstrate that each material applied during the month contains no more than 0.04 weight-fraction organic HAP, on a monthly average as-applied basis, in accordance with 40 CFR 63.825(b)(2).  </w:t>
            </w:r>
            <w:r w:rsidRPr="000852FE">
              <w:rPr>
                <w:rFonts w:ascii="Arial" w:eastAsia="Times New Roman" w:hAnsi="Arial" w:cs="Arial"/>
                <w:b/>
                <w:color w:val="ED0000"/>
                <w:sz w:val="20"/>
                <w:szCs w:val="20"/>
              </w:rPr>
              <w:t>(40 CFR 63.825(b)(2))</w:t>
            </w:r>
          </w:p>
          <w:p w14:paraId="36551AD6" w14:textId="77777777" w:rsidR="00E11DE9" w:rsidRPr="000852FE" w:rsidRDefault="000852FE" w:rsidP="00A016F2">
            <w:pPr>
              <w:numPr>
                <w:ilvl w:val="0"/>
                <w:numId w:val="3"/>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Demonstrate, in accordance with 40 CFR 63.825(b)(3)(ii), that each solids-containing material applied either:</w:t>
            </w:r>
          </w:p>
          <w:p w14:paraId="79F36226" w14:textId="77777777" w:rsidR="00E11DE9" w:rsidRPr="000852FE" w:rsidRDefault="000852FE" w:rsidP="00A016F2">
            <w:pPr>
              <w:numPr>
                <w:ilvl w:val="0"/>
                <w:numId w:val="4"/>
              </w:numPr>
              <w:tabs>
                <w:tab w:val="left" w:pos="791"/>
              </w:tabs>
              <w:overflowPunct w:val="0"/>
              <w:autoSpaceDE w:val="0"/>
              <w:autoSpaceDN w:val="0"/>
              <w:adjustRightInd w:val="0"/>
              <w:spacing w:before="60" w:after="60" w:line="259" w:lineRule="auto"/>
              <w:ind w:left="791"/>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Contains no more than 0.04 weight-fraction organic HAP on a monthly average as-applied basis, OR</w:t>
            </w:r>
          </w:p>
          <w:p w14:paraId="090946EA" w14:textId="77777777" w:rsidR="00E11DE9" w:rsidRPr="000852FE" w:rsidRDefault="000852FE" w:rsidP="00A016F2">
            <w:pPr>
              <w:numPr>
                <w:ilvl w:val="0"/>
                <w:numId w:val="4"/>
              </w:numPr>
              <w:tabs>
                <w:tab w:val="left" w:pos="791"/>
              </w:tabs>
              <w:overflowPunct w:val="0"/>
              <w:autoSpaceDE w:val="0"/>
              <w:autoSpaceDN w:val="0"/>
              <w:adjustRightInd w:val="0"/>
              <w:spacing w:before="60" w:after="60" w:line="259" w:lineRule="auto"/>
              <w:ind w:left="791" w:hanging="359"/>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Contains no more than 0.20 kg of organic HAP per kg of solids applied on a monthly average as-applied basis using equations 4 and 5 of 40 CFR 63.825(b)(3).  </w:t>
            </w:r>
            <w:r w:rsidRPr="000852FE">
              <w:rPr>
                <w:rFonts w:ascii="Arial" w:eastAsia="Times New Roman" w:hAnsi="Arial" w:cs="Arial"/>
                <w:b/>
                <w:color w:val="ED0000"/>
                <w:sz w:val="20"/>
                <w:szCs w:val="20"/>
              </w:rPr>
              <w:t>(40 CFR 63.825(b)(3))</w:t>
            </w:r>
          </w:p>
          <w:p w14:paraId="43F24344" w14:textId="77777777" w:rsidR="00E11DE9" w:rsidRPr="000852FE" w:rsidRDefault="000852FE" w:rsidP="00A016F2">
            <w:pPr>
              <w:numPr>
                <w:ilvl w:val="0"/>
                <w:numId w:val="3"/>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Demonstrate that the monthly average as-applied organic HAP content of all materials applied is less than 0.04 kg HAP per kg of material applied, as determined by Equation 6 of 40 CFR 63.825(b)(4).  </w:t>
            </w:r>
            <w:r w:rsidRPr="000852FE">
              <w:rPr>
                <w:rFonts w:ascii="Arial" w:eastAsia="Times New Roman" w:hAnsi="Arial" w:cs="Arial"/>
                <w:b/>
                <w:color w:val="ED0000"/>
                <w:sz w:val="20"/>
                <w:szCs w:val="20"/>
              </w:rPr>
              <w:t>(40 CFR 63.825(b)(4))</w:t>
            </w:r>
          </w:p>
          <w:p w14:paraId="400B73C0" w14:textId="77777777" w:rsidR="00E11DE9" w:rsidRPr="000852FE" w:rsidRDefault="000852FE" w:rsidP="00A016F2">
            <w:pPr>
              <w:numPr>
                <w:ilvl w:val="0"/>
                <w:numId w:val="3"/>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Demonstrate that the monthly average as-applied organic HAP content on the basis of solids applied is less than 0.20 kg HAP per kg solids applied, as determined by Equation 7 of 40 CFR 63.825(b)(5).  </w:t>
            </w:r>
            <w:r w:rsidRPr="000852FE">
              <w:rPr>
                <w:rFonts w:ascii="Arial" w:eastAsia="Times New Roman" w:hAnsi="Arial" w:cs="Arial"/>
                <w:b/>
                <w:color w:val="ED0000"/>
                <w:sz w:val="20"/>
                <w:szCs w:val="20"/>
              </w:rPr>
              <w:t>(40 CFR 63.825(b)(5))</w:t>
            </w:r>
          </w:p>
          <w:p w14:paraId="126463BF" w14:textId="77777777" w:rsidR="00E11DE9" w:rsidRPr="000852FE" w:rsidRDefault="000852FE" w:rsidP="00A016F2">
            <w:pPr>
              <w:numPr>
                <w:ilvl w:val="0"/>
                <w:numId w:val="3"/>
              </w:numPr>
              <w:spacing w:before="60" w:after="60" w:line="259" w:lineRule="auto"/>
              <w:jc w:val="left"/>
              <w:rPr>
                <w:rFonts w:ascii="Arial" w:eastAsia="Times New Roman" w:hAnsi="Arial" w:cs="Arial"/>
                <w:b/>
                <w:color w:val="ED0000"/>
                <w:sz w:val="20"/>
                <w:szCs w:val="20"/>
              </w:rPr>
            </w:pPr>
            <w:r w:rsidRPr="000852FE">
              <w:rPr>
                <w:rFonts w:ascii="Arial" w:eastAsia="Times New Roman" w:hAnsi="Arial" w:cs="Arial"/>
                <w:color w:val="ED0000"/>
                <w:sz w:val="20"/>
                <w:szCs w:val="20"/>
              </w:rPr>
              <w:t xml:space="preserve">Demonstrate that the total monthly organic HAP applied as determined by Equation 8 of 40 CFR 63.825(b)(6) is less than the calculated equivalent allowable organic HAP as determined by 40 CFR 63.825(e).  </w:t>
            </w:r>
            <w:r w:rsidRPr="000852FE">
              <w:rPr>
                <w:rFonts w:ascii="Arial" w:eastAsia="Times New Roman" w:hAnsi="Arial" w:cs="Arial"/>
                <w:b/>
                <w:color w:val="ED0000"/>
                <w:sz w:val="20"/>
                <w:szCs w:val="20"/>
              </w:rPr>
              <w:t>(40 CFR 63.825(b)(6))</w:t>
            </w:r>
          </w:p>
        </w:tc>
      </w:tr>
      <w:tr w:rsidR="007C10B5" w14:paraId="2E0185CA" w14:textId="77777777" w:rsidTr="00E11DE9">
        <w:tc>
          <w:tcPr>
            <w:tcW w:w="1187" w:type="pct"/>
            <w:tcBorders>
              <w:top w:val="single" w:sz="6" w:space="0" w:color="auto"/>
              <w:left w:val="single" w:sz="6" w:space="0" w:color="auto"/>
              <w:bottom w:val="single" w:sz="6" w:space="0" w:color="auto"/>
              <w:right w:val="single" w:sz="6" w:space="0" w:color="auto"/>
            </w:tcBorders>
            <w:hideMark/>
          </w:tcPr>
          <w:p w14:paraId="059BDC97" w14:textId="77777777" w:rsidR="00E11DE9" w:rsidRPr="000852FE" w:rsidRDefault="000852FE" w:rsidP="00A016F2">
            <w:pPr>
              <w:spacing w:before="60" w:after="60" w:line="259" w:lineRule="auto"/>
              <w:jc w:val="left"/>
              <w:rPr>
                <w:rFonts w:ascii="Arial" w:eastAsia="Times New Roman" w:hAnsi="Arial" w:cs="Arial"/>
                <w:color w:val="ED0000"/>
                <w:sz w:val="20"/>
                <w:szCs w:val="20"/>
              </w:rPr>
            </w:pPr>
            <w:r w:rsidRPr="000852FE">
              <w:rPr>
                <w:rFonts w:ascii="Arial" w:eastAsia="Times New Roman" w:hAnsi="Arial" w:cs="Arial"/>
                <w:color w:val="ED0000"/>
                <w:sz w:val="20"/>
                <w:szCs w:val="20"/>
              </w:rPr>
              <w:lastRenderedPageBreak/>
              <w:t>Operation of a capture system and control device</w:t>
            </w:r>
          </w:p>
        </w:tc>
        <w:tc>
          <w:tcPr>
            <w:tcW w:w="3813" w:type="pct"/>
            <w:tcBorders>
              <w:top w:val="single" w:sz="6" w:space="0" w:color="auto"/>
              <w:left w:val="nil"/>
              <w:bottom w:val="single" w:sz="6" w:space="0" w:color="auto"/>
              <w:right w:val="single" w:sz="6" w:space="0" w:color="auto"/>
            </w:tcBorders>
            <w:hideMark/>
          </w:tcPr>
          <w:p w14:paraId="476A4CD8" w14:textId="77777777" w:rsidR="00E11DE9" w:rsidRPr="000852FE" w:rsidRDefault="000852FE" w:rsidP="00A016F2">
            <w:pPr>
              <w:numPr>
                <w:ilvl w:val="0"/>
                <w:numId w:val="5"/>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Demonstrate that the capture system and control device have an overall control efficiency of at least 95% for each month in following the procedures in 40 CFR 63.825(c) or (d).  </w:t>
            </w:r>
            <w:r w:rsidRPr="000852FE">
              <w:rPr>
                <w:rFonts w:ascii="Arial" w:eastAsia="Times New Roman" w:hAnsi="Arial" w:cs="Arial"/>
                <w:b/>
                <w:color w:val="ED0000"/>
                <w:sz w:val="20"/>
                <w:szCs w:val="20"/>
              </w:rPr>
              <w:t>(40 CFR 63.825(b)(7))</w:t>
            </w:r>
          </w:p>
          <w:p w14:paraId="5412D8F4" w14:textId="77777777" w:rsidR="00E11DE9" w:rsidRPr="000852FE" w:rsidRDefault="000852FE" w:rsidP="00A016F2">
            <w:pPr>
              <w:numPr>
                <w:ilvl w:val="0"/>
                <w:numId w:val="5"/>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Demonstrate that the capture system and control device limit the organic HAP emission rate to no more than 0.20 kg organic HAP per kg solids applied on a monthly average as-applied basis.  </w:t>
            </w:r>
            <w:r w:rsidRPr="000852FE">
              <w:rPr>
                <w:rFonts w:ascii="Arial" w:eastAsia="Times New Roman" w:hAnsi="Arial" w:cs="Arial"/>
                <w:b/>
                <w:color w:val="ED0000"/>
                <w:sz w:val="20"/>
                <w:szCs w:val="20"/>
              </w:rPr>
              <w:t>(40 CFR 63.825(b)(8))</w:t>
            </w:r>
          </w:p>
          <w:p w14:paraId="7219E45A" w14:textId="77777777" w:rsidR="00E11DE9" w:rsidRPr="000852FE" w:rsidRDefault="000852FE" w:rsidP="00A016F2">
            <w:pPr>
              <w:numPr>
                <w:ilvl w:val="0"/>
                <w:numId w:val="5"/>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Demonstrate that the capture system and control device limit the organic HAP emission rate to no more than 0.04 kg organic HAP per kg material applied as determined on a monthly as-applied basis.  </w:t>
            </w:r>
            <w:r w:rsidRPr="000852FE">
              <w:rPr>
                <w:rFonts w:ascii="Arial" w:eastAsia="Times New Roman" w:hAnsi="Arial" w:cs="Arial"/>
                <w:b/>
                <w:color w:val="ED0000"/>
                <w:sz w:val="20"/>
                <w:szCs w:val="20"/>
              </w:rPr>
              <w:t>(40 CFR 63.825(b)(9))</w:t>
            </w:r>
          </w:p>
          <w:p w14:paraId="665A371F" w14:textId="77777777" w:rsidR="00E11DE9" w:rsidRPr="000852FE" w:rsidRDefault="000852FE" w:rsidP="00A016F2">
            <w:pPr>
              <w:numPr>
                <w:ilvl w:val="0"/>
                <w:numId w:val="5"/>
              </w:numPr>
              <w:overflowPunct w:val="0"/>
              <w:autoSpaceDE w:val="0"/>
              <w:autoSpaceDN w:val="0"/>
              <w:adjustRightInd w:val="0"/>
              <w:spacing w:before="60" w:after="60" w:line="259" w:lineRule="auto"/>
              <w:jc w:val="left"/>
              <w:textAlignment w:val="baseline"/>
              <w:rPr>
                <w:rFonts w:ascii="Arial" w:eastAsia="Times New Roman" w:hAnsi="Arial" w:cs="Arial"/>
                <w:color w:val="ED0000"/>
                <w:sz w:val="20"/>
                <w:szCs w:val="20"/>
              </w:rPr>
            </w:pPr>
            <w:r w:rsidRPr="000852FE">
              <w:rPr>
                <w:rFonts w:ascii="Arial" w:eastAsia="Times New Roman" w:hAnsi="Arial" w:cs="Arial"/>
                <w:color w:val="ED0000"/>
                <w:sz w:val="20"/>
                <w:szCs w:val="20"/>
              </w:rPr>
              <w:t xml:space="preserve">Demonstrate that the capture system and control device limit the monthly organic HAP emissions to less than the allowable emissions as calculated in accordance with 40 CFR 63.825(e).  </w:t>
            </w:r>
            <w:r w:rsidRPr="000852FE">
              <w:rPr>
                <w:rFonts w:ascii="Arial" w:eastAsia="Times New Roman" w:hAnsi="Arial" w:cs="Arial"/>
                <w:b/>
                <w:color w:val="ED0000"/>
                <w:sz w:val="20"/>
                <w:szCs w:val="20"/>
              </w:rPr>
              <w:t>(40 CFR 63.825(b)(10))</w:t>
            </w:r>
          </w:p>
        </w:tc>
      </w:tr>
    </w:tbl>
    <w:p w14:paraId="5A71243B" w14:textId="77777777" w:rsidR="00E11DE9" w:rsidRPr="00F977CE" w:rsidRDefault="000852FE" w:rsidP="00A016F2">
      <w:pPr>
        <w:overflowPunct w:val="0"/>
        <w:autoSpaceDE w:val="0"/>
        <w:autoSpaceDN w:val="0"/>
        <w:adjustRightInd w:val="0"/>
        <w:spacing w:after="160" w:line="259" w:lineRule="auto"/>
        <w:ind w:left="360" w:hanging="360"/>
        <w:jc w:val="left"/>
        <w:textAlignment w:val="baseline"/>
        <w:rPr>
          <w:rFonts w:ascii="Arial" w:eastAsia="Times New Roman" w:hAnsi="Arial" w:cs="Arial"/>
          <w:sz w:val="20"/>
          <w:szCs w:val="20"/>
        </w:rPr>
      </w:pPr>
      <w:r w:rsidRPr="00E11DE9">
        <w:rPr>
          <w:rFonts w:ascii="Arial" w:eastAsia="Times New Roman" w:hAnsi="Arial" w:cs="Arial"/>
          <w:sz w:val="20"/>
          <w:szCs w:val="20"/>
        </w:rPr>
        <w:t>6.</w:t>
      </w:r>
      <w:r w:rsidRPr="00E11DE9">
        <w:rPr>
          <w:rFonts w:ascii="Arial" w:eastAsia="Times New Roman" w:hAnsi="Arial" w:cs="Arial"/>
          <w:sz w:val="20"/>
          <w:szCs w:val="20"/>
        </w:rPr>
        <w:tab/>
        <w:t xml:space="preserve">For any of the compliance demonstration options using control, if the facility operates more than one capture system or control device, one or more never controlled workstations, or one or more intermittently controllable workstations, compliance shall be demonstrated according to the procedures in 40 CFR 63.825(f) and (g).   </w:t>
      </w:r>
      <w:r w:rsidRPr="00E11DE9">
        <w:rPr>
          <w:rFonts w:ascii="Arial" w:eastAsia="Times New Roman" w:hAnsi="Arial" w:cs="Arial"/>
          <w:b/>
          <w:bCs/>
          <w:sz w:val="20"/>
          <w:szCs w:val="20"/>
        </w:rPr>
        <w:t>(40 CFR 63.825(f) and (g))</w:t>
      </w:r>
    </w:p>
    <w:p w14:paraId="11ECB17E" w14:textId="77777777" w:rsidR="00E11DE9" w:rsidRPr="00F977CE" w:rsidRDefault="000852FE" w:rsidP="00A016F2">
      <w:pPr>
        <w:spacing w:after="160" w:line="259" w:lineRule="auto"/>
        <w:ind w:left="360" w:hanging="360"/>
        <w:jc w:val="left"/>
        <w:rPr>
          <w:rFonts w:ascii="Arial" w:eastAsia="Times New Roman" w:hAnsi="Arial" w:cs="Arial"/>
          <w:sz w:val="20"/>
          <w:szCs w:val="20"/>
        </w:rPr>
      </w:pPr>
      <w:r w:rsidRPr="00E11DE9">
        <w:rPr>
          <w:rFonts w:ascii="Arial" w:eastAsia="Times New Roman" w:hAnsi="Arial" w:cs="Arial"/>
          <w:sz w:val="20"/>
          <w:szCs w:val="20"/>
        </w:rPr>
        <w:t>7.</w:t>
      </w:r>
      <w:r w:rsidRPr="00E11DE9">
        <w:rPr>
          <w:rFonts w:ascii="Arial" w:eastAsia="Times New Roman" w:hAnsi="Arial" w:cs="Arial"/>
          <w:sz w:val="20"/>
          <w:szCs w:val="20"/>
        </w:rPr>
        <w:tab/>
      </w:r>
      <w:r w:rsidRPr="00E11DE9">
        <w:rPr>
          <w:rFonts w:ascii="Arial" w:eastAsia="Times New Roman" w:hAnsi="Arial" w:cs="Arial"/>
          <w:sz w:val="20"/>
          <w:szCs w:val="20"/>
        </w:rPr>
        <w:t xml:space="preserve">For any of the compliance demonstration options using control, if the facility operates more than on capture system or control device and has no never-controlled workstations and no intermittently controlled work stations, compliance shall be demonstrated according to the procedures in 40 CFR 63.825(h).  </w:t>
      </w:r>
      <w:r w:rsidRPr="00E11DE9">
        <w:rPr>
          <w:rFonts w:ascii="Arial" w:eastAsia="Times New Roman" w:hAnsi="Arial" w:cs="Arial"/>
          <w:b/>
          <w:bCs/>
          <w:sz w:val="20"/>
          <w:szCs w:val="20"/>
        </w:rPr>
        <w:t>(40 CFR 63.825(h))</w:t>
      </w:r>
    </w:p>
    <w:p w14:paraId="05542CE2" w14:textId="77777777" w:rsidR="00E11DE9" w:rsidRPr="00F977CE" w:rsidRDefault="000852FE" w:rsidP="0069668A">
      <w:pPr>
        <w:spacing w:after="160" w:line="259" w:lineRule="auto"/>
        <w:rPr>
          <w:rFonts w:ascii="Arial" w:eastAsia="Times New Roman" w:hAnsi="Arial" w:cs="Arial"/>
          <w:bCs/>
          <w:sz w:val="20"/>
          <w:szCs w:val="20"/>
        </w:rPr>
      </w:pPr>
      <w:r w:rsidRPr="00E11DE9">
        <w:rPr>
          <w:rFonts w:ascii="Arial" w:eastAsia="Times New Roman" w:hAnsi="Arial" w:cs="Arial"/>
          <w:b/>
          <w:sz w:val="20"/>
          <w:szCs w:val="20"/>
        </w:rPr>
        <w:t xml:space="preserve">See Appendices </w:t>
      </w:r>
      <w:r w:rsidRPr="000852FE">
        <w:rPr>
          <w:rFonts w:ascii="Arial" w:eastAsia="Times New Roman" w:hAnsi="Arial" w:cs="Arial"/>
          <w:b/>
          <w:color w:val="ED0000"/>
          <w:sz w:val="20"/>
          <w:szCs w:val="20"/>
        </w:rPr>
        <w:t>{Enter 3, 4, and/or 7}</w:t>
      </w:r>
    </w:p>
    <w:p w14:paraId="0DA4873E" w14:textId="77777777" w:rsidR="00E11DE9" w:rsidRPr="00E11DE9" w:rsidRDefault="000852FE" w:rsidP="0069668A">
      <w:pPr>
        <w:pStyle w:val="Heading5"/>
        <w:rPr>
          <w:rFonts w:eastAsia="Times New Roman"/>
        </w:rPr>
      </w:pPr>
      <w:r w:rsidRPr="00E11DE9">
        <w:rPr>
          <w:rFonts w:eastAsia="Times New Roman"/>
        </w:rPr>
        <w:t>VII.  REPORTING</w:t>
      </w:r>
    </w:p>
    <w:p w14:paraId="7BE4FD88" w14:textId="77777777" w:rsidR="00E11DE9" w:rsidRPr="00F977CE" w:rsidRDefault="000852FE" w:rsidP="00A016F2">
      <w:pPr>
        <w:spacing w:after="160" w:line="259" w:lineRule="auto"/>
        <w:jc w:val="left"/>
        <w:rPr>
          <w:rFonts w:ascii="Arial" w:eastAsia="Times New Roman" w:hAnsi="Arial" w:cs="Arial"/>
          <w:bCs/>
          <w:sz w:val="20"/>
          <w:szCs w:val="20"/>
        </w:rPr>
      </w:pPr>
      <w:r w:rsidRPr="00E11DE9">
        <w:rPr>
          <w:rFonts w:ascii="Arial" w:eastAsia="Times New Roman" w:hAnsi="Arial" w:cs="Arial"/>
          <w:b/>
          <w:color w:val="0000FF"/>
          <w:sz w:val="20"/>
          <w:szCs w:val="20"/>
        </w:rPr>
        <w:t>Permit Staff – SC VII.1, 2, and 3, references to Rule 213 are ROP only.  Remove before putting into a PTI. Renumber as appropriate.</w:t>
      </w:r>
    </w:p>
    <w:p w14:paraId="033854AE" w14:textId="77777777" w:rsidR="00E11DE9" w:rsidRPr="00E11DE9" w:rsidRDefault="000852FE" w:rsidP="00CD6624">
      <w:pPr>
        <w:spacing w:before="160" w:after="160" w:line="259" w:lineRule="auto"/>
        <w:ind w:left="360" w:hanging="360"/>
        <w:jc w:val="left"/>
        <w:rPr>
          <w:rFonts w:ascii="Arial" w:eastAsia="Times New Roman" w:hAnsi="Arial" w:cs="Times New Roman"/>
          <w:sz w:val="20"/>
          <w:szCs w:val="20"/>
        </w:rPr>
      </w:pPr>
      <w:r w:rsidRPr="00E11DE9">
        <w:rPr>
          <w:rFonts w:ascii="Arial" w:eastAsia="Times New Roman" w:hAnsi="Arial" w:cs="Times New Roman"/>
          <w:sz w:val="20"/>
          <w:szCs w:val="20"/>
        </w:rPr>
        <w:t>1.</w:t>
      </w:r>
      <w:r w:rsidRPr="00E11DE9">
        <w:rPr>
          <w:rFonts w:ascii="Arial" w:eastAsia="Times New Roman" w:hAnsi="Arial" w:cs="Times New Roman"/>
          <w:sz w:val="20"/>
          <w:szCs w:val="20"/>
        </w:rPr>
        <w:tab/>
        <w:t xml:space="preserve">Prompt reporting of deviations pursuant to General Conditions 21 and 22 of Part A.  </w:t>
      </w:r>
      <w:r w:rsidRPr="00E11DE9">
        <w:rPr>
          <w:rFonts w:ascii="Arial" w:eastAsia="Times New Roman" w:hAnsi="Arial" w:cs="Times New Roman"/>
          <w:b/>
          <w:sz w:val="20"/>
          <w:szCs w:val="20"/>
        </w:rPr>
        <w:t>(R 336.1213(3)(c)(ii))</w:t>
      </w:r>
    </w:p>
    <w:p w14:paraId="05155A23" w14:textId="2F2F33EB" w:rsidR="00E11DE9" w:rsidRPr="00E11DE9" w:rsidRDefault="000852FE" w:rsidP="00CD6624">
      <w:pPr>
        <w:spacing w:before="160" w:after="160" w:line="259" w:lineRule="auto"/>
        <w:ind w:left="360" w:hanging="360"/>
        <w:jc w:val="left"/>
        <w:rPr>
          <w:rFonts w:ascii="Arial" w:eastAsia="Times New Roman" w:hAnsi="Arial" w:cs="Times New Roman"/>
          <w:sz w:val="20"/>
          <w:szCs w:val="20"/>
        </w:rPr>
      </w:pPr>
      <w:r w:rsidRPr="00E11DE9">
        <w:rPr>
          <w:rFonts w:ascii="Arial" w:eastAsia="Times New Roman" w:hAnsi="Arial" w:cs="Times New Roman"/>
          <w:sz w:val="20"/>
          <w:szCs w:val="20"/>
        </w:rPr>
        <w:t>2.</w:t>
      </w:r>
      <w:r w:rsidRPr="00E11DE9">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E11DE9">
        <w:rPr>
          <w:rFonts w:ascii="Arial" w:eastAsia="Times New Roman" w:hAnsi="Arial" w:cs="Times New Roman"/>
          <w:b/>
          <w:sz w:val="20"/>
          <w:szCs w:val="20"/>
        </w:rPr>
        <w:t>(R 336.1213(3)(c)(i))</w:t>
      </w:r>
    </w:p>
    <w:p w14:paraId="042D6149" w14:textId="0D34DEE8" w:rsidR="00E11DE9" w:rsidRPr="00F977CE" w:rsidRDefault="000852FE" w:rsidP="00CD6624">
      <w:pPr>
        <w:spacing w:before="160" w:after="160" w:line="259" w:lineRule="auto"/>
        <w:ind w:left="360" w:hanging="360"/>
        <w:jc w:val="left"/>
        <w:rPr>
          <w:rFonts w:ascii="Arial" w:eastAsia="Times New Roman" w:hAnsi="Arial" w:cs="Times New Roman"/>
          <w:bCs/>
          <w:sz w:val="20"/>
          <w:szCs w:val="20"/>
        </w:rPr>
      </w:pPr>
      <w:r w:rsidRPr="00E11DE9">
        <w:rPr>
          <w:rFonts w:ascii="Arial" w:eastAsia="Times New Roman" w:hAnsi="Arial" w:cs="Times New Roman"/>
          <w:sz w:val="20"/>
          <w:szCs w:val="20"/>
        </w:rPr>
        <w:t>3.</w:t>
      </w:r>
      <w:r w:rsidRPr="00E11DE9">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E11DE9">
        <w:rPr>
          <w:rFonts w:ascii="Arial" w:eastAsia="Times New Roman" w:hAnsi="Arial" w:cs="Times New Roman"/>
          <w:b/>
          <w:sz w:val="20"/>
          <w:szCs w:val="20"/>
        </w:rPr>
        <w:t>(R 336.1213(4)(c))</w:t>
      </w:r>
    </w:p>
    <w:p w14:paraId="19C104C3" w14:textId="77777777" w:rsidR="00E11DE9" w:rsidRPr="00E11DE9" w:rsidRDefault="000852FE" w:rsidP="00CD6624">
      <w:pPr>
        <w:tabs>
          <w:tab w:val="left" w:pos="360"/>
        </w:tabs>
        <w:spacing w:before="160" w:after="160" w:line="259" w:lineRule="auto"/>
        <w:ind w:left="360" w:hanging="360"/>
        <w:jc w:val="left"/>
        <w:rPr>
          <w:rFonts w:ascii="Arial" w:eastAsia="Times New Roman" w:hAnsi="Arial" w:cs="Arial"/>
          <w:sz w:val="20"/>
          <w:szCs w:val="20"/>
        </w:rPr>
      </w:pPr>
      <w:r w:rsidRPr="00E11DE9">
        <w:rPr>
          <w:rFonts w:ascii="Arial" w:eastAsia="Times New Roman" w:hAnsi="Arial" w:cs="Arial"/>
          <w:sz w:val="20"/>
          <w:szCs w:val="20"/>
        </w:rPr>
        <w:t>4.</w:t>
      </w:r>
      <w:r w:rsidRPr="00E11DE9">
        <w:rPr>
          <w:rFonts w:ascii="Arial" w:eastAsia="Times New Roman" w:hAnsi="Arial" w:cs="Arial"/>
          <w:sz w:val="20"/>
          <w:szCs w:val="20"/>
        </w:rPr>
        <w:tab/>
        <w:t xml:space="preserve">The permittee shall submit all applicable reports specified in 40 CFR Part 63, Subpart A General Provisions as described in Table 1 to 40 CFR Part 63, Subpart KK.  </w:t>
      </w:r>
      <w:r w:rsidRPr="00E11DE9">
        <w:rPr>
          <w:rFonts w:ascii="Arial" w:eastAsia="Times New Roman" w:hAnsi="Arial" w:cs="Arial"/>
          <w:b/>
          <w:sz w:val="20"/>
          <w:szCs w:val="20"/>
        </w:rPr>
        <w:t>(40 CFR Part 63, Subparts A and KK)</w:t>
      </w:r>
    </w:p>
    <w:p w14:paraId="6A6DEBF8" w14:textId="77777777" w:rsidR="00E11DE9" w:rsidRPr="00E11DE9" w:rsidRDefault="000852FE" w:rsidP="00CD6624">
      <w:pPr>
        <w:tabs>
          <w:tab w:val="left" w:pos="360"/>
        </w:tabs>
        <w:spacing w:before="160" w:after="160" w:line="259" w:lineRule="auto"/>
        <w:ind w:left="360" w:hanging="360"/>
        <w:jc w:val="left"/>
        <w:rPr>
          <w:rFonts w:ascii="Arial" w:eastAsia="Times New Roman" w:hAnsi="Arial" w:cs="Times New Roman"/>
          <w:sz w:val="20"/>
          <w:szCs w:val="20"/>
        </w:rPr>
      </w:pPr>
      <w:r w:rsidRPr="00E11DE9">
        <w:rPr>
          <w:rFonts w:ascii="Arial" w:eastAsia="Times New Roman" w:hAnsi="Arial" w:cs="Times New Roman"/>
          <w:sz w:val="20"/>
          <w:szCs w:val="20"/>
        </w:rPr>
        <w:t>5.</w:t>
      </w:r>
      <w:r w:rsidRPr="00E11DE9">
        <w:rPr>
          <w:rFonts w:ascii="Arial" w:eastAsia="Times New Roman" w:hAnsi="Arial" w:cs="Times New Roman"/>
          <w:sz w:val="20"/>
          <w:szCs w:val="20"/>
        </w:rPr>
        <w:tab/>
      </w:r>
      <w:r w:rsidRPr="00E11DE9">
        <w:rPr>
          <w:rFonts w:ascii="Arial" w:eastAsia="Times New Roman" w:hAnsi="Arial" w:cs="Arial"/>
          <w:sz w:val="20"/>
          <w:szCs w:val="20"/>
        </w:rPr>
        <w:t xml:space="preserve">The permittee shall submit the applicable reports specified in 40 CFR 63.830(b)(1) through (b)(6).  These include </w:t>
      </w:r>
      <w:r w:rsidRPr="00E11DE9">
        <w:rPr>
          <w:rFonts w:ascii="Arial" w:eastAsia="Times New Roman" w:hAnsi="Arial" w:cs="Times New Roman"/>
          <w:sz w:val="20"/>
          <w:szCs w:val="20"/>
        </w:rPr>
        <w:t xml:space="preserve">an initial notification required in 40 CFR 63.9(b), a Notification of Performance Tests specified in 40 CFR 63.7, and 40 CFR 63.9(e), a site-specific test plan required under 40 CFR 63.7(c)(2), and a Notification of Compliance Status specified in 40 CFR 63.9(h).  </w:t>
      </w:r>
      <w:r w:rsidRPr="00E11DE9">
        <w:rPr>
          <w:rFonts w:ascii="Arial" w:eastAsia="Times New Roman" w:hAnsi="Arial" w:cs="Times New Roman"/>
          <w:b/>
          <w:sz w:val="20"/>
          <w:szCs w:val="20"/>
        </w:rPr>
        <w:t>(40 CFR 63.830)</w:t>
      </w:r>
    </w:p>
    <w:p w14:paraId="795D05A9" w14:textId="77777777" w:rsidR="00E11DE9" w:rsidRPr="00E11DE9" w:rsidRDefault="000852FE" w:rsidP="00CD6624">
      <w:pPr>
        <w:spacing w:before="160" w:after="160" w:line="259" w:lineRule="auto"/>
        <w:ind w:left="360" w:hanging="360"/>
        <w:jc w:val="left"/>
        <w:rPr>
          <w:rFonts w:ascii="Arial" w:eastAsia="Times New Roman" w:hAnsi="Arial" w:cs="Times New Roman"/>
          <w:sz w:val="20"/>
          <w:szCs w:val="20"/>
        </w:rPr>
      </w:pPr>
      <w:r w:rsidRPr="00E11DE9">
        <w:rPr>
          <w:rFonts w:ascii="Arial" w:eastAsia="Times New Roman" w:hAnsi="Arial" w:cs="Times New Roman"/>
          <w:sz w:val="20"/>
          <w:szCs w:val="20"/>
        </w:rPr>
        <w:t>6.</w:t>
      </w:r>
      <w:r w:rsidRPr="00E11DE9">
        <w:rPr>
          <w:rFonts w:ascii="Arial" w:eastAsia="Times New Roman" w:hAnsi="Arial" w:cs="Times New Roman"/>
          <w:sz w:val="20"/>
          <w:szCs w:val="20"/>
        </w:rPr>
        <w:tab/>
        <w:t xml:space="preserve">A summary report specified in 40 CFR 63.10(e)(3) of </w:t>
      </w:r>
      <w:r w:rsidRPr="00E11DE9">
        <w:rPr>
          <w:rFonts w:ascii="Arial" w:eastAsia="Times New Roman" w:hAnsi="Arial" w:cs="Arial"/>
          <w:sz w:val="20"/>
          <w:szCs w:val="20"/>
        </w:rPr>
        <w:t>40 CFR Part 63, Subpart KK</w:t>
      </w:r>
      <w:r w:rsidRPr="00E11DE9">
        <w:rPr>
          <w:rFonts w:ascii="Arial" w:eastAsia="Times New Roman" w:hAnsi="Arial" w:cs="Times New Roman"/>
          <w:sz w:val="20"/>
          <w:szCs w:val="20"/>
        </w:rPr>
        <w:t xml:space="preserve"> shall be submitted on a semi-annual basis (i.e., once every 6-month period).  These summary reports are required even if the affected source does not have any control devices or does not take the performance of any control devices into account in demonstrating compliance with the emission limitations in 40 CFR 63.824 or 40 CFR 63.825.  In addition to a report of operating parameter exceedances as required by 40 CFR 63.10(e)(3)(i</w:t>
      </w:r>
      <w:r w:rsidRPr="00E11DE9">
        <w:rPr>
          <w:rFonts w:ascii="Arial" w:eastAsia="Times New Roman" w:hAnsi="Arial" w:cs="Times New Roman"/>
          <w:sz w:val="20"/>
          <w:szCs w:val="20"/>
        </w:rPr>
        <w:t xml:space="preserve">), the summary report shall include, as applicable:  </w:t>
      </w:r>
      <w:r w:rsidRPr="00E11DE9">
        <w:rPr>
          <w:rFonts w:ascii="Arial" w:eastAsia="Times New Roman" w:hAnsi="Arial" w:cs="Times New Roman"/>
          <w:b/>
          <w:sz w:val="20"/>
          <w:szCs w:val="20"/>
        </w:rPr>
        <w:t>(</w:t>
      </w:r>
      <w:r w:rsidRPr="00E11DE9">
        <w:rPr>
          <w:rFonts w:ascii="Arial" w:eastAsia="Times New Roman" w:hAnsi="Arial" w:cs="Arial"/>
          <w:b/>
          <w:sz w:val="20"/>
          <w:szCs w:val="20"/>
        </w:rPr>
        <w:t>40 CFR 63.830(b)</w:t>
      </w:r>
      <w:r w:rsidRPr="00E11DE9">
        <w:rPr>
          <w:rFonts w:ascii="Arial" w:eastAsia="Times New Roman" w:hAnsi="Arial" w:cs="Times New Roman"/>
          <w:b/>
          <w:sz w:val="20"/>
          <w:szCs w:val="20"/>
        </w:rPr>
        <w:t>(6))</w:t>
      </w:r>
    </w:p>
    <w:p w14:paraId="00AF0F2C" w14:textId="77777777" w:rsidR="00E11DE9" w:rsidRPr="00E11DE9" w:rsidRDefault="000852FE" w:rsidP="00CD6624">
      <w:pPr>
        <w:spacing w:before="160" w:after="160" w:line="259" w:lineRule="auto"/>
        <w:ind w:left="360"/>
        <w:jc w:val="left"/>
        <w:rPr>
          <w:rFonts w:ascii="Arial" w:eastAsia="Times New Roman" w:hAnsi="Arial" w:cs="Times New Roman"/>
          <w:sz w:val="20"/>
          <w:szCs w:val="20"/>
        </w:rPr>
      </w:pPr>
      <w:r w:rsidRPr="00E11DE9">
        <w:rPr>
          <w:rFonts w:ascii="Arial" w:eastAsia="Times New Roman" w:hAnsi="Arial" w:cs="Times New Roman"/>
          <w:sz w:val="20"/>
          <w:szCs w:val="20"/>
        </w:rPr>
        <w:t>a.</w:t>
      </w:r>
      <w:r w:rsidRPr="00E11DE9">
        <w:rPr>
          <w:rFonts w:ascii="Arial" w:eastAsia="Times New Roman" w:hAnsi="Arial" w:cs="Times New Roman"/>
          <w:sz w:val="20"/>
          <w:szCs w:val="20"/>
        </w:rPr>
        <w:tab/>
        <w:t xml:space="preserve">Exceedances of the standards in 40 CFR 63.824 - 63.825.  </w:t>
      </w:r>
      <w:r w:rsidRPr="00E11DE9">
        <w:rPr>
          <w:rFonts w:ascii="Arial" w:eastAsia="Times New Roman" w:hAnsi="Arial" w:cs="Times New Roman"/>
          <w:b/>
          <w:sz w:val="20"/>
          <w:szCs w:val="20"/>
        </w:rPr>
        <w:t>(</w:t>
      </w:r>
      <w:r w:rsidRPr="00E11DE9">
        <w:rPr>
          <w:rFonts w:ascii="Arial" w:eastAsia="Times New Roman" w:hAnsi="Arial" w:cs="Arial"/>
          <w:b/>
          <w:sz w:val="20"/>
          <w:szCs w:val="20"/>
        </w:rPr>
        <w:t>40 CFR 63.830(b)</w:t>
      </w:r>
      <w:r w:rsidRPr="00E11DE9">
        <w:rPr>
          <w:rFonts w:ascii="Arial" w:eastAsia="Times New Roman" w:hAnsi="Arial" w:cs="Times New Roman"/>
          <w:b/>
          <w:sz w:val="20"/>
          <w:szCs w:val="20"/>
        </w:rPr>
        <w:t>(6)(i))</w:t>
      </w:r>
    </w:p>
    <w:p w14:paraId="56E5B851" w14:textId="77777777" w:rsidR="00E11DE9" w:rsidRPr="00E11DE9" w:rsidRDefault="000852FE" w:rsidP="00CD6624">
      <w:pPr>
        <w:spacing w:before="160" w:after="160" w:line="259" w:lineRule="auto"/>
        <w:ind w:left="360"/>
        <w:jc w:val="left"/>
        <w:rPr>
          <w:rFonts w:ascii="Arial" w:eastAsia="Times New Roman" w:hAnsi="Arial" w:cs="Times New Roman"/>
          <w:sz w:val="20"/>
          <w:szCs w:val="20"/>
        </w:rPr>
      </w:pPr>
      <w:r w:rsidRPr="00E11DE9">
        <w:rPr>
          <w:rFonts w:ascii="Arial" w:eastAsia="Times New Roman" w:hAnsi="Arial" w:cs="Times New Roman"/>
          <w:sz w:val="20"/>
          <w:szCs w:val="20"/>
        </w:rPr>
        <w:t>b.</w:t>
      </w:r>
      <w:r w:rsidRPr="00E11DE9">
        <w:rPr>
          <w:rFonts w:ascii="Arial" w:eastAsia="Times New Roman" w:hAnsi="Arial" w:cs="Times New Roman"/>
          <w:sz w:val="20"/>
          <w:szCs w:val="20"/>
        </w:rPr>
        <w:tab/>
        <w:t xml:space="preserve">Exceedances of either of the criteria of 40 CFR 63.820(a)(2).  </w:t>
      </w:r>
      <w:r w:rsidRPr="00E11DE9">
        <w:rPr>
          <w:rFonts w:ascii="Arial" w:eastAsia="Times New Roman" w:hAnsi="Arial" w:cs="Times New Roman"/>
          <w:b/>
          <w:sz w:val="20"/>
          <w:szCs w:val="20"/>
        </w:rPr>
        <w:t>(</w:t>
      </w:r>
      <w:r w:rsidRPr="00E11DE9">
        <w:rPr>
          <w:rFonts w:ascii="Arial" w:eastAsia="Times New Roman" w:hAnsi="Arial" w:cs="Arial"/>
          <w:b/>
          <w:sz w:val="20"/>
          <w:szCs w:val="20"/>
        </w:rPr>
        <w:t>40 CFR 63.830(b)</w:t>
      </w:r>
      <w:r w:rsidRPr="00E11DE9">
        <w:rPr>
          <w:rFonts w:ascii="Arial" w:eastAsia="Times New Roman" w:hAnsi="Arial" w:cs="Times New Roman"/>
          <w:b/>
          <w:sz w:val="20"/>
          <w:szCs w:val="20"/>
        </w:rPr>
        <w:t>(6)(ii))</w:t>
      </w:r>
    </w:p>
    <w:p w14:paraId="45DCD125" w14:textId="77777777" w:rsidR="00E11DE9" w:rsidRPr="00E11DE9" w:rsidRDefault="000852FE" w:rsidP="00CD6624">
      <w:pPr>
        <w:spacing w:before="160" w:after="160" w:line="259" w:lineRule="auto"/>
        <w:ind w:left="720" w:hanging="360"/>
        <w:jc w:val="left"/>
        <w:rPr>
          <w:rFonts w:ascii="Arial" w:eastAsia="Times New Roman" w:hAnsi="Arial" w:cs="Times New Roman"/>
          <w:sz w:val="20"/>
          <w:szCs w:val="20"/>
        </w:rPr>
      </w:pPr>
      <w:r w:rsidRPr="00E11DE9">
        <w:rPr>
          <w:rFonts w:ascii="Arial" w:eastAsia="Times New Roman" w:hAnsi="Arial" w:cs="Times New Roman"/>
          <w:sz w:val="20"/>
          <w:szCs w:val="20"/>
        </w:rPr>
        <w:lastRenderedPageBreak/>
        <w:t>c.</w:t>
      </w:r>
      <w:r w:rsidRPr="00E11DE9">
        <w:rPr>
          <w:rFonts w:ascii="Arial" w:eastAsia="Times New Roman" w:hAnsi="Arial" w:cs="Times New Roman"/>
          <w:sz w:val="20"/>
          <w:szCs w:val="20"/>
        </w:rPr>
        <w:tab/>
        <w:t xml:space="preserve">Exceedances of the criterion of 40 CFR 63.821(b)(1) and the criterion of 40 CFR 63.821(b)(2) in the same month.  </w:t>
      </w:r>
      <w:r w:rsidRPr="00E11DE9">
        <w:rPr>
          <w:rFonts w:ascii="Arial" w:eastAsia="Times New Roman" w:hAnsi="Arial" w:cs="Times New Roman"/>
          <w:b/>
          <w:sz w:val="20"/>
          <w:szCs w:val="20"/>
        </w:rPr>
        <w:t>(</w:t>
      </w:r>
      <w:r w:rsidRPr="00E11DE9">
        <w:rPr>
          <w:rFonts w:ascii="Arial" w:eastAsia="Times New Roman" w:hAnsi="Arial" w:cs="Arial"/>
          <w:b/>
          <w:sz w:val="20"/>
          <w:szCs w:val="20"/>
        </w:rPr>
        <w:t>40 CFR 63.830(b)</w:t>
      </w:r>
      <w:r w:rsidRPr="00E11DE9">
        <w:rPr>
          <w:rFonts w:ascii="Arial" w:eastAsia="Times New Roman" w:hAnsi="Arial" w:cs="Times New Roman"/>
          <w:b/>
          <w:sz w:val="20"/>
          <w:szCs w:val="20"/>
        </w:rPr>
        <w:t>(6)(iii)</w:t>
      </w:r>
    </w:p>
    <w:p w14:paraId="435055F4" w14:textId="77777777" w:rsidR="00E11DE9" w:rsidRPr="00E11DE9" w:rsidRDefault="000852FE" w:rsidP="00CD6624">
      <w:pPr>
        <w:spacing w:before="160" w:after="160" w:line="259" w:lineRule="auto"/>
        <w:ind w:left="360"/>
        <w:jc w:val="left"/>
        <w:rPr>
          <w:rFonts w:ascii="Arial" w:eastAsia="Times New Roman" w:hAnsi="Arial" w:cs="Times New Roman"/>
          <w:sz w:val="20"/>
          <w:szCs w:val="20"/>
        </w:rPr>
      </w:pPr>
      <w:r w:rsidRPr="00E11DE9">
        <w:rPr>
          <w:rFonts w:ascii="Arial" w:eastAsia="Times New Roman" w:hAnsi="Arial" w:cs="Times New Roman"/>
          <w:sz w:val="20"/>
          <w:szCs w:val="20"/>
        </w:rPr>
        <w:t>d.</w:t>
      </w:r>
      <w:r w:rsidRPr="00E11DE9">
        <w:rPr>
          <w:rFonts w:ascii="Arial" w:eastAsia="Times New Roman" w:hAnsi="Arial" w:cs="Times New Roman"/>
          <w:sz w:val="20"/>
          <w:szCs w:val="20"/>
        </w:rPr>
        <w:tab/>
      </w:r>
      <w:r w:rsidRPr="00E11DE9">
        <w:rPr>
          <w:rFonts w:ascii="Arial" w:eastAsia="Times New Roman" w:hAnsi="Arial" w:cs="Times New Roman"/>
          <w:sz w:val="20"/>
          <w:szCs w:val="20"/>
        </w:rPr>
        <w:t xml:space="preserve">Exceedances of the criterion of 40 CFR 63.821(a)(2)(ii)(A).  </w:t>
      </w:r>
      <w:r w:rsidRPr="00E11DE9">
        <w:rPr>
          <w:rFonts w:ascii="Arial" w:eastAsia="Times New Roman" w:hAnsi="Arial" w:cs="Times New Roman"/>
          <w:b/>
          <w:sz w:val="20"/>
          <w:szCs w:val="20"/>
        </w:rPr>
        <w:t>(</w:t>
      </w:r>
      <w:r w:rsidRPr="00E11DE9">
        <w:rPr>
          <w:rFonts w:ascii="Arial" w:eastAsia="Times New Roman" w:hAnsi="Arial" w:cs="Arial"/>
          <w:b/>
          <w:sz w:val="20"/>
          <w:szCs w:val="20"/>
        </w:rPr>
        <w:t>40 CFR 63.830(b)</w:t>
      </w:r>
      <w:r w:rsidRPr="00E11DE9">
        <w:rPr>
          <w:rFonts w:ascii="Arial" w:eastAsia="Times New Roman" w:hAnsi="Arial" w:cs="Times New Roman"/>
          <w:b/>
          <w:sz w:val="20"/>
          <w:szCs w:val="20"/>
        </w:rPr>
        <w:t>(6)(iv))</w:t>
      </w:r>
    </w:p>
    <w:p w14:paraId="7BFE3F7D" w14:textId="77777777" w:rsidR="00E11DE9" w:rsidRPr="00E11DE9" w:rsidRDefault="000852FE" w:rsidP="00CD6624">
      <w:pPr>
        <w:spacing w:before="160" w:after="160" w:line="259" w:lineRule="auto"/>
        <w:ind w:left="720" w:hanging="360"/>
        <w:jc w:val="left"/>
        <w:rPr>
          <w:rFonts w:ascii="Arial" w:eastAsia="Times New Roman" w:hAnsi="Arial" w:cs="Times New Roman"/>
          <w:b/>
          <w:sz w:val="20"/>
          <w:szCs w:val="20"/>
        </w:rPr>
      </w:pPr>
      <w:r w:rsidRPr="00E11DE9">
        <w:rPr>
          <w:rFonts w:ascii="Arial" w:eastAsia="Times New Roman" w:hAnsi="Arial" w:cs="Times New Roman"/>
          <w:sz w:val="20"/>
          <w:szCs w:val="20"/>
        </w:rPr>
        <w:t>e.</w:t>
      </w:r>
      <w:r w:rsidRPr="00E11DE9">
        <w:rPr>
          <w:rFonts w:ascii="Arial" w:eastAsia="Times New Roman" w:hAnsi="Arial" w:cs="Times New Roman"/>
          <w:sz w:val="20"/>
          <w:szCs w:val="20"/>
        </w:rPr>
        <w:tab/>
        <w:t>The number, duration, and a brief description for each type of malfunction which occurred during the reporting period and which caused or may have caused any applicable emission limitation to be exceeded.  The report must also include a description of actions taken by an owner or operator during a malfunction of an affected source to minimize emissions in accordance with 40 CFR 63.823(b), including actions taken to correct a malfunction.</w:t>
      </w:r>
      <w:r w:rsidRPr="00E11DE9">
        <w:rPr>
          <w:rFonts w:ascii="Arial" w:eastAsia="Times New Roman" w:hAnsi="Arial" w:cs="Arial"/>
          <w:sz w:val="20"/>
          <w:szCs w:val="20"/>
        </w:rPr>
        <w:t xml:space="preserve"> </w:t>
      </w:r>
      <w:r w:rsidRPr="00E11DE9">
        <w:rPr>
          <w:rFonts w:ascii="Arial" w:eastAsia="Times New Roman" w:hAnsi="Arial" w:cs="Times New Roman"/>
          <w:b/>
          <w:sz w:val="20"/>
          <w:szCs w:val="20"/>
        </w:rPr>
        <w:t>(</w:t>
      </w:r>
      <w:bookmarkStart w:id="2" w:name="_Hlk119684695"/>
      <w:r w:rsidRPr="00E11DE9">
        <w:rPr>
          <w:rFonts w:ascii="Arial" w:eastAsia="Times New Roman" w:hAnsi="Arial" w:cs="Arial"/>
          <w:b/>
          <w:sz w:val="20"/>
          <w:szCs w:val="20"/>
        </w:rPr>
        <w:t>40 CFR 63.830</w:t>
      </w:r>
      <w:bookmarkEnd w:id="2"/>
      <w:r w:rsidRPr="00E11DE9">
        <w:rPr>
          <w:rFonts w:ascii="Arial" w:eastAsia="Times New Roman" w:hAnsi="Arial" w:cs="Arial"/>
          <w:b/>
          <w:sz w:val="20"/>
          <w:szCs w:val="20"/>
        </w:rPr>
        <w:t>(b)</w:t>
      </w:r>
      <w:r w:rsidRPr="00E11DE9">
        <w:rPr>
          <w:rFonts w:ascii="Arial" w:eastAsia="Times New Roman" w:hAnsi="Arial" w:cs="Times New Roman"/>
          <w:b/>
          <w:sz w:val="20"/>
          <w:szCs w:val="20"/>
        </w:rPr>
        <w:t>(6)(v))</w:t>
      </w:r>
      <w:r w:rsidRPr="00E11DE9">
        <w:rPr>
          <w:rFonts w:ascii="Arial" w:eastAsia="Times New Roman" w:hAnsi="Arial" w:cs="Arial"/>
          <w:sz w:val="20"/>
          <w:szCs w:val="20"/>
        </w:rPr>
        <w:t xml:space="preserve"> </w:t>
      </w:r>
    </w:p>
    <w:p w14:paraId="36B2F926" w14:textId="434285DA" w:rsidR="003B3F8F" w:rsidRPr="003B3F8F" w:rsidRDefault="000852FE" w:rsidP="00CD6624">
      <w:pPr>
        <w:spacing w:before="160" w:after="160" w:line="259" w:lineRule="auto"/>
        <w:ind w:left="360" w:hanging="360"/>
        <w:jc w:val="left"/>
        <w:rPr>
          <w:rFonts w:ascii="Arial" w:eastAsia="Times New Roman" w:hAnsi="Arial" w:cs="Times New Roman"/>
          <w:sz w:val="20"/>
          <w:szCs w:val="20"/>
        </w:rPr>
      </w:pPr>
      <w:bookmarkStart w:id="3" w:name="_Hlk190782552"/>
      <w:r w:rsidRPr="003B3F8F">
        <w:rPr>
          <w:rFonts w:ascii="Arial" w:eastAsia="Times New Roman" w:hAnsi="Arial" w:cs="Times New Roman"/>
          <w:sz w:val="20"/>
          <w:szCs w:val="20"/>
        </w:rPr>
        <w:t>7.</w:t>
      </w:r>
      <w:r w:rsidRPr="003B3F8F">
        <w:rPr>
          <w:rFonts w:ascii="Arial" w:eastAsia="Times New Roman" w:hAnsi="Arial" w:cs="Times New Roman"/>
          <w:sz w:val="20"/>
          <w:szCs w:val="20"/>
        </w:rPr>
        <w:tab/>
        <w:t xml:space="preserve">Within 60 days after the date of completing each performance test, as defined in 40 CFR 63.2 and as required by </w:t>
      </w:r>
      <w:r w:rsidRPr="003B3F8F">
        <w:rPr>
          <w:rFonts w:ascii="Arial" w:eastAsia="Times New Roman" w:hAnsi="Arial" w:cs="Arial"/>
          <w:sz w:val="20"/>
          <w:szCs w:val="20"/>
        </w:rPr>
        <w:t>40 CFR Part 63, Subpart KK</w:t>
      </w:r>
      <w:r w:rsidRPr="003B3F8F">
        <w:rPr>
          <w:rFonts w:ascii="Arial" w:eastAsia="Times New Roman" w:hAnsi="Arial" w:cs="Times New Roman"/>
          <w:sz w:val="20"/>
          <w:szCs w:val="20"/>
        </w:rPr>
        <w:t xml:space="preserve">, the permittee must submit performance test data, except opacity data, electronically to USEPA's Central Data Exchange by using the </w:t>
      </w:r>
      <w:hyperlink r:id="rId5" w:history="1">
        <w:r w:rsidR="003B3F8F" w:rsidRPr="00CD6624">
          <w:rPr>
            <w:rStyle w:val="Hyperlink"/>
            <w:rFonts w:ascii="Arial" w:eastAsia="Times New Roman" w:hAnsi="Arial" w:cs="Times New Roman"/>
            <w:color w:val="0000FF"/>
            <w:sz w:val="20"/>
            <w:szCs w:val="20"/>
          </w:rPr>
          <w:t>ERT</w:t>
        </w:r>
      </w:hyperlink>
      <w:r w:rsidRPr="003B3F8F">
        <w:rPr>
          <w:rFonts w:ascii="Arial" w:eastAsia="Times New Roman" w:hAnsi="Arial" w:cs="Times New Roman"/>
          <w:sz w:val="20"/>
          <w:szCs w:val="20"/>
        </w:rPr>
        <w:t xml:space="preserve"> or other compatible electronic spreadsheet.  Only data collected using test methods compatible with ERT are subject to this requirement to be submitted electronically into USEPA's WebFIRE database.  </w:t>
      </w:r>
      <w:r w:rsidRPr="003B3F8F">
        <w:rPr>
          <w:rFonts w:ascii="Arial" w:eastAsia="Times New Roman" w:hAnsi="Arial" w:cs="Times New Roman"/>
          <w:b/>
          <w:bCs/>
          <w:sz w:val="20"/>
          <w:szCs w:val="20"/>
        </w:rPr>
        <w:t>(40 CFR 63.830(c)(1))</w:t>
      </w:r>
    </w:p>
    <w:p w14:paraId="0B773BC8" w14:textId="5F90806F" w:rsidR="003B3F8F" w:rsidRPr="003B3F8F" w:rsidRDefault="000852FE" w:rsidP="00CD6624">
      <w:pPr>
        <w:numPr>
          <w:ilvl w:val="0"/>
          <w:numId w:val="6"/>
        </w:numPr>
        <w:spacing w:before="160" w:after="160" w:line="259" w:lineRule="auto"/>
        <w:jc w:val="left"/>
        <w:rPr>
          <w:rFonts w:ascii="Arial" w:eastAsia="Times New Roman" w:hAnsi="Arial" w:cs="Times New Roman"/>
          <w:b/>
          <w:bCs/>
          <w:sz w:val="20"/>
          <w:szCs w:val="20"/>
        </w:rPr>
      </w:pPr>
      <w:r w:rsidRPr="003B3F8F">
        <w:rPr>
          <w:rFonts w:ascii="Arial" w:eastAsia="Times New Roman" w:hAnsi="Arial" w:cs="Times New Roman"/>
          <w:sz w:val="20"/>
          <w:szCs w:val="20"/>
        </w:rPr>
        <w:t xml:space="preserve">The permittee shall submit the results of any performance tests to the Department within 60 days following the last date of the test.  The permittee shall submit any performance test reports in a format approved by the AQD.  </w:t>
      </w:r>
      <w:r w:rsidRPr="003B3F8F">
        <w:rPr>
          <w:rFonts w:ascii="Arial" w:eastAsia="Times New Roman" w:hAnsi="Arial" w:cs="Times New Roman"/>
          <w:b/>
          <w:bCs/>
          <w:sz w:val="20"/>
          <w:szCs w:val="20"/>
        </w:rPr>
        <w:t xml:space="preserve">(R 336.1213(3)(c), </w:t>
      </w:r>
      <w:r w:rsidR="00172DDC">
        <w:rPr>
          <w:rFonts w:ascii="Arial" w:eastAsia="Times New Roman" w:hAnsi="Arial" w:cs="Times New Roman"/>
          <w:b/>
          <w:bCs/>
          <w:sz w:val="20"/>
          <w:szCs w:val="20"/>
        </w:rPr>
        <w:t>R 336.2001(4)</w:t>
      </w:r>
      <w:r w:rsidRPr="003B3F8F">
        <w:rPr>
          <w:rFonts w:ascii="Arial" w:eastAsia="Times New Roman" w:hAnsi="Arial" w:cs="Times New Roman"/>
          <w:b/>
          <w:bCs/>
          <w:sz w:val="20"/>
          <w:szCs w:val="20"/>
        </w:rPr>
        <w:t>)</w:t>
      </w:r>
    </w:p>
    <w:bookmarkEnd w:id="3"/>
    <w:p w14:paraId="1834A3DC" w14:textId="77777777" w:rsidR="00E11DE9" w:rsidRPr="00F977CE" w:rsidRDefault="000852FE" w:rsidP="00CD6624">
      <w:pPr>
        <w:spacing w:before="160" w:after="160" w:line="259" w:lineRule="auto"/>
        <w:rPr>
          <w:rFonts w:ascii="Arial" w:eastAsia="Times New Roman" w:hAnsi="Arial" w:cs="Arial"/>
          <w:bCs/>
          <w:sz w:val="20"/>
          <w:szCs w:val="20"/>
        </w:rPr>
      </w:pPr>
      <w:r w:rsidRPr="00E11DE9">
        <w:rPr>
          <w:rFonts w:ascii="Arial" w:eastAsia="Times New Roman" w:hAnsi="Arial" w:cs="Arial"/>
          <w:b/>
          <w:sz w:val="20"/>
          <w:szCs w:val="20"/>
        </w:rPr>
        <w:t>See Appendix 8</w:t>
      </w:r>
      <w:r w:rsidRPr="00E11DE9">
        <w:rPr>
          <w:rFonts w:ascii="Arial" w:eastAsia="Times New Roman" w:hAnsi="Arial" w:cs="Arial"/>
          <w:b/>
          <w:bCs/>
          <w:color w:val="0000FF"/>
          <w:sz w:val="20"/>
          <w:szCs w:val="20"/>
        </w:rPr>
        <w:t xml:space="preserve">- </w:t>
      </w:r>
      <w:r w:rsidRPr="00E11DE9">
        <w:rPr>
          <w:rFonts w:ascii="Arial" w:eastAsia="Times New Roman" w:hAnsi="Arial" w:cs="Arial"/>
          <w:b/>
          <w:color w:val="0000FF"/>
          <w:sz w:val="20"/>
          <w:szCs w:val="20"/>
        </w:rPr>
        <w:t>Permit Staff: Remove if PTI since this is ROP only.</w:t>
      </w:r>
    </w:p>
    <w:p w14:paraId="402CED48" w14:textId="77777777" w:rsidR="00E11DE9" w:rsidRPr="00E11DE9" w:rsidRDefault="000852FE" w:rsidP="0069668A">
      <w:pPr>
        <w:pStyle w:val="Heading5"/>
        <w:rPr>
          <w:rFonts w:eastAsia="Times New Roman"/>
        </w:rPr>
      </w:pPr>
      <w:r w:rsidRPr="00E11DE9">
        <w:rPr>
          <w:rFonts w:eastAsia="Times New Roman"/>
        </w:rPr>
        <w:t>VIII.  STACK/VENT RESTRICTION(S)</w:t>
      </w:r>
    </w:p>
    <w:p w14:paraId="5784E56F" w14:textId="77777777" w:rsidR="00E11DE9" w:rsidRPr="00E11DE9" w:rsidRDefault="000852FE" w:rsidP="0069668A">
      <w:pPr>
        <w:spacing w:after="160" w:line="259" w:lineRule="auto"/>
        <w:rPr>
          <w:rFonts w:ascii="Arial" w:eastAsia="Times New Roman" w:hAnsi="Arial" w:cs="Times New Roman"/>
          <w:sz w:val="20"/>
          <w:szCs w:val="20"/>
        </w:rPr>
      </w:pPr>
      <w:r w:rsidRPr="00E11DE9">
        <w:rPr>
          <w:rFonts w:ascii="Arial" w:eastAsia="Times New Roman" w:hAnsi="Arial" w:cs="Times New Roman"/>
          <w:sz w:val="20"/>
          <w:szCs w:val="20"/>
        </w:rPr>
        <w:t>NA</w:t>
      </w:r>
    </w:p>
    <w:p w14:paraId="08402BE7" w14:textId="77777777" w:rsidR="00E11DE9" w:rsidRPr="00E11DE9" w:rsidRDefault="000852FE" w:rsidP="0069668A">
      <w:pPr>
        <w:pStyle w:val="Heading5"/>
        <w:rPr>
          <w:rFonts w:eastAsia="Times New Roman"/>
        </w:rPr>
      </w:pPr>
      <w:r w:rsidRPr="00E11DE9">
        <w:rPr>
          <w:rFonts w:eastAsia="Times New Roman"/>
        </w:rPr>
        <w:t>IX.  OTHER REQUIREMENT(S)</w:t>
      </w:r>
    </w:p>
    <w:p w14:paraId="70E33F51" w14:textId="77777777" w:rsidR="00E11DE9" w:rsidRPr="00E11DE9" w:rsidRDefault="000852FE" w:rsidP="00A016F2">
      <w:pPr>
        <w:spacing w:after="160" w:line="259" w:lineRule="auto"/>
        <w:ind w:left="360" w:hanging="360"/>
        <w:jc w:val="left"/>
        <w:rPr>
          <w:rFonts w:ascii="Arial" w:eastAsia="Times New Roman" w:hAnsi="Arial" w:cs="Times New Roman"/>
          <w:sz w:val="20"/>
          <w:szCs w:val="20"/>
        </w:rPr>
      </w:pPr>
      <w:r w:rsidRPr="00E11DE9">
        <w:rPr>
          <w:rFonts w:ascii="Arial" w:eastAsia="Times New Roman" w:hAnsi="Arial" w:cs="Times New Roman"/>
          <w:sz w:val="20"/>
          <w:szCs w:val="20"/>
        </w:rPr>
        <w:t>1.</w:t>
      </w:r>
      <w:r w:rsidRPr="00E11DE9">
        <w:rPr>
          <w:rFonts w:ascii="Arial" w:eastAsia="Times New Roman" w:hAnsi="Arial" w:cs="Times New Roman"/>
          <w:sz w:val="20"/>
          <w:szCs w:val="20"/>
        </w:rPr>
        <w:tab/>
      </w:r>
      <w:r w:rsidRPr="00E11DE9">
        <w:rPr>
          <w:rFonts w:ascii="Arial" w:eastAsia="Times New Roman" w:hAnsi="Arial" w:cs="Times New Roman"/>
          <w:sz w:val="20"/>
          <w:szCs w:val="20"/>
        </w:rPr>
        <w:t>The permittee shall comply with all applicable provisions of the National Emission Standards for Hazardous Air Pollutants, as specified in 40 CFR Parts 9 and 63, Subpart A and Subpart KK for the Printing and Publishing Industry by the initial compliance date.</w:t>
      </w:r>
      <w:r w:rsidRPr="00E11DE9">
        <w:rPr>
          <w:rFonts w:ascii="Arial" w:eastAsia="Times New Roman" w:hAnsi="Arial" w:cs="Times New Roman"/>
          <w:szCs w:val="20"/>
        </w:rPr>
        <w:t xml:space="preserve">  </w:t>
      </w:r>
      <w:r w:rsidRPr="00E11DE9">
        <w:rPr>
          <w:rFonts w:ascii="Arial" w:eastAsia="Times New Roman" w:hAnsi="Arial" w:cs="Times New Roman"/>
          <w:b/>
          <w:sz w:val="20"/>
          <w:szCs w:val="20"/>
        </w:rPr>
        <w:t>(40 CFR Part 63, Subparts A and KK</w:t>
      </w:r>
      <w:r w:rsidRPr="00E11DE9">
        <w:rPr>
          <w:rFonts w:ascii="Arial" w:eastAsia="Times New Roman" w:hAnsi="Arial" w:cs="Arial"/>
          <w:b/>
          <w:sz w:val="20"/>
          <w:szCs w:val="20"/>
        </w:rPr>
        <w:t xml:space="preserve">) </w:t>
      </w:r>
    </w:p>
    <w:p w14:paraId="3252038C" w14:textId="77777777" w:rsidR="00E11DE9" w:rsidRPr="00E11DE9" w:rsidRDefault="000852FE" w:rsidP="003C1115">
      <w:pPr>
        <w:rPr>
          <w:rFonts w:ascii="Arial" w:eastAsia="Times New Roman" w:hAnsi="Arial" w:cs="Times New Roman"/>
          <w:sz w:val="20"/>
          <w:szCs w:val="20"/>
        </w:rPr>
      </w:pPr>
      <w:bookmarkStart w:id="4" w:name="_Hlk119681739"/>
      <w:bookmarkStart w:id="5" w:name="_Hlk87275860"/>
      <w:r w:rsidRPr="00E11DE9">
        <w:rPr>
          <w:rFonts w:ascii="Arial" w:eastAsia="Times New Roman" w:hAnsi="Arial" w:cs="Times New Roman"/>
          <w:color w:val="0000FF"/>
          <w:sz w:val="20"/>
          <w:szCs w:val="20"/>
        </w:rPr>
        <w:t>Remove these footnotes if no PTIs are associated with this flexible group.</w:t>
      </w:r>
      <w:bookmarkEnd w:id="4"/>
    </w:p>
    <w:bookmarkEnd w:id="5"/>
    <w:p w14:paraId="0F5EDFDD" w14:textId="77777777" w:rsidR="00E11DE9" w:rsidRPr="00402608" w:rsidRDefault="000852FE" w:rsidP="00A016F2">
      <w:pPr>
        <w:spacing w:before="240" w:after="20"/>
        <w:rPr>
          <w:rFonts w:ascii="Arial" w:eastAsia="Times New Roman" w:hAnsi="Arial" w:cs="Times New Roman"/>
          <w:b/>
          <w:sz w:val="20"/>
          <w:szCs w:val="20"/>
        </w:rPr>
      </w:pPr>
      <w:r w:rsidRPr="00402608">
        <w:rPr>
          <w:rFonts w:ascii="Arial" w:eastAsia="Times New Roman" w:hAnsi="Arial" w:cs="Times New Roman"/>
          <w:b/>
          <w:sz w:val="20"/>
          <w:szCs w:val="20"/>
        </w:rPr>
        <w:t>Footnotes:</w:t>
      </w:r>
    </w:p>
    <w:p w14:paraId="45BED822" w14:textId="77777777" w:rsidR="00E11DE9" w:rsidRPr="00E11DE9" w:rsidRDefault="000852FE" w:rsidP="00A016F2">
      <w:pPr>
        <w:spacing w:before="20" w:after="20"/>
        <w:rPr>
          <w:rFonts w:ascii="Arial" w:eastAsia="Times New Roman" w:hAnsi="Arial" w:cs="Times New Roman"/>
          <w:sz w:val="20"/>
          <w:szCs w:val="20"/>
        </w:rPr>
      </w:pPr>
      <w:r w:rsidRPr="00E11DE9">
        <w:rPr>
          <w:rFonts w:ascii="Arial" w:eastAsia="Times New Roman" w:hAnsi="Arial" w:cs="Times New Roman"/>
          <w:sz w:val="20"/>
          <w:szCs w:val="20"/>
          <w:vertAlign w:val="superscript"/>
        </w:rPr>
        <w:t>1</w:t>
      </w:r>
      <w:r w:rsidRPr="00E11DE9">
        <w:rPr>
          <w:rFonts w:ascii="Arial" w:eastAsia="Times New Roman" w:hAnsi="Arial" w:cs="Times New Roman"/>
          <w:sz w:val="20"/>
          <w:szCs w:val="20"/>
        </w:rPr>
        <w:t>This condition is state only enforceable and was established pursuant to Rule 201(1)(b).</w:t>
      </w:r>
    </w:p>
    <w:p w14:paraId="07B12170" w14:textId="0D2FE14C" w:rsidR="00317585" w:rsidRPr="00F977CE" w:rsidRDefault="000852FE" w:rsidP="00A016F2">
      <w:pPr>
        <w:spacing w:before="20" w:after="20"/>
        <w:rPr>
          <w:rFonts w:ascii="Arial" w:hAnsi="Arial" w:cs="Arial"/>
          <w:sz w:val="20"/>
          <w:szCs w:val="20"/>
        </w:rPr>
      </w:pPr>
      <w:r w:rsidRPr="00E11DE9">
        <w:rPr>
          <w:rFonts w:ascii="Arial" w:eastAsia="Times New Roman" w:hAnsi="Arial" w:cs="Times New Roman"/>
          <w:sz w:val="20"/>
          <w:szCs w:val="20"/>
          <w:vertAlign w:val="superscript"/>
        </w:rPr>
        <w:t>2</w:t>
      </w:r>
      <w:r w:rsidRPr="00E11DE9">
        <w:rPr>
          <w:rFonts w:ascii="Arial" w:eastAsia="Times New Roman" w:hAnsi="Arial" w:cs="Times New Roman"/>
          <w:sz w:val="20"/>
          <w:szCs w:val="20"/>
        </w:rPr>
        <w:t>This condition is federally enforceable and was established pursuant to Rule 201(1)(a).</w:t>
      </w:r>
    </w:p>
    <w:sectPr w:rsidR="00317585" w:rsidRPr="00F977CE" w:rsidSect="00E11DE9">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8A0B492"/>
    <w:lvl w:ilvl="0">
      <w:numFmt w:val="bullet"/>
      <w:lvlText w:val="*"/>
      <w:lvlJc w:val="left"/>
      <w:pPr>
        <w:ind w:left="0" w:firstLine="0"/>
      </w:pPr>
    </w:lvl>
  </w:abstractNum>
  <w:abstractNum w:abstractNumId="1" w15:restartNumberingAfterBreak="0">
    <w:nsid w:val="1C0473E7"/>
    <w:multiLevelType w:val="singleLevel"/>
    <w:tmpl w:val="AEC2FEB8"/>
    <w:lvl w:ilvl="0">
      <w:start w:val="1"/>
      <w:numFmt w:val="decimal"/>
      <w:lvlText w:val="%1."/>
      <w:legacy w:legacy="1" w:legacySpace="0" w:legacyIndent="360"/>
      <w:lvlJc w:val="left"/>
      <w:pPr>
        <w:ind w:left="360" w:hanging="360"/>
      </w:pPr>
    </w:lvl>
  </w:abstractNum>
  <w:abstractNum w:abstractNumId="2" w15:restartNumberingAfterBreak="0">
    <w:nsid w:val="1F663919"/>
    <w:multiLevelType w:val="hybridMultilevel"/>
    <w:tmpl w:val="86FCF9EE"/>
    <w:lvl w:ilvl="0" w:tplc="27846788">
      <w:start w:val="1"/>
      <w:numFmt w:val="bullet"/>
      <w:lvlText w:val=""/>
      <w:lvlJc w:val="left"/>
      <w:pPr>
        <w:tabs>
          <w:tab w:val="num" w:pos="720"/>
        </w:tabs>
        <w:ind w:left="720" w:hanging="360"/>
      </w:pPr>
      <w:rPr>
        <w:rFonts w:ascii="Symbol" w:hAnsi="Symbol" w:hint="default"/>
      </w:rPr>
    </w:lvl>
    <w:lvl w:ilvl="1" w:tplc="452C01E4">
      <w:start w:val="1"/>
      <w:numFmt w:val="bullet"/>
      <w:lvlText w:val="o"/>
      <w:lvlJc w:val="left"/>
      <w:pPr>
        <w:tabs>
          <w:tab w:val="num" w:pos="1440"/>
        </w:tabs>
        <w:ind w:left="1440" w:hanging="360"/>
      </w:pPr>
      <w:rPr>
        <w:rFonts w:ascii="Courier New" w:hAnsi="Courier New" w:cs="Courier New" w:hint="default"/>
      </w:rPr>
    </w:lvl>
    <w:lvl w:ilvl="2" w:tplc="CA580D12">
      <w:start w:val="1"/>
      <w:numFmt w:val="bullet"/>
      <w:lvlText w:val=""/>
      <w:lvlJc w:val="left"/>
      <w:pPr>
        <w:tabs>
          <w:tab w:val="num" w:pos="2160"/>
        </w:tabs>
        <w:ind w:left="2160" w:hanging="360"/>
      </w:pPr>
      <w:rPr>
        <w:rFonts w:ascii="Wingdings" w:hAnsi="Wingdings" w:hint="default"/>
      </w:rPr>
    </w:lvl>
    <w:lvl w:ilvl="3" w:tplc="C478D96A">
      <w:start w:val="1"/>
      <w:numFmt w:val="bullet"/>
      <w:lvlText w:val=""/>
      <w:lvlJc w:val="left"/>
      <w:pPr>
        <w:tabs>
          <w:tab w:val="num" w:pos="2880"/>
        </w:tabs>
        <w:ind w:left="2880" w:hanging="360"/>
      </w:pPr>
      <w:rPr>
        <w:rFonts w:ascii="Symbol" w:hAnsi="Symbol" w:hint="default"/>
      </w:rPr>
    </w:lvl>
    <w:lvl w:ilvl="4" w:tplc="45A422C8">
      <w:start w:val="1"/>
      <w:numFmt w:val="bullet"/>
      <w:lvlText w:val="o"/>
      <w:lvlJc w:val="left"/>
      <w:pPr>
        <w:tabs>
          <w:tab w:val="num" w:pos="3600"/>
        </w:tabs>
        <w:ind w:left="3600" w:hanging="360"/>
      </w:pPr>
      <w:rPr>
        <w:rFonts w:ascii="Courier New" w:hAnsi="Courier New" w:cs="Courier New" w:hint="default"/>
      </w:rPr>
    </w:lvl>
    <w:lvl w:ilvl="5" w:tplc="CA0252DA">
      <w:start w:val="1"/>
      <w:numFmt w:val="bullet"/>
      <w:lvlText w:val=""/>
      <w:lvlJc w:val="left"/>
      <w:pPr>
        <w:tabs>
          <w:tab w:val="num" w:pos="4320"/>
        </w:tabs>
        <w:ind w:left="4320" w:hanging="360"/>
      </w:pPr>
      <w:rPr>
        <w:rFonts w:ascii="Wingdings" w:hAnsi="Wingdings" w:hint="default"/>
      </w:rPr>
    </w:lvl>
    <w:lvl w:ilvl="6" w:tplc="E4D2EC00">
      <w:start w:val="1"/>
      <w:numFmt w:val="bullet"/>
      <w:lvlText w:val=""/>
      <w:lvlJc w:val="left"/>
      <w:pPr>
        <w:tabs>
          <w:tab w:val="num" w:pos="5040"/>
        </w:tabs>
        <w:ind w:left="5040" w:hanging="360"/>
      </w:pPr>
      <w:rPr>
        <w:rFonts w:ascii="Symbol" w:hAnsi="Symbol" w:hint="default"/>
      </w:rPr>
    </w:lvl>
    <w:lvl w:ilvl="7" w:tplc="6D803D78">
      <w:start w:val="1"/>
      <w:numFmt w:val="bullet"/>
      <w:lvlText w:val="o"/>
      <w:lvlJc w:val="left"/>
      <w:pPr>
        <w:tabs>
          <w:tab w:val="num" w:pos="5760"/>
        </w:tabs>
        <w:ind w:left="5760" w:hanging="360"/>
      </w:pPr>
      <w:rPr>
        <w:rFonts w:ascii="Courier New" w:hAnsi="Courier New" w:cs="Courier New" w:hint="default"/>
      </w:rPr>
    </w:lvl>
    <w:lvl w:ilvl="8" w:tplc="8738D36E">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8053D8"/>
    <w:multiLevelType w:val="hybridMultilevel"/>
    <w:tmpl w:val="94CA905E"/>
    <w:lvl w:ilvl="0" w:tplc="804688EC">
      <w:start w:val="8"/>
      <w:numFmt w:val="decimal"/>
      <w:lvlText w:val="%1."/>
      <w:lvlJc w:val="left"/>
      <w:pPr>
        <w:ind w:left="360" w:hanging="360"/>
      </w:pPr>
      <w:rPr>
        <w:rFonts w:hint="default"/>
        <w:b w:val="0"/>
      </w:rPr>
    </w:lvl>
    <w:lvl w:ilvl="1" w:tplc="5260A8F6" w:tentative="1">
      <w:start w:val="1"/>
      <w:numFmt w:val="lowerLetter"/>
      <w:lvlText w:val="%2."/>
      <w:lvlJc w:val="left"/>
      <w:pPr>
        <w:ind w:left="1440" w:hanging="360"/>
      </w:pPr>
    </w:lvl>
    <w:lvl w:ilvl="2" w:tplc="504616AE" w:tentative="1">
      <w:start w:val="1"/>
      <w:numFmt w:val="lowerRoman"/>
      <w:lvlText w:val="%3."/>
      <w:lvlJc w:val="right"/>
      <w:pPr>
        <w:ind w:left="2160" w:hanging="180"/>
      </w:pPr>
    </w:lvl>
    <w:lvl w:ilvl="3" w:tplc="9342CEA6" w:tentative="1">
      <w:start w:val="1"/>
      <w:numFmt w:val="decimal"/>
      <w:lvlText w:val="%4."/>
      <w:lvlJc w:val="left"/>
      <w:pPr>
        <w:ind w:left="2880" w:hanging="360"/>
      </w:pPr>
    </w:lvl>
    <w:lvl w:ilvl="4" w:tplc="5CF82FC8" w:tentative="1">
      <w:start w:val="1"/>
      <w:numFmt w:val="lowerLetter"/>
      <w:lvlText w:val="%5."/>
      <w:lvlJc w:val="left"/>
      <w:pPr>
        <w:ind w:left="3600" w:hanging="360"/>
      </w:pPr>
    </w:lvl>
    <w:lvl w:ilvl="5" w:tplc="8D1856E6" w:tentative="1">
      <w:start w:val="1"/>
      <w:numFmt w:val="lowerRoman"/>
      <w:lvlText w:val="%6."/>
      <w:lvlJc w:val="right"/>
      <w:pPr>
        <w:ind w:left="4320" w:hanging="180"/>
      </w:pPr>
    </w:lvl>
    <w:lvl w:ilvl="6" w:tplc="16B44046" w:tentative="1">
      <w:start w:val="1"/>
      <w:numFmt w:val="decimal"/>
      <w:lvlText w:val="%7."/>
      <w:lvlJc w:val="left"/>
      <w:pPr>
        <w:ind w:left="5040" w:hanging="360"/>
      </w:pPr>
    </w:lvl>
    <w:lvl w:ilvl="7" w:tplc="500EB4A0" w:tentative="1">
      <w:start w:val="1"/>
      <w:numFmt w:val="lowerLetter"/>
      <w:lvlText w:val="%8."/>
      <w:lvlJc w:val="left"/>
      <w:pPr>
        <w:ind w:left="5760" w:hanging="360"/>
      </w:pPr>
    </w:lvl>
    <w:lvl w:ilvl="8" w:tplc="CC185D9A" w:tentative="1">
      <w:start w:val="1"/>
      <w:numFmt w:val="lowerRoman"/>
      <w:lvlText w:val="%9."/>
      <w:lvlJc w:val="right"/>
      <w:pPr>
        <w:ind w:left="6480" w:hanging="180"/>
      </w:pPr>
    </w:lvl>
  </w:abstractNum>
  <w:abstractNum w:abstractNumId="4" w15:restartNumberingAfterBreak="0">
    <w:nsid w:val="503716AC"/>
    <w:multiLevelType w:val="singleLevel"/>
    <w:tmpl w:val="67D6093E"/>
    <w:lvl w:ilvl="0">
      <w:start w:val="1"/>
      <w:numFmt w:val="decimal"/>
      <w:lvlText w:val="%1."/>
      <w:legacy w:legacy="1" w:legacySpace="0" w:legacyIndent="360"/>
      <w:lvlJc w:val="left"/>
      <w:pPr>
        <w:ind w:left="360" w:hanging="360"/>
      </w:pPr>
      <w:rPr>
        <w:b w:val="0"/>
      </w:rPr>
    </w:lvl>
  </w:abstractNum>
  <w:abstractNum w:abstractNumId="5" w15:restartNumberingAfterBreak="0">
    <w:nsid w:val="58EA4DD7"/>
    <w:multiLevelType w:val="hybridMultilevel"/>
    <w:tmpl w:val="D35AA97C"/>
    <w:lvl w:ilvl="0" w:tplc="4EE29658">
      <w:start w:val="1"/>
      <w:numFmt w:val="decimal"/>
      <w:lvlText w:val="%1."/>
      <w:lvlJc w:val="left"/>
      <w:pPr>
        <w:tabs>
          <w:tab w:val="num" w:pos="360"/>
        </w:tabs>
        <w:ind w:left="360" w:hanging="360"/>
      </w:pPr>
      <w:rPr>
        <w:rFonts w:ascii="Arial" w:hAnsi="Arial" w:cs="Times New Roman" w:hint="default"/>
        <w:b w:val="0"/>
        <w:i w:val="0"/>
        <w:color w:val="FF0000"/>
        <w:sz w:val="20"/>
      </w:rPr>
    </w:lvl>
    <w:lvl w:ilvl="1" w:tplc="432429D8">
      <w:start w:val="1"/>
      <w:numFmt w:val="lowerLetter"/>
      <w:lvlText w:val="%2."/>
      <w:lvlJc w:val="left"/>
      <w:pPr>
        <w:tabs>
          <w:tab w:val="num" w:pos="1440"/>
        </w:tabs>
        <w:ind w:left="1440" w:hanging="360"/>
      </w:pPr>
    </w:lvl>
    <w:lvl w:ilvl="2" w:tplc="C442A1C6">
      <w:start w:val="1"/>
      <w:numFmt w:val="lowerRoman"/>
      <w:lvlText w:val="%3."/>
      <w:lvlJc w:val="right"/>
      <w:pPr>
        <w:tabs>
          <w:tab w:val="num" w:pos="2160"/>
        </w:tabs>
        <w:ind w:left="2160" w:hanging="180"/>
      </w:pPr>
    </w:lvl>
    <w:lvl w:ilvl="3" w:tplc="BC385DA2">
      <w:start w:val="1"/>
      <w:numFmt w:val="decimal"/>
      <w:lvlText w:val="%4."/>
      <w:lvlJc w:val="left"/>
      <w:pPr>
        <w:tabs>
          <w:tab w:val="num" w:pos="2880"/>
        </w:tabs>
        <w:ind w:left="2880" w:hanging="360"/>
      </w:pPr>
    </w:lvl>
    <w:lvl w:ilvl="4" w:tplc="93640988">
      <w:start w:val="1"/>
      <w:numFmt w:val="lowerLetter"/>
      <w:lvlText w:val="%5."/>
      <w:lvlJc w:val="left"/>
      <w:pPr>
        <w:tabs>
          <w:tab w:val="num" w:pos="3600"/>
        </w:tabs>
        <w:ind w:left="3600" w:hanging="360"/>
      </w:pPr>
    </w:lvl>
    <w:lvl w:ilvl="5" w:tplc="04D24A9A">
      <w:start w:val="1"/>
      <w:numFmt w:val="lowerRoman"/>
      <w:lvlText w:val="%6."/>
      <w:lvlJc w:val="right"/>
      <w:pPr>
        <w:tabs>
          <w:tab w:val="num" w:pos="4320"/>
        </w:tabs>
        <w:ind w:left="4320" w:hanging="180"/>
      </w:pPr>
    </w:lvl>
    <w:lvl w:ilvl="6" w:tplc="6B22969C">
      <w:start w:val="1"/>
      <w:numFmt w:val="decimal"/>
      <w:lvlText w:val="%7."/>
      <w:lvlJc w:val="left"/>
      <w:pPr>
        <w:tabs>
          <w:tab w:val="num" w:pos="5040"/>
        </w:tabs>
        <w:ind w:left="5040" w:hanging="360"/>
      </w:pPr>
    </w:lvl>
    <w:lvl w:ilvl="7" w:tplc="5BBC8DC0">
      <w:start w:val="1"/>
      <w:numFmt w:val="lowerLetter"/>
      <w:lvlText w:val="%8."/>
      <w:lvlJc w:val="left"/>
      <w:pPr>
        <w:tabs>
          <w:tab w:val="num" w:pos="5760"/>
        </w:tabs>
        <w:ind w:left="5760" w:hanging="360"/>
      </w:pPr>
    </w:lvl>
    <w:lvl w:ilvl="8" w:tplc="65888C12">
      <w:start w:val="1"/>
      <w:numFmt w:val="lowerRoman"/>
      <w:lvlText w:val="%9."/>
      <w:lvlJc w:val="right"/>
      <w:pPr>
        <w:tabs>
          <w:tab w:val="num" w:pos="6480"/>
        </w:tabs>
        <w:ind w:left="6480" w:hanging="180"/>
      </w:pPr>
    </w:lvl>
  </w:abstractNum>
  <w:num w:numId="1" w16cid:durableId="1097948180">
    <w:abstractNumId w:val="2"/>
  </w:num>
  <w:num w:numId="2" w16cid:durableId="14011761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3180714">
    <w:abstractNumId w:val="4"/>
    <w:lvlOverride w:ilvl="0">
      <w:startOverride w:val="1"/>
    </w:lvlOverride>
  </w:num>
  <w:num w:numId="4" w16cid:durableId="1894387245">
    <w:abstractNumId w:val="0"/>
    <w:lvlOverride w:ilvl="0">
      <w:lvl w:ilvl="0">
        <w:numFmt w:val="decimal"/>
        <w:lvlText w:val=""/>
        <w:legacy w:legacy="1" w:legacySpace="0" w:legacyIndent="360"/>
        <w:lvlJc w:val="left"/>
        <w:pPr>
          <w:ind w:left="1080" w:hanging="360"/>
        </w:pPr>
        <w:rPr>
          <w:rFonts w:ascii="Symbol" w:hAnsi="Symbol" w:hint="default"/>
        </w:rPr>
      </w:lvl>
    </w:lvlOverride>
  </w:num>
  <w:num w:numId="5" w16cid:durableId="1764259708">
    <w:abstractNumId w:val="1"/>
    <w:lvlOverride w:ilvl="0">
      <w:startOverride w:val="1"/>
    </w:lvlOverride>
  </w:num>
  <w:num w:numId="6" w16cid:durableId="1238190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852FE"/>
    <w:rsid w:val="00090B49"/>
    <w:rsid w:val="00172DDC"/>
    <w:rsid w:val="00201631"/>
    <w:rsid w:val="00236934"/>
    <w:rsid w:val="00317585"/>
    <w:rsid w:val="003255EA"/>
    <w:rsid w:val="00372F4F"/>
    <w:rsid w:val="003A42C5"/>
    <w:rsid w:val="003B3F8F"/>
    <w:rsid w:val="003C1115"/>
    <w:rsid w:val="003F0F8C"/>
    <w:rsid w:val="00402608"/>
    <w:rsid w:val="005745E9"/>
    <w:rsid w:val="00587C29"/>
    <w:rsid w:val="005E33FC"/>
    <w:rsid w:val="006426D8"/>
    <w:rsid w:val="0069668A"/>
    <w:rsid w:val="006B57D8"/>
    <w:rsid w:val="006D4DA8"/>
    <w:rsid w:val="00702A36"/>
    <w:rsid w:val="00706430"/>
    <w:rsid w:val="00722D8D"/>
    <w:rsid w:val="00763219"/>
    <w:rsid w:val="0078572E"/>
    <w:rsid w:val="007C10B5"/>
    <w:rsid w:val="007D0062"/>
    <w:rsid w:val="008C62D0"/>
    <w:rsid w:val="00967C75"/>
    <w:rsid w:val="00994D8F"/>
    <w:rsid w:val="009E0E86"/>
    <w:rsid w:val="00A016F2"/>
    <w:rsid w:val="00A138AF"/>
    <w:rsid w:val="00A55A1E"/>
    <w:rsid w:val="00A8495D"/>
    <w:rsid w:val="00AE7894"/>
    <w:rsid w:val="00B6477D"/>
    <w:rsid w:val="00CD6624"/>
    <w:rsid w:val="00D229E0"/>
    <w:rsid w:val="00D827D4"/>
    <w:rsid w:val="00DB7DEE"/>
    <w:rsid w:val="00E11DE9"/>
    <w:rsid w:val="00E259E8"/>
    <w:rsid w:val="00E81307"/>
    <w:rsid w:val="00E963C5"/>
    <w:rsid w:val="00F24441"/>
    <w:rsid w:val="00F45D2B"/>
    <w:rsid w:val="00F97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989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15"/>
  </w:style>
  <w:style w:type="paragraph" w:styleId="Heading1">
    <w:name w:val="heading 1"/>
    <w:basedOn w:val="Normal"/>
    <w:next w:val="Normal"/>
    <w:link w:val="Heading1Char"/>
    <w:uiPriority w:val="9"/>
    <w:qFormat/>
    <w:rsid w:val="00D827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75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827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C1115"/>
    <w:pPr>
      <w:keepNext/>
      <w:keepLines/>
      <w:spacing w:before="2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unhideWhenUsed/>
    <w:qFormat/>
    <w:rsid w:val="00402608"/>
    <w:pPr>
      <w:keepNext/>
      <w:keepLines/>
      <w:spacing w:before="240"/>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DE9"/>
    <w:pPr>
      <w:tabs>
        <w:tab w:val="center" w:pos="4680"/>
        <w:tab w:val="right" w:pos="9360"/>
      </w:tabs>
      <w:spacing w:after="0"/>
    </w:pPr>
  </w:style>
  <w:style w:type="character" w:customStyle="1" w:styleId="HeaderChar">
    <w:name w:val="Header Char"/>
    <w:basedOn w:val="DefaultParagraphFont"/>
    <w:link w:val="Header"/>
    <w:uiPriority w:val="99"/>
    <w:rsid w:val="00E11DE9"/>
  </w:style>
  <w:style w:type="paragraph" w:styleId="Footer">
    <w:name w:val="footer"/>
    <w:basedOn w:val="Normal"/>
    <w:link w:val="FooterChar"/>
    <w:uiPriority w:val="99"/>
    <w:unhideWhenUsed/>
    <w:rsid w:val="00E11DE9"/>
    <w:pPr>
      <w:tabs>
        <w:tab w:val="center" w:pos="4680"/>
        <w:tab w:val="right" w:pos="9360"/>
      </w:tabs>
      <w:spacing w:after="0"/>
    </w:pPr>
  </w:style>
  <w:style w:type="character" w:customStyle="1" w:styleId="FooterChar">
    <w:name w:val="Footer Char"/>
    <w:basedOn w:val="DefaultParagraphFont"/>
    <w:link w:val="Footer"/>
    <w:uiPriority w:val="99"/>
    <w:rsid w:val="00E11DE9"/>
  </w:style>
  <w:style w:type="character" w:customStyle="1" w:styleId="Heading2Char">
    <w:name w:val="Heading 2 Char"/>
    <w:basedOn w:val="DefaultParagraphFont"/>
    <w:link w:val="Heading2"/>
    <w:uiPriority w:val="9"/>
    <w:rsid w:val="00317585"/>
    <w:rPr>
      <w:rFonts w:asciiTheme="majorHAnsi" w:eastAsiaTheme="majorEastAsia" w:hAnsiTheme="majorHAnsi" w:cstheme="majorBidi"/>
      <w:color w:val="2E74B5" w:themeColor="accent1" w:themeShade="BF"/>
      <w:sz w:val="26"/>
      <w:szCs w:val="26"/>
    </w:rPr>
  </w:style>
  <w:style w:type="paragraph" w:customStyle="1" w:styleId="StyleHeading410pt">
    <w:name w:val="Style Heading 4 + 10 pt"/>
    <w:basedOn w:val="Heading3"/>
    <w:link w:val="StyleHeading410ptChar"/>
    <w:qFormat/>
    <w:rsid w:val="00D827D4"/>
    <w:pPr>
      <w:spacing w:before="120" w:after="240"/>
      <w:jc w:val="center"/>
    </w:pPr>
    <w:rPr>
      <w:rFonts w:ascii="Arial" w:eastAsia="Times New Roman" w:hAnsi="Arial" w:cs="Arial"/>
      <w:b/>
      <w:bCs/>
      <w:color w:val="auto"/>
      <w:sz w:val="28"/>
      <w:szCs w:val="28"/>
    </w:rPr>
  </w:style>
  <w:style w:type="character" w:customStyle="1" w:styleId="StyleHeading410ptChar">
    <w:name w:val="Style Heading 4 + 10 pt Char"/>
    <w:basedOn w:val="Heading2Char"/>
    <w:link w:val="StyleHeading410pt"/>
    <w:rsid w:val="00D827D4"/>
    <w:rPr>
      <w:rFonts w:ascii="Arial" w:eastAsia="Times New Roman" w:hAnsi="Arial" w:cs="Arial"/>
      <w:b/>
      <w:bCs/>
      <w:color w:val="2E74B5" w:themeColor="accent1" w:themeShade="BF"/>
      <w:sz w:val="28"/>
      <w:szCs w:val="28"/>
    </w:rPr>
  </w:style>
  <w:style w:type="character" w:customStyle="1" w:styleId="Heading3Char">
    <w:name w:val="Heading 3 Char"/>
    <w:basedOn w:val="DefaultParagraphFont"/>
    <w:link w:val="Heading3"/>
    <w:uiPriority w:val="9"/>
    <w:semiHidden/>
    <w:rsid w:val="00D827D4"/>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D827D4"/>
    <w:rPr>
      <w:rFonts w:asciiTheme="majorHAnsi" w:eastAsiaTheme="majorEastAsia" w:hAnsiTheme="majorHAnsi" w:cstheme="majorBidi"/>
      <w:color w:val="2E74B5" w:themeColor="accent1" w:themeShade="BF"/>
      <w:sz w:val="32"/>
      <w:szCs w:val="32"/>
    </w:rPr>
  </w:style>
  <w:style w:type="character" w:customStyle="1" w:styleId="Heading5Char">
    <w:name w:val="Heading 5 Char"/>
    <w:basedOn w:val="DefaultParagraphFont"/>
    <w:link w:val="Heading5"/>
    <w:uiPriority w:val="9"/>
    <w:rsid w:val="00402608"/>
    <w:rPr>
      <w:rFonts w:ascii="Arial" w:eastAsiaTheme="majorEastAsia" w:hAnsi="Arial" w:cstheme="majorBidi"/>
      <w:b/>
      <w:sz w:val="24"/>
    </w:rPr>
  </w:style>
  <w:style w:type="character" w:customStyle="1" w:styleId="Heading4Char">
    <w:name w:val="Heading 4 Char"/>
    <w:basedOn w:val="DefaultParagraphFont"/>
    <w:link w:val="Heading4"/>
    <w:uiPriority w:val="9"/>
    <w:rsid w:val="003C1115"/>
    <w:rPr>
      <w:rFonts w:ascii="Arial" w:eastAsiaTheme="majorEastAsia" w:hAnsi="Arial" w:cstheme="majorBidi"/>
      <w:b/>
      <w:iCs/>
      <w:sz w:val="24"/>
    </w:rPr>
  </w:style>
  <w:style w:type="paragraph" w:customStyle="1" w:styleId="Heading4A">
    <w:name w:val="Heading 4A"/>
    <w:basedOn w:val="Heading2"/>
    <w:link w:val="Heading4AChar"/>
    <w:qFormat/>
    <w:rsid w:val="00090B49"/>
    <w:pPr>
      <w:keepLines w:val="0"/>
      <w:spacing w:before="120" w:after="60"/>
      <w:jc w:val="center"/>
    </w:pPr>
    <w:rPr>
      <w:rFonts w:ascii="Arial" w:eastAsia="Times New Roman" w:hAnsi="Arial" w:cs="Arial"/>
      <w:b/>
      <w:color w:val="auto"/>
      <w:sz w:val="28"/>
      <w:szCs w:val="20"/>
    </w:rPr>
  </w:style>
  <w:style w:type="character" w:customStyle="1" w:styleId="Heading4AChar">
    <w:name w:val="Heading 4A Char"/>
    <w:basedOn w:val="Heading2Char"/>
    <w:link w:val="Heading4A"/>
    <w:rsid w:val="00090B49"/>
    <w:rPr>
      <w:rFonts w:ascii="Arial" w:eastAsia="Times New Roman" w:hAnsi="Arial" w:cs="Arial"/>
      <w:b/>
      <w:color w:val="2E74B5" w:themeColor="accent1" w:themeShade="BF"/>
      <w:sz w:val="28"/>
      <w:szCs w:val="20"/>
    </w:rPr>
  </w:style>
  <w:style w:type="paragraph" w:customStyle="1" w:styleId="Heading4B">
    <w:name w:val="Heading 4B"/>
    <w:basedOn w:val="Heading4A"/>
    <w:link w:val="Heading4BChar"/>
    <w:qFormat/>
    <w:rsid w:val="00090B49"/>
    <w:pPr>
      <w:spacing w:before="60"/>
    </w:pPr>
  </w:style>
  <w:style w:type="character" w:customStyle="1" w:styleId="Heading4BChar">
    <w:name w:val="Heading 4B Char"/>
    <w:basedOn w:val="Heading4AChar"/>
    <w:link w:val="Heading4B"/>
    <w:rsid w:val="00090B49"/>
    <w:rPr>
      <w:rFonts w:ascii="Arial" w:eastAsia="Times New Roman" w:hAnsi="Arial" w:cs="Arial"/>
      <w:b/>
      <w:color w:val="2E74B5" w:themeColor="accent1" w:themeShade="BF"/>
      <w:sz w:val="28"/>
      <w:szCs w:val="20"/>
    </w:rPr>
  </w:style>
  <w:style w:type="character" w:styleId="Hyperlink">
    <w:name w:val="Hyperlink"/>
    <w:basedOn w:val="DefaultParagraphFont"/>
    <w:uiPriority w:val="99"/>
    <w:unhideWhenUsed/>
    <w:rsid w:val="00A016F2"/>
    <w:rPr>
      <w:color w:val="0563C1" w:themeColor="hyperlink"/>
      <w:u w:val="single"/>
    </w:rPr>
  </w:style>
  <w:style w:type="character" w:styleId="UnresolvedMention">
    <w:name w:val="Unresolved Mention"/>
    <w:basedOn w:val="DefaultParagraphFont"/>
    <w:uiPriority w:val="99"/>
    <w:semiHidden/>
    <w:unhideWhenUsed/>
    <w:rsid w:val="00A01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pa.gov/electronic-reporting-air-emissions/electronic-reporting-tool-er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63-2k-printing-publishing-industry.dotx</Template>
  <TotalTime>4</TotalTime>
  <Pages>6</Pages>
  <Words>2472</Words>
  <Characters>14096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63-2K Major HAP Source-Printing and Publishing Industry</vt:lpstr>
    </vt:vector>
  </TitlesOfParts>
  <Company/>
  <LinksUpToDate>false</LinksUpToDate>
  <CharactersWithSpaces>16535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63-2K Major HAP Source-Printing and Publishing Industry</dc:title>
  <dc:subject>63-2K Major HAP Source-Printing and Publishing Industry</dc:subject>
  <dc:creator>EGLE, Air Quality Division</dc:creator>
  <cp:keywords>AQD, air, ROP, public notice, Title V</cp:keywords>
  <cp:lastModifiedBy>Orent, Kelly (EGLE)</cp:lastModifiedBy>
  <cp:revision>5</cp:revision>
  <dcterms:created xsi:type="dcterms:W3CDTF">2026-04-15T14:01:00Z</dcterms:created>
  <dcterms:modified xsi:type="dcterms:W3CDTF">2026-04-28T17:55:00Z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52f0167f-f187-4005-acb5-90c45e9ee3e4</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2023-10-02T18:42:03Z</vt:lpwstr>
  </property>
  <property fmtid="{D5CDD505-2E9C-101B-9397-08002B2CF9AE}" pid="8" name="MSIP_Label_2f46dfe0-534f-4c95-815c-5b1af86b9823_SiteId">
    <vt:lpwstr>d5fb7087-3777-42ad-966a-892ef47225d1</vt:lpwstr>
  </property>
</Properties>
</file>