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C8304" w14:textId="77777777" w:rsidR="000C7801" w:rsidRPr="00325E7D" w:rsidRDefault="00000000" w:rsidP="00010DCF">
      <w:pPr>
        <w:pStyle w:val="Heading4A"/>
      </w:pPr>
      <w:bookmarkStart w:id="0" w:name="_Toc365978185"/>
      <w:r w:rsidRPr="00325E7D">
        <w:t>FG</w:t>
      </w:r>
      <w:bookmarkEnd w:id="0"/>
      <w:r w:rsidRPr="00010DCF">
        <w:rPr>
          <w:color w:val="EE0000"/>
        </w:rPr>
        <w:t>{ID}</w:t>
      </w:r>
    </w:p>
    <w:p w14:paraId="619B3513" w14:textId="77777777" w:rsidR="000C7801" w:rsidRPr="000C7801" w:rsidRDefault="00000000" w:rsidP="00010DCF">
      <w:pPr>
        <w:pStyle w:val="Heading4B"/>
      </w:pPr>
      <w:r w:rsidRPr="000C7801">
        <w:t>FLEXIBLE GROUP CONDITIONS</w:t>
      </w:r>
    </w:p>
    <w:p w14:paraId="1A50073A" w14:textId="77777777" w:rsidR="000C7801" w:rsidRPr="000C7801" w:rsidRDefault="00000000" w:rsidP="00010DCF">
      <w:pPr>
        <w:spacing w:after="0" w:line="240" w:lineRule="auto"/>
        <w:jc w:val="center"/>
        <w:rPr>
          <w:rFonts w:ascii="Arial" w:eastAsia="Times New Roman" w:hAnsi="Arial" w:cs="Times New Roman"/>
          <w:b/>
          <w:color w:val="0000FF"/>
          <w:sz w:val="24"/>
          <w:szCs w:val="24"/>
        </w:rPr>
      </w:pPr>
      <w:r w:rsidRPr="000C7801">
        <w:rPr>
          <w:rFonts w:ascii="Arial" w:eastAsia="Times New Roman" w:hAnsi="Arial" w:cs="Times New Roman"/>
          <w:b/>
          <w:color w:val="0000FF"/>
          <w:sz w:val="24"/>
          <w:szCs w:val="24"/>
        </w:rPr>
        <w:t xml:space="preserve">Major Source – New or Existing Metal Process Furnace </w:t>
      </w:r>
    </w:p>
    <w:p w14:paraId="15D3BEA1" w14:textId="3A7513F7" w:rsidR="000C7801" w:rsidRPr="00325E7D" w:rsidRDefault="00000000" w:rsidP="00010DCF">
      <w:pPr>
        <w:spacing w:after="0" w:line="240" w:lineRule="auto"/>
        <w:jc w:val="center"/>
        <w:rPr>
          <w:rFonts w:ascii="Arial" w:eastAsia="Times New Roman" w:hAnsi="Arial" w:cs="Times New Roman"/>
          <w:b/>
          <w:color w:val="0000FF"/>
          <w:sz w:val="24"/>
          <w:szCs w:val="24"/>
        </w:rPr>
      </w:pPr>
      <w:r w:rsidRPr="000C7801">
        <w:rPr>
          <w:rFonts w:ascii="Arial" w:eastAsia="Times New Roman" w:hAnsi="Arial" w:cs="Times New Roman"/>
          <w:b/>
          <w:color w:val="0000FF"/>
          <w:sz w:val="24"/>
          <w:szCs w:val="24"/>
        </w:rPr>
        <w:t>(Greater than 10 MMBTU/hr)</w:t>
      </w:r>
    </w:p>
    <w:p w14:paraId="7744E307" w14:textId="12BF524E" w:rsidR="000C7801" w:rsidRPr="000C7801" w:rsidRDefault="00000000" w:rsidP="00010DCF">
      <w:pPr>
        <w:spacing w:before="120" w:line="240" w:lineRule="auto"/>
        <w:rPr>
          <w:rFonts w:ascii="Arial" w:eastAsia="Times New Roman" w:hAnsi="Arial" w:cs="Arial"/>
          <w:sz w:val="20"/>
          <w:szCs w:val="20"/>
        </w:rPr>
      </w:pPr>
      <w:r w:rsidRPr="00A46D4C">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616017A7" w14:textId="71E8131B" w:rsidR="000C7801" w:rsidRPr="00010DCF" w:rsidRDefault="00000000" w:rsidP="00010DCF">
      <w:pPr>
        <w:spacing w:before="120" w:line="240" w:lineRule="auto"/>
        <w:rPr>
          <w:rFonts w:ascii="Arial" w:eastAsia="Times New Roman" w:hAnsi="Arial" w:cs="Arial"/>
          <w:sz w:val="20"/>
          <w:szCs w:val="20"/>
        </w:rPr>
      </w:pPr>
      <w:r w:rsidRPr="000C7801">
        <w:rPr>
          <w:rFonts w:ascii="Arial" w:eastAsia="Times New Roman" w:hAnsi="Arial" w:cs="Arial"/>
          <w:b/>
          <w:color w:val="0000FF"/>
          <w:sz w:val="20"/>
          <w:szCs w:val="20"/>
        </w:rPr>
        <w:t xml:space="preserve">Blue text is guidance or notes on the use of the template.  </w:t>
      </w:r>
      <w:r w:rsidR="00010DCF" w:rsidRPr="00010DCF">
        <w:rPr>
          <w:rFonts w:ascii="Arial" w:eastAsia="Times New Roman" w:hAnsi="Arial" w:cs="Arial"/>
          <w:b/>
          <w:color w:val="0000FF"/>
          <w:sz w:val="20"/>
          <w:szCs w:val="20"/>
        </w:rPr>
        <w:t>DELETE ALL BLUE TEXT PRIOR TO ISSUING THE FINAL PERMIT OR SUBMITTING IT WITH A PERMIT APPLICATION.</w:t>
      </w:r>
    </w:p>
    <w:p w14:paraId="25E8D7E4" w14:textId="77777777" w:rsidR="000C7801" w:rsidRPr="000C7801" w:rsidRDefault="00000000" w:rsidP="00010DCF">
      <w:pPr>
        <w:spacing w:before="120" w:line="240" w:lineRule="auto"/>
        <w:rPr>
          <w:rFonts w:ascii="Arial" w:eastAsia="Times New Roman" w:hAnsi="Arial" w:cs="Times New Roman"/>
          <w:b/>
          <w:color w:val="0000FF"/>
          <w:sz w:val="20"/>
          <w:szCs w:val="20"/>
        </w:rPr>
      </w:pPr>
      <w:r w:rsidRPr="000C7801">
        <w:rPr>
          <w:rFonts w:ascii="Arial" w:eastAsia="Times New Roman" w:hAnsi="Arial" w:cs="Arial"/>
          <w:b/>
          <w:color w:val="0000FF"/>
          <w:sz w:val="20"/>
          <w:szCs w:val="20"/>
        </w:rPr>
        <w:t xml:space="preserve">This template applies to both new and existing metal process furnaces, as defined below.  </w:t>
      </w:r>
      <w:r w:rsidRPr="000C7801">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w:t>
      </w:r>
    </w:p>
    <w:p w14:paraId="0767AB6E" w14:textId="77777777" w:rsidR="000C7801" w:rsidRPr="000C7801" w:rsidRDefault="00000000" w:rsidP="00010DCF">
      <w:pPr>
        <w:spacing w:before="120" w:line="240" w:lineRule="auto"/>
        <w:rPr>
          <w:rFonts w:ascii="Arial" w:eastAsia="Times New Roman" w:hAnsi="Arial" w:cs="Times New Roman"/>
          <w:b/>
          <w:color w:val="0000FF"/>
          <w:sz w:val="20"/>
          <w:szCs w:val="20"/>
        </w:rPr>
      </w:pPr>
      <w:r w:rsidRPr="000C7801">
        <w:rPr>
          <w:rFonts w:ascii="Arial" w:eastAsia="Times New Roman" w:hAnsi="Arial" w:cs="Times New Roman"/>
          <w:b/>
          <w:color w:val="0000FF"/>
          <w:sz w:val="20"/>
          <w:szCs w:val="20"/>
        </w:rPr>
        <w:t xml:space="preserve">Existing sources have 3 years to comply with the requirements of the Boiler MACT after becoming a major source per 40 CFR 63.7495(c)(2).  New sources must comply with the Boiler MACT upon startup per 40 CFR 63.7495(c)(1).  </w:t>
      </w:r>
    </w:p>
    <w:p w14:paraId="371F7E54" w14:textId="77777777" w:rsidR="000C7801" w:rsidRPr="000C7801" w:rsidRDefault="00000000" w:rsidP="00010DCF">
      <w:pPr>
        <w:spacing w:before="120" w:line="240" w:lineRule="auto"/>
        <w:rPr>
          <w:rFonts w:ascii="Arial" w:eastAsia="Times New Roman" w:hAnsi="Arial" w:cs="Arial"/>
          <w:b/>
          <w:color w:val="0000FF"/>
          <w:sz w:val="20"/>
          <w:szCs w:val="20"/>
        </w:rPr>
      </w:pPr>
      <w:r w:rsidRPr="000C7801">
        <w:rPr>
          <w:rFonts w:ascii="Arial" w:eastAsia="Times New Roman" w:hAnsi="Arial" w:cs="Times New Roman"/>
          <w:b/>
          <w:color w:val="0000FF"/>
          <w:sz w:val="20"/>
          <w:szCs w:val="20"/>
        </w:rPr>
        <w:t xml:space="preserve">This template applies to metal process furnaces with a heat input capacity greater than 10 MMBTU/hr.  Units with a heat input capacity less than 10 MMBTU/hr should use the template for small units.  Staff may create separate tables for new and existing units (ex. some units may need to do initial tune-ups while other units have already done it) or combine into one table (ex. all units have done their initial tune-up). </w:t>
      </w:r>
    </w:p>
    <w:p w14:paraId="415C6DE4" w14:textId="18C55B63" w:rsidR="000C7801" w:rsidRPr="000C7801" w:rsidRDefault="00000000" w:rsidP="00010DCF">
      <w:pPr>
        <w:spacing w:before="120" w:line="240" w:lineRule="auto"/>
        <w:rPr>
          <w:rFonts w:ascii="Arial" w:eastAsia="Times New Roman" w:hAnsi="Arial" w:cs="Arial"/>
          <w:sz w:val="20"/>
          <w:szCs w:val="20"/>
        </w:rPr>
      </w:pPr>
      <w:r w:rsidRPr="000C7801">
        <w:rPr>
          <w:rFonts w:ascii="Arial" w:eastAsia="Times New Roman" w:hAnsi="Arial" w:cs="Arial"/>
          <w:b/>
          <w:color w:val="0000FF"/>
          <w:sz w:val="20"/>
          <w:szCs w:val="20"/>
        </w:rPr>
        <w:t xml:space="preserve">If this template is being used for an ROP Reopening or Renewal, </w:t>
      </w:r>
      <w:r w:rsidR="00010DCF">
        <w:rPr>
          <w:rFonts w:ascii="Arial" w:eastAsia="Times New Roman" w:hAnsi="Arial" w:cs="Arial"/>
          <w:b/>
          <w:color w:val="0000FF"/>
          <w:sz w:val="20"/>
          <w:szCs w:val="20"/>
        </w:rPr>
        <w:t>AND</w:t>
      </w:r>
      <w:r w:rsidRPr="000C7801">
        <w:rPr>
          <w:rFonts w:ascii="Arial" w:eastAsia="Times New Roman" w:hAnsi="Arial" w:cs="Arial"/>
          <w:b/>
          <w:color w:val="0000FF"/>
          <w:sz w:val="20"/>
          <w:szCs w:val="20"/>
        </w:rPr>
        <w:t xml:space="preserve"> the MACT conditions were established in a PTI, the appropriate footnotes which reference enforceability must be added to each applicable condition in the template.  </w:t>
      </w:r>
    </w:p>
    <w:p w14:paraId="544298CC" w14:textId="77777777" w:rsidR="000C7801" w:rsidRPr="000C7801" w:rsidRDefault="00000000" w:rsidP="00010DCF">
      <w:pPr>
        <w:pStyle w:val="Heading5"/>
        <w:rPr>
          <w:rFonts w:eastAsia="Times New Roman"/>
        </w:rPr>
      </w:pPr>
      <w:r w:rsidRPr="000C7801">
        <w:rPr>
          <w:rFonts w:eastAsia="Times New Roman"/>
        </w:rPr>
        <w:t>DESCRIPTION</w:t>
      </w:r>
    </w:p>
    <w:p w14:paraId="25D638E6" w14:textId="77777777" w:rsidR="000C7801" w:rsidRPr="000C7801" w:rsidRDefault="00000000" w:rsidP="00A46D4C">
      <w:pPr>
        <w:spacing w:before="240" w:after="240" w:line="240" w:lineRule="auto"/>
        <w:rPr>
          <w:rFonts w:ascii="Arial" w:eastAsia="Times New Roman" w:hAnsi="Arial" w:cs="Arial"/>
          <w:sz w:val="20"/>
          <w:szCs w:val="20"/>
        </w:rPr>
      </w:pPr>
      <w:r w:rsidRPr="000C7801">
        <w:rPr>
          <w:rFonts w:ascii="Arial" w:eastAsia="Times New Roman" w:hAnsi="Arial" w:cs="Arial"/>
          <w:sz w:val="20"/>
          <w:szCs w:val="20"/>
        </w:rPr>
        <w:t xml:space="preserve">Requirements for </w:t>
      </w:r>
      <w:r w:rsidRPr="00A46D4C">
        <w:rPr>
          <w:rFonts w:ascii="Arial" w:eastAsia="Times New Roman" w:hAnsi="Arial" w:cs="Arial"/>
          <w:color w:val="ED0000"/>
          <w:sz w:val="20"/>
          <w:szCs w:val="20"/>
        </w:rPr>
        <w:t>(a/an</w:t>
      </w:r>
      <w:r w:rsidRPr="000C7801">
        <w:rPr>
          <w:rFonts w:ascii="Arial" w:eastAsia="Times New Roman" w:hAnsi="Arial" w:cs="Arial"/>
          <w:color w:val="0000FF"/>
          <w:sz w:val="20"/>
          <w:szCs w:val="20"/>
        </w:rPr>
        <w:t>; if only one unit</w:t>
      </w:r>
      <w:r w:rsidRPr="00A46D4C">
        <w:rPr>
          <w:rFonts w:ascii="Arial" w:eastAsia="Times New Roman" w:hAnsi="Arial" w:cs="Arial"/>
          <w:color w:val="ED0000"/>
          <w:sz w:val="20"/>
          <w:szCs w:val="20"/>
        </w:rPr>
        <w:t xml:space="preserve">) new/ existing/ new and existing (choose one) </w:t>
      </w:r>
      <w:r w:rsidRPr="000C7801">
        <w:rPr>
          <w:rFonts w:ascii="Arial" w:eastAsia="Times New Roman" w:hAnsi="Arial" w:cs="Arial"/>
          <w:sz w:val="20"/>
          <w:szCs w:val="20"/>
        </w:rPr>
        <w:t>metal process furnace</w:t>
      </w:r>
      <w:r w:rsidRPr="00A46D4C">
        <w:rPr>
          <w:rFonts w:ascii="Arial" w:eastAsia="Times New Roman" w:hAnsi="Arial" w:cs="Arial"/>
          <w:color w:val="ED0000"/>
          <w:sz w:val="20"/>
          <w:szCs w:val="20"/>
        </w:rPr>
        <w:t xml:space="preserve">(s) </w:t>
      </w:r>
      <w:r w:rsidRPr="000C7801">
        <w:rPr>
          <w:rFonts w:ascii="Arial" w:eastAsia="Times New Roman" w:hAnsi="Arial" w:cs="Arial"/>
          <w:sz w:val="20"/>
          <w:szCs w:val="20"/>
        </w:rPr>
        <w:t xml:space="preserve">that are designed </w:t>
      </w:r>
      <w:r w:rsidRPr="000C7801">
        <w:rPr>
          <w:rFonts w:ascii="Arial" w:eastAsia="Times New Roman" w:hAnsi="Arial" w:cs="Times New Roman"/>
          <w:sz w:val="20"/>
          <w:szCs w:val="20"/>
        </w:rPr>
        <w:t>with a heat input capacity of 10 MMBTU/hr or greater</w:t>
      </w:r>
      <w:r w:rsidRPr="000C7801">
        <w:rPr>
          <w:rFonts w:ascii="Arial" w:eastAsia="Times New Roman" w:hAnsi="Arial" w:cs="Arial"/>
          <w:sz w:val="20"/>
          <w:szCs w:val="20"/>
        </w:rPr>
        <w:t xml:space="preserve"> at major sources of HAP emissions per 40 CFR Part 63, Subpart DDDDD (Boiler MACT).  Metal process furnaces are a subcategory of process heaters, as defined in the Boiler MACT, which include natural gas-fired annealing furnaces, preheat furnaces, reheat furnaces, aging furnaces, heat treat furnaces, and homogenizing furnaces.  </w:t>
      </w:r>
      <w:r w:rsidRPr="00A46D4C">
        <w:rPr>
          <w:rFonts w:ascii="Arial" w:eastAsia="Times New Roman" w:hAnsi="Arial" w:cs="Times New Roman"/>
          <w:color w:val="ED0000"/>
          <w:sz w:val="20"/>
          <w:szCs w:val="20"/>
        </w:rPr>
        <w:t>{May add specifics for the affected EU(s).}</w:t>
      </w:r>
    </w:p>
    <w:p w14:paraId="2574DE05" w14:textId="7D0F1A3A" w:rsidR="000C7801" w:rsidRPr="000C7801" w:rsidRDefault="00000000" w:rsidP="00A46D4C">
      <w:pPr>
        <w:spacing w:before="240" w:after="240" w:line="240" w:lineRule="auto"/>
        <w:rPr>
          <w:rFonts w:ascii="Arial" w:eastAsia="Times New Roman" w:hAnsi="Arial" w:cs="Arial"/>
          <w:bCs/>
          <w:sz w:val="20"/>
          <w:szCs w:val="20"/>
        </w:rPr>
      </w:pPr>
      <w:r w:rsidRPr="000C7801">
        <w:rPr>
          <w:rFonts w:ascii="Arial" w:eastAsia="Times New Roman" w:hAnsi="Arial" w:cs="Arial"/>
          <w:b/>
          <w:sz w:val="20"/>
          <w:szCs w:val="20"/>
        </w:rPr>
        <w:t>Emission Unit</w:t>
      </w:r>
      <w:r w:rsidR="00010DCF">
        <w:rPr>
          <w:rFonts w:ascii="Arial" w:eastAsia="Times New Roman" w:hAnsi="Arial" w:cs="Arial"/>
          <w:b/>
          <w:sz w:val="20"/>
          <w:szCs w:val="20"/>
        </w:rPr>
        <w:t>(</w:t>
      </w:r>
      <w:r w:rsidRPr="000C7801">
        <w:rPr>
          <w:rFonts w:ascii="Arial" w:eastAsia="Times New Roman" w:hAnsi="Arial" w:cs="Arial"/>
          <w:b/>
          <w:sz w:val="20"/>
          <w:szCs w:val="20"/>
        </w:rPr>
        <w:t>s</w:t>
      </w:r>
      <w:r w:rsidR="00010DCF">
        <w:rPr>
          <w:rFonts w:ascii="Arial" w:eastAsia="Times New Roman" w:hAnsi="Arial" w:cs="Arial"/>
          <w:b/>
          <w:sz w:val="20"/>
          <w:szCs w:val="20"/>
        </w:rPr>
        <w:t>)</w:t>
      </w:r>
      <w:r w:rsidRPr="000C7801">
        <w:rPr>
          <w:rFonts w:ascii="Arial" w:eastAsia="Times New Roman" w:hAnsi="Arial" w:cs="Arial"/>
          <w:b/>
          <w:sz w:val="20"/>
          <w:szCs w:val="20"/>
        </w:rPr>
        <w:t>:</w:t>
      </w:r>
      <w:r w:rsidRPr="000C7801">
        <w:rPr>
          <w:rFonts w:ascii="Arial" w:eastAsia="Times New Roman" w:hAnsi="Arial" w:cs="Arial"/>
          <w:sz w:val="20"/>
          <w:szCs w:val="20"/>
        </w:rPr>
        <w:t xml:space="preserve"> </w:t>
      </w:r>
      <w:r w:rsidRPr="00A46D4C">
        <w:rPr>
          <w:rFonts w:ascii="Arial" w:eastAsia="Times New Roman" w:hAnsi="Arial" w:cs="Arial"/>
          <w:bCs/>
          <w:color w:val="ED0000"/>
          <w:sz w:val="20"/>
          <w:szCs w:val="20"/>
        </w:rPr>
        <w:t>{Site Specific List of Emission Units}</w:t>
      </w:r>
    </w:p>
    <w:p w14:paraId="45A02B46" w14:textId="77777777" w:rsidR="000C7801" w:rsidRPr="000C7801" w:rsidRDefault="00000000" w:rsidP="00010DCF">
      <w:pPr>
        <w:pStyle w:val="Heading5"/>
        <w:rPr>
          <w:rFonts w:eastAsia="Times New Roman"/>
        </w:rPr>
      </w:pPr>
      <w:r w:rsidRPr="000C7801">
        <w:rPr>
          <w:rFonts w:eastAsia="Times New Roman"/>
        </w:rPr>
        <w:t>POLLUTION CONTROL EQUIPMENT</w:t>
      </w:r>
    </w:p>
    <w:p w14:paraId="68A08AE0" w14:textId="35A9D95D" w:rsidR="000C7801" w:rsidRPr="00A46D4C" w:rsidRDefault="00000000" w:rsidP="00A46D4C">
      <w:pPr>
        <w:tabs>
          <w:tab w:val="left" w:pos="7515"/>
        </w:tabs>
        <w:spacing w:before="120" w:line="240" w:lineRule="auto"/>
        <w:rPr>
          <w:rFonts w:ascii="Arial" w:eastAsia="Times New Roman" w:hAnsi="Arial" w:cs="Arial"/>
          <w:color w:val="ED0000"/>
          <w:sz w:val="20"/>
          <w:szCs w:val="20"/>
        </w:rPr>
      </w:pPr>
      <w:r w:rsidRPr="00A46D4C">
        <w:rPr>
          <w:rFonts w:ascii="Arial" w:eastAsia="Times New Roman" w:hAnsi="Arial" w:cs="Times New Roman"/>
          <w:color w:val="ED0000"/>
          <w:sz w:val="20"/>
          <w:szCs w:val="20"/>
        </w:rPr>
        <w:t>{Enter site specific pollution control equipment or</w:t>
      </w:r>
      <w:r w:rsidRPr="00A46D4C">
        <w:rPr>
          <w:rFonts w:ascii="Arial" w:eastAsia="Times New Roman" w:hAnsi="Arial" w:cs="Arial"/>
          <w:color w:val="ED0000"/>
          <w:sz w:val="20"/>
          <w:szCs w:val="20"/>
        </w:rPr>
        <w:t xml:space="preserve"> NA}</w:t>
      </w:r>
    </w:p>
    <w:p w14:paraId="0334EC77" w14:textId="77777777" w:rsidR="000C7801" w:rsidRPr="000C7801" w:rsidRDefault="00000000" w:rsidP="00010DCF">
      <w:pPr>
        <w:pStyle w:val="Heading5"/>
        <w:rPr>
          <w:rFonts w:eastAsia="Times New Roman"/>
        </w:rPr>
      </w:pPr>
      <w:r w:rsidRPr="000C7801">
        <w:rPr>
          <w:rFonts w:eastAsia="Times New Roman"/>
        </w:rPr>
        <w:t>I.  EMISSION LIMIT(S)</w:t>
      </w:r>
    </w:p>
    <w:p w14:paraId="25C041E2" w14:textId="77777777" w:rsidR="000C7801" w:rsidRPr="000C7801" w:rsidRDefault="00000000" w:rsidP="00010DCF">
      <w:pPr>
        <w:spacing w:before="120" w:line="240" w:lineRule="auto"/>
        <w:rPr>
          <w:rFonts w:ascii="Arial" w:eastAsia="Times New Roman" w:hAnsi="Arial" w:cs="Arial"/>
          <w:sz w:val="20"/>
          <w:szCs w:val="20"/>
        </w:rPr>
      </w:pPr>
      <w:r w:rsidRPr="000C7801">
        <w:rPr>
          <w:rFonts w:ascii="Arial" w:eastAsia="Times New Roman" w:hAnsi="Arial" w:cs="Arial"/>
          <w:sz w:val="20"/>
          <w:szCs w:val="20"/>
        </w:rPr>
        <w:t>NA</w:t>
      </w:r>
    </w:p>
    <w:p w14:paraId="78C886D2" w14:textId="77777777" w:rsidR="000C7801" w:rsidRPr="000C7801" w:rsidRDefault="00000000" w:rsidP="00010DCF">
      <w:pPr>
        <w:pStyle w:val="Heading5"/>
        <w:rPr>
          <w:rFonts w:eastAsia="Times New Roman"/>
        </w:rPr>
      </w:pPr>
      <w:r w:rsidRPr="000C7801">
        <w:rPr>
          <w:rFonts w:eastAsia="Times New Roman"/>
        </w:rPr>
        <w:t>II.  MATERIAL LIMIT(S)</w:t>
      </w:r>
    </w:p>
    <w:p w14:paraId="6D992B8D" w14:textId="77777777" w:rsidR="000C7801" w:rsidRPr="000C7801" w:rsidRDefault="00000000" w:rsidP="00010DCF">
      <w:pPr>
        <w:spacing w:before="120" w:line="240" w:lineRule="auto"/>
        <w:ind w:left="360" w:hanging="360"/>
        <w:rPr>
          <w:rFonts w:ascii="Arial" w:eastAsia="Times New Roman" w:hAnsi="Arial" w:cs="Arial"/>
          <w:sz w:val="20"/>
          <w:szCs w:val="20"/>
        </w:rPr>
      </w:pPr>
      <w:r w:rsidRPr="000C7801">
        <w:rPr>
          <w:rFonts w:ascii="Arial" w:eastAsia="Times New Roman" w:hAnsi="Arial" w:cs="Arial"/>
          <w:sz w:val="20"/>
          <w:szCs w:val="20"/>
        </w:rPr>
        <w:t>NA</w:t>
      </w:r>
    </w:p>
    <w:p w14:paraId="3C402061" w14:textId="77777777" w:rsidR="000C7801" w:rsidRPr="000C7801" w:rsidRDefault="00000000" w:rsidP="00010DCF">
      <w:pPr>
        <w:pStyle w:val="Heading5"/>
        <w:rPr>
          <w:rFonts w:eastAsia="Times New Roman"/>
        </w:rPr>
      </w:pPr>
      <w:r w:rsidRPr="000C7801">
        <w:rPr>
          <w:rFonts w:eastAsia="Times New Roman"/>
        </w:rPr>
        <w:t>III.  PROCESS/OPERATIONAL RESTRICTION(S)</w:t>
      </w:r>
    </w:p>
    <w:p w14:paraId="0B298261" w14:textId="77777777" w:rsidR="000C7801" w:rsidRPr="000C7801" w:rsidRDefault="00000000" w:rsidP="00010DCF">
      <w:pPr>
        <w:spacing w:before="120" w:line="240" w:lineRule="auto"/>
        <w:rPr>
          <w:rFonts w:ascii="Arial" w:eastAsia="Times New Roman" w:hAnsi="Arial" w:cs="Times New Roman"/>
          <w:bCs/>
          <w:sz w:val="20"/>
          <w:szCs w:val="20"/>
        </w:rPr>
      </w:pPr>
      <w:bookmarkStart w:id="1" w:name="_Hlk36114646"/>
      <w:r w:rsidRPr="00A46D4C">
        <w:rPr>
          <w:rFonts w:ascii="Arial" w:eastAsia="Times New Roman" w:hAnsi="Arial" w:cs="Times New Roman"/>
          <w:b/>
          <w:color w:val="ED0000"/>
          <w:sz w:val="20"/>
          <w:szCs w:val="20"/>
        </w:rPr>
        <w:t>OPTIONAL</w:t>
      </w:r>
      <w:r w:rsidRPr="00A46D4C">
        <w:rPr>
          <w:rFonts w:ascii="Arial" w:eastAsia="Times New Roman" w:hAnsi="Arial" w:cs="Times New Roman"/>
          <w:bCs/>
          <w:color w:val="ED0000"/>
          <w:sz w:val="20"/>
          <w:szCs w:val="20"/>
        </w:rPr>
        <w:t xml:space="preserve"> – </w:t>
      </w:r>
      <w:r w:rsidRPr="00A46D4C">
        <w:rPr>
          <w:rFonts w:ascii="Arial" w:eastAsia="Times New Roman" w:hAnsi="Arial" w:cs="Arial"/>
          <w:bCs/>
          <w:color w:val="ED0000"/>
          <w:sz w:val="20"/>
          <w:szCs w:val="20"/>
        </w:rPr>
        <w:t xml:space="preserve">Use the following condition only for EXISTING AREA SOURCES that are NOW MAJOR.  </w:t>
      </w:r>
      <w:bookmarkEnd w:id="1"/>
      <w:r w:rsidRPr="00A46D4C">
        <w:rPr>
          <w:rFonts w:ascii="Arial" w:eastAsia="Times New Roman" w:hAnsi="Arial" w:cs="Arial"/>
          <w:bCs/>
          <w:color w:val="ED0000"/>
          <w:sz w:val="20"/>
          <w:szCs w:val="20"/>
        </w:rPr>
        <w:t xml:space="preserve">Delete if not applicable </w:t>
      </w:r>
      <w:bookmarkStart w:id="2" w:name="_Hlk36120387"/>
      <w:r w:rsidRPr="00A46D4C">
        <w:rPr>
          <w:rFonts w:ascii="Arial" w:eastAsia="Times New Roman" w:hAnsi="Arial" w:cs="Arial"/>
          <w:bCs/>
          <w:color w:val="ED0000"/>
          <w:sz w:val="20"/>
          <w:szCs w:val="20"/>
        </w:rPr>
        <w:t>(i.e., if they have the documentation to show that this has been completed)</w:t>
      </w:r>
      <w:bookmarkEnd w:id="2"/>
      <w:r w:rsidRPr="00A46D4C">
        <w:rPr>
          <w:rFonts w:ascii="Arial" w:eastAsia="Times New Roman" w:hAnsi="Arial" w:cs="Arial"/>
          <w:bCs/>
          <w:color w:val="ED0000"/>
          <w:sz w:val="20"/>
          <w:szCs w:val="20"/>
        </w:rPr>
        <w:t xml:space="preserve"> and renumber conditions appropriately.  For existing sources that are now major, </w:t>
      </w:r>
      <w:bookmarkStart w:id="3" w:name="_Hlk48035687"/>
      <w:r w:rsidRPr="00A46D4C">
        <w:rPr>
          <w:rFonts w:ascii="Arial" w:eastAsia="Times New Roman" w:hAnsi="Arial" w:cs="Arial"/>
          <w:bCs/>
          <w:color w:val="ED0000"/>
          <w:sz w:val="20"/>
          <w:szCs w:val="20"/>
        </w:rPr>
        <w:t>the DATE will be three (3) years from the date the source becomes major.</w:t>
      </w:r>
      <w:bookmarkEnd w:id="3"/>
      <w:r w:rsidRPr="00A46D4C">
        <w:rPr>
          <w:rFonts w:ascii="Arial" w:eastAsia="Times New Roman" w:hAnsi="Arial" w:cs="Arial"/>
          <w:bCs/>
          <w:color w:val="ED0000"/>
          <w:sz w:val="20"/>
          <w:szCs w:val="20"/>
        </w:rPr>
        <w:t xml:space="preserve">  </w:t>
      </w:r>
    </w:p>
    <w:p w14:paraId="527B84E1" w14:textId="77777777" w:rsidR="000C7801" w:rsidRPr="000C7801" w:rsidRDefault="00000000" w:rsidP="00A46D4C">
      <w:pPr>
        <w:numPr>
          <w:ilvl w:val="0"/>
          <w:numId w:val="7"/>
        </w:numPr>
        <w:autoSpaceDE w:val="0"/>
        <w:autoSpaceDN w:val="0"/>
        <w:adjustRightInd w:val="0"/>
        <w:spacing w:before="160"/>
        <w:rPr>
          <w:rFonts w:ascii="Arial" w:eastAsia="Times New Roman" w:hAnsi="Arial" w:cs="Times New Roman"/>
          <w:bCs/>
          <w:sz w:val="20"/>
          <w:szCs w:val="20"/>
        </w:rPr>
      </w:pPr>
      <w:r w:rsidRPr="000C7801">
        <w:rPr>
          <w:rFonts w:ascii="Arial" w:eastAsia="Times New Roman" w:hAnsi="Arial" w:cs="Times New Roman"/>
          <w:bCs/>
          <w:sz w:val="20"/>
          <w:szCs w:val="20"/>
        </w:rPr>
        <w:lastRenderedPageBreak/>
        <w:t xml:space="preserve">The permittee must, for all metal process furnaces installed on or before June 4, 2010, </w:t>
      </w:r>
      <w:r w:rsidRPr="000C7801">
        <w:rPr>
          <w:rFonts w:ascii="Arial" w:eastAsia="Times New Roman" w:hAnsi="Arial" w:cs="Arial"/>
          <w:sz w:val="20"/>
          <w:szCs w:val="20"/>
        </w:rPr>
        <w:t xml:space="preserve">complete an initial tune-up as specified in SC </w:t>
      </w:r>
      <w:r w:rsidRPr="00A46D4C">
        <w:rPr>
          <w:rFonts w:ascii="Arial" w:eastAsia="Times New Roman" w:hAnsi="Arial" w:cs="Arial"/>
          <w:color w:val="ED0000"/>
          <w:sz w:val="20"/>
          <w:szCs w:val="20"/>
        </w:rPr>
        <w:t xml:space="preserve">III.5 </w:t>
      </w:r>
      <w:r w:rsidRPr="000C7801">
        <w:rPr>
          <w:rFonts w:ascii="Arial" w:eastAsia="Times New Roman" w:hAnsi="Arial" w:cs="Arial"/>
          <w:sz w:val="20"/>
          <w:szCs w:val="20"/>
        </w:rPr>
        <w:t xml:space="preserve">by no later than </w:t>
      </w:r>
      <w:r w:rsidRPr="00A46D4C">
        <w:rPr>
          <w:rFonts w:ascii="Arial" w:eastAsia="Times New Roman" w:hAnsi="Arial" w:cs="Arial"/>
          <w:color w:val="ED0000"/>
          <w:sz w:val="20"/>
          <w:szCs w:val="20"/>
        </w:rPr>
        <w:t>DATE</w:t>
      </w:r>
      <w:r w:rsidRPr="000C7801">
        <w:rPr>
          <w:rFonts w:ascii="Arial" w:eastAsia="Times New Roman" w:hAnsi="Arial" w:cs="Arial"/>
          <w:sz w:val="20"/>
          <w:szCs w:val="20"/>
        </w:rPr>
        <w:t xml:space="preserve">.  </w:t>
      </w:r>
      <w:r w:rsidRPr="000C7801">
        <w:rPr>
          <w:rFonts w:ascii="Arial" w:eastAsia="Times New Roman" w:hAnsi="Arial" w:cs="Arial"/>
          <w:b/>
          <w:bCs/>
          <w:sz w:val="20"/>
          <w:szCs w:val="20"/>
        </w:rPr>
        <w:t>(40 CFR 63.7510(e))</w:t>
      </w:r>
    </w:p>
    <w:p w14:paraId="5261272D" w14:textId="77777777" w:rsidR="000C7801" w:rsidRPr="00A46D4C" w:rsidRDefault="00000000" w:rsidP="00A46D4C">
      <w:pPr>
        <w:autoSpaceDE w:val="0"/>
        <w:autoSpaceDN w:val="0"/>
        <w:adjustRightInd w:val="0"/>
        <w:spacing w:before="160"/>
        <w:rPr>
          <w:rFonts w:ascii="Arial" w:eastAsia="Times New Roman" w:hAnsi="Arial" w:cs="Arial"/>
          <w:color w:val="ED0000"/>
          <w:sz w:val="20"/>
          <w:szCs w:val="20"/>
        </w:rPr>
      </w:pPr>
      <w:r w:rsidRPr="00A46D4C">
        <w:rPr>
          <w:rFonts w:ascii="Arial" w:eastAsia="Times New Roman" w:hAnsi="Arial" w:cs="Times New Roman"/>
          <w:b/>
          <w:color w:val="ED0000"/>
          <w:sz w:val="20"/>
          <w:szCs w:val="20"/>
        </w:rPr>
        <w:t>OPTIONAL</w:t>
      </w:r>
      <w:r w:rsidRPr="00A46D4C">
        <w:rPr>
          <w:rFonts w:ascii="Arial" w:eastAsia="Times New Roman" w:hAnsi="Arial" w:cs="Times New Roman"/>
          <w:bCs/>
          <w:color w:val="ED0000"/>
          <w:sz w:val="20"/>
          <w:szCs w:val="20"/>
        </w:rPr>
        <w:t xml:space="preserve"> – </w:t>
      </w:r>
      <w:r w:rsidRPr="00A46D4C">
        <w:rPr>
          <w:rFonts w:ascii="Arial" w:eastAsia="Times New Roman" w:hAnsi="Arial" w:cs="Arial"/>
          <w:bCs/>
          <w:color w:val="ED0000"/>
          <w:sz w:val="20"/>
          <w:szCs w:val="20"/>
        </w:rPr>
        <w:t xml:space="preserve">Use the following condition only for NEW SOURCES that have </w:t>
      </w:r>
      <w:r w:rsidRPr="00A46D4C">
        <w:rPr>
          <w:rFonts w:ascii="Arial" w:eastAsia="Times New Roman" w:hAnsi="Arial" w:cs="Arial"/>
          <w:color w:val="ED0000"/>
          <w:sz w:val="20"/>
          <w:szCs w:val="20"/>
        </w:rPr>
        <w:t>unit(s) that are not equipped with a continuous oxygen trim system</w:t>
      </w:r>
      <w:r w:rsidRPr="00A46D4C">
        <w:rPr>
          <w:rFonts w:ascii="Arial" w:eastAsia="Times New Roman" w:hAnsi="Arial" w:cs="Arial"/>
          <w:bCs/>
          <w:color w:val="ED0000"/>
          <w:sz w:val="20"/>
          <w:szCs w:val="20"/>
        </w:rPr>
        <w:t xml:space="preserve">.  Delete if not applicable (i.e., if they have the documentation to show that this has been completed) and renumber conditions appropriately.  The DATE is 13 months after startup.  </w:t>
      </w:r>
    </w:p>
    <w:p w14:paraId="7428D6BD" w14:textId="77777777" w:rsidR="000C7801" w:rsidRPr="000C7801" w:rsidRDefault="00000000" w:rsidP="00A46D4C">
      <w:pPr>
        <w:numPr>
          <w:ilvl w:val="0"/>
          <w:numId w:val="7"/>
        </w:numPr>
        <w:autoSpaceDE w:val="0"/>
        <w:autoSpaceDN w:val="0"/>
        <w:adjustRightInd w:val="0"/>
        <w:spacing w:before="160"/>
        <w:rPr>
          <w:rFonts w:ascii="Arial" w:eastAsia="Times New Roman" w:hAnsi="Arial" w:cs="Times New Roman"/>
          <w:bCs/>
          <w:sz w:val="20"/>
          <w:szCs w:val="20"/>
        </w:rPr>
      </w:pPr>
      <w:r w:rsidRPr="000C7801">
        <w:rPr>
          <w:rFonts w:ascii="Arial" w:eastAsia="Times New Roman" w:hAnsi="Arial" w:cs="Times New Roman"/>
          <w:bCs/>
          <w:sz w:val="20"/>
          <w:szCs w:val="20"/>
        </w:rPr>
        <w:t>The permittee must</w:t>
      </w:r>
      <w:r w:rsidRPr="000C7801">
        <w:rPr>
          <w:rFonts w:ascii="Arial" w:eastAsia="Times New Roman" w:hAnsi="Arial" w:cs="Arial"/>
          <w:sz w:val="20"/>
          <w:szCs w:val="20"/>
        </w:rPr>
        <w:t xml:space="preserve">, for metal process furnaces </w:t>
      </w:r>
      <w:r w:rsidRPr="000C7801">
        <w:rPr>
          <w:rFonts w:ascii="Arial" w:eastAsia="Times New Roman" w:hAnsi="Arial" w:cs="Times New Roman"/>
          <w:bCs/>
          <w:sz w:val="20"/>
          <w:szCs w:val="20"/>
        </w:rPr>
        <w:t>installed after June 4, 2010</w:t>
      </w:r>
      <w:r w:rsidRPr="000C7801">
        <w:rPr>
          <w:rFonts w:ascii="Arial" w:eastAsia="Times New Roman" w:hAnsi="Arial" w:cs="Arial"/>
          <w:sz w:val="20"/>
          <w:szCs w:val="20"/>
        </w:rPr>
        <w:t xml:space="preserve">, complete an initial tune-up as specified in SC </w:t>
      </w:r>
      <w:r w:rsidRPr="00A46D4C">
        <w:rPr>
          <w:rFonts w:ascii="Arial" w:eastAsia="Times New Roman" w:hAnsi="Arial" w:cs="Arial"/>
          <w:color w:val="ED0000"/>
          <w:sz w:val="20"/>
          <w:szCs w:val="20"/>
        </w:rPr>
        <w:t xml:space="preserve">III.5 </w:t>
      </w:r>
      <w:r w:rsidRPr="000C7801">
        <w:rPr>
          <w:rFonts w:ascii="Arial" w:eastAsia="Times New Roman" w:hAnsi="Arial" w:cs="Arial"/>
          <w:sz w:val="20"/>
          <w:szCs w:val="20"/>
        </w:rPr>
        <w:t xml:space="preserve">by no later than </w:t>
      </w:r>
      <w:r w:rsidRPr="00A46D4C">
        <w:rPr>
          <w:rFonts w:ascii="Arial" w:eastAsia="Times New Roman" w:hAnsi="Arial" w:cs="Arial"/>
          <w:color w:val="ED0000"/>
          <w:sz w:val="20"/>
          <w:szCs w:val="20"/>
        </w:rPr>
        <w:t>DATE</w:t>
      </w:r>
      <w:r w:rsidRPr="000C7801">
        <w:rPr>
          <w:rFonts w:ascii="Arial" w:eastAsia="Times New Roman" w:hAnsi="Arial" w:cs="Arial"/>
          <w:sz w:val="20"/>
          <w:szCs w:val="20"/>
        </w:rPr>
        <w:t xml:space="preserve">.  </w:t>
      </w:r>
      <w:r w:rsidRPr="000C7801">
        <w:rPr>
          <w:rFonts w:ascii="Arial" w:eastAsia="Times New Roman" w:hAnsi="Arial" w:cs="Arial"/>
          <w:b/>
          <w:bCs/>
          <w:sz w:val="20"/>
          <w:szCs w:val="20"/>
        </w:rPr>
        <w:t>(40 CFR 63.7510(g))</w:t>
      </w:r>
    </w:p>
    <w:p w14:paraId="208A331A" w14:textId="77777777" w:rsidR="000C7801" w:rsidRPr="000C7801" w:rsidRDefault="00000000" w:rsidP="00A46D4C">
      <w:pPr>
        <w:autoSpaceDE w:val="0"/>
        <w:autoSpaceDN w:val="0"/>
        <w:adjustRightInd w:val="0"/>
        <w:spacing w:before="160"/>
        <w:rPr>
          <w:rFonts w:ascii="Arial" w:eastAsia="Times New Roman" w:hAnsi="Arial" w:cs="Times New Roman"/>
          <w:bCs/>
          <w:sz w:val="20"/>
          <w:szCs w:val="20"/>
        </w:rPr>
      </w:pPr>
      <w:r w:rsidRPr="00A46D4C">
        <w:rPr>
          <w:rFonts w:ascii="Arial" w:eastAsia="Times New Roman" w:hAnsi="Arial" w:cs="Times New Roman"/>
          <w:b/>
          <w:color w:val="ED0000"/>
          <w:sz w:val="20"/>
          <w:szCs w:val="20"/>
        </w:rPr>
        <w:t>OPTIONAL</w:t>
      </w:r>
      <w:r w:rsidRPr="00A46D4C">
        <w:rPr>
          <w:rFonts w:ascii="Arial" w:eastAsia="Times New Roman" w:hAnsi="Arial" w:cs="Times New Roman"/>
          <w:bCs/>
          <w:color w:val="ED0000"/>
          <w:sz w:val="20"/>
          <w:szCs w:val="20"/>
        </w:rPr>
        <w:t xml:space="preserve"> – </w:t>
      </w:r>
      <w:r w:rsidRPr="00A46D4C">
        <w:rPr>
          <w:rFonts w:ascii="Arial" w:eastAsia="Times New Roman" w:hAnsi="Arial" w:cs="Arial"/>
          <w:bCs/>
          <w:color w:val="ED0000"/>
          <w:sz w:val="20"/>
          <w:szCs w:val="20"/>
        </w:rPr>
        <w:t xml:space="preserve">Use the following condition only for NEW SOURCES that have </w:t>
      </w:r>
      <w:r w:rsidRPr="00A46D4C">
        <w:rPr>
          <w:rFonts w:ascii="Arial" w:eastAsia="Times New Roman" w:hAnsi="Arial" w:cs="Arial"/>
          <w:color w:val="ED0000"/>
          <w:sz w:val="20"/>
          <w:szCs w:val="20"/>
        </w:rPr>
        <w:t>unit(s) with a continuous oxygen trim system</w:t>
      </w:r>
      <w:r w:rsidRPr="00A46D4C">
        <w:rPr>
          <w:rFonts w:ascii="Arial" w:eastAsia="Times New Roman" w:hAnsi="Arial" w:cs="Arial"/>
          <w:bCs/>
          <w:color w:val="ED0000"/>
          <w:sz w:val="20"/>
          <w:szCs w:val="20"/>
        </w:rPr>
        <w:t>.  Delete if not applicable (i.e., if they have the documentation to show that this has been completed) and renumber conditions appropriately.  The DATE is 61 months after startup.</w:t>
      </w:r>
    </w:p>
    <w:p w14:paraId="70D73054" w14:textId="77777777" w:rsidR="000C7801" w:rsidRPr="000C7801" w:rsidRDefault="00000000" w:rsidP="00A46D4C">
      <w:pPr>
        <w:numPr>
          <w:ilvl w:val="0"/>
          <w:numId w:val="7"/>
        </w:numPr>
        <w:autoSpaceDE w:val="0"/>
        <w:autoSpaceDN w:val="0"/>
        <w:adjustRightInd w:val="0"/>
        <w:spacing w:before="160"/>
        <w:rPr>
          <w:rFonts w:ascii="Arial" w:eastAsia="Times New Roman" w:hAnsi="Arial" w:cs="Times New Roman"/>
          <w:bCs/>
          <w:sz w:val="20"/>
          <w:szCs w:val="20"/>
        </w:rPr>
      </w:pPr>
      <w:r w:rsidRPr="000C7801">
        <w:rPr>
          <w:rFonts w:ascii="Arial" w:eastAsia="Times New Roman" w:hAnsi="Arial" w:cs="Times New Roman"/>
          <w:bCs/>
          <w:sz w:val="20"/>
          <w:szCs w:val="20"/>
        </w:rPr>
        <w:t xml:space="preserve">The permittee must </w:t>
      </w:r>
      <w:r w:rsidRPr="000C7801">
        <w:rPr>
          <w:rFonts w:ascii="Arial" w:eastAsia="Times New Roman" w:hAnsi="Arial" w:cs="Arial"/>
          <w:sz w:val="20"/>
          <w:szCs w:val="20"/>
        </w:rPr>
        <w:t xml:space="preserve">complete an initial tune-up </w:t>
      </w:r>
      <w:r w:rsidRPr="000C7801">
        <w:rPr>
          <w:rFonts w:ascii="Arial" w:eastAsia="Times New Roman" w:hAnsi="Arial" w:cs="Times New Roman"/>
          <w:sz w:val="20"/>
          <w:szCs w:val="20"/>
        </w:rPr>
        <w:t xml:space="preserve">of each emission unit </w:t>
      </w:r>
      <w:r w:rsidRPr="000C7801">
        <w:rPr>
          <w:rFonts w:ascii="Arial" w:eastAsia="Times New Roman" w:hAnsi="Arial" w:cs="Times New Roman"/>
          <w:bCs/>
          <w:sz w:val="20"/>
          <w:szCs w:val="20"/>
        </w:rPr>
        <w:t xml:space="preserve">installed after June 4, 2010, </w:t>
      </w:r>
      <w:r w:rsidRPr="000C7801">
        <w:rPr>
          <w:rFonts w:ascii="Arial" w:eastAsia="Times New Roman" w:hAnsi="Arial" w:cs="Times New Roman"/>
          <w:sz w:val="20"/>
          <w:szCs w:val="20"/>
        </w:rPr>
        <w:t xml:space="preserve">that has a continuous oxygen trim system </w:t>
      </w:r>
      <w:r w:rsidRPr="000C7801">
        <w:rPr>
          <w:rFonts w:ascii="Arial" w:eastAsia="Times New Roman" w:hAnsi="Arial" w:cs="Arial"/>
          <w:sz w:val="20"/>
          <w:szCs w:val="20"/>
        </w:rPr>
        <w:t xml:space="preserve">as specified in SC </w:t>
      </w:r>
      <w:r w:rsidRPr="00A46D4C">
        <w:rPr>
          <w:rFonts w:ascii="Arial" w:eastAsia="Times New Roman" w:hAnsi="Arial" w:cs="Arial"/>
          <w:color w:val="ED0000"/>
          <w:sz w:val="20"/>
          <w:szCs w:val="20"/>
        </w:rPr>
        <w:t xml:space="preserve">III.5 </w:t>
      </w:r>
      <w:r w:rsidRPr="000C7801">
        <w:rPr>
          <w:rFonts w:ascii="Arial" w:eastAsia="Times New Roman" w:hAnsi="Arial" w:cs="Arial"/>
          <w:sz w:val="20"/>
          <w:szCs w:val="20"/>
        </w:rPr>
        <w:t xml:space="preserve">by no later than </w:t>
      </w:r>
      <w:r w:rsidRPr="00A46D4C">
        <w:rPr>
          <w:rFonts w:ascii="Arial" w:eastAsia="Times New Roman" w:hAnsi="Arial" w:cs="Arial"/>
          <w:color w:val="ED0000"/>
          <w:sz w:val="20"/>
          <w:szCs w:val="20"/>
        </w:rPr>
        <w:t>DATE</w:t>
      </w:r>
      <w:r w:rsidRPr="000C7801">
        <w:rPr>
          <w:rFonts w:ascii="Arial" w:eastAsia="Times New Roman" w:hAnsi="Arial" w:cs="Arial"/>
          <w:sz w:val="20"/>
          <w:szCs w:val="20"/>
        </w:rPr>
        <w:t xml:space="preserve">.  </w:t>
      </w:r>
      <w:r w:rsidRPr="000C7801">
        <w:rPr>
          <w:rFonts w:ascii="Arial" w:eastAsia="Times New Roman" w:hAnsi="Arial" w:cs="Arial"/>
          <w:b/>
          <w:bCs/>
          <w:sz w:val="20"/>
          <w:szCs w:val="20"/>
        </w:rPr>
        <w:t>(40 CFR 63.7510(g))</w:t>
      </w:r>
    </w:p>
    <w:p w14:paraId="049E6F4E" w14:textId="77777777" w:rsidR="000C7801" w:rsidRPr="000C7801" w:rsidRDefault="00000000" w:rsidP="00A46D4C">
      <w:pPr>
        <w:spacing w:before="160"/>
        <w:rPr>
          <w:rFonts w:ascii="Arial" w:eastAsia="Times New Roman" w:hAnsi="Arial" w:cs="Arial"/>
          <w:bCs/>
          <w:sz w:val="20"/>
          <w:szCs w:val="20"/>
        </w:rPr>
      </w:pPr>
      <w:r w:rsidRPr="00A46D4C">
        <w:rPr>
          <w:rFonts w:ascii="Arial" w:eastAsia="Times New Roman" w:hAnsi="Arial" w:cs="Arial"/>
          <w:b/>
          <w:color w:val="ED0000"/>
          <w:sz w:val="20"/>
          <w:szCs w:val="20"/>
        </w:rPr>
        <w:t xml:space="preserve">OPTIONAL – </w:t>
      </w:r>
      <w:r w:rsidRPr="00A46D4C">
        <w:rPr>
          <w:rFonts w:ascii="Arial" w:eastAsia="Times New Roman" w:hAnsi="Arial" w:cs="Arial"/>
          <w:bCs/>
          <w:color w:val="ED0000"/>
          <w:sz w:val="20"/>
          <w:szCs w:val="20"/>
        </w:rPr>
        <w:t xml:space="preserve">Use the following condition only for </w:t>
      </w:r>
      <w:r w:rsidRPr="00A46D4C">
        <w:rPr>
          <w:rFonts w:ascii="Arial" w:eastAsia="Times New Roman" w:hAnsi="Arial" w:cs="Arial"/>
          <w:bCs/>
          <w:color w:val="ED0000"/>
          <w:sz w:val="20"/>
          <w:szCs w:val="24"/>
        </w:rPr>
        <w:t xml:space="preserve">EXISTING AREA SOURCES that are NOW MAJOR.  Delete if not applicable and renumber conditions </w:t>
      </w:r>
      <w:r w:rsidRPr="00A46D4C">
        <w:rPr>
          <w:rFonts w:ascii="Arial" w:eastAsia="Times New Roman" w:hAnsi="Arial" w:cs="Arial"/>
          <w:bCs/>
          <w:color w:val="ED0000"/>
          <w:sz w:val="20"/>
          <w:szCs w:val="20"/>
        </w:rPr>
        <w:t xml:space="preserve">appropriately.  </w:t>
      </w:r>
      <w:r w:rsidRPr="00A46D4C">
        <w:rPr>
          <w:rFonts w:ascii="Arial" w:eastAsia="Times New Roman" w:hAnsi="Arial" w:cs="Arial"/>
          <w:bCs/>
          <w:color w:val="ED0000"/>
          <w:sz w:val="20"/>
          <w:szCs w:val="24"/>
        </w:rPr>
        <w:t>The DATE will be three years</w:t>
      </w:r>
      <w:r w:rsidRPr="00A46D4C">
        <w:rPr>
          <w:rFonts w:ascii="Arial" w:eastAsia="Times New Roman" w:hAnsi="Arial" w:cs="Arial"/>
          <w:b/>
          <w:color w:val="ED0000"/>
          <w:sz w:val="20"/>
          <w:szCs w:val="20"/>
        </w:rPr>
        <w:t xml:space="preserve"> </w:t>
      </w:r>
      <w:r w:rsidRPr="00A46D4C">
        <w:rPr>
          <w:rFonts w:ascii="Arial" w:eastAsia="Times New Roman" w:hAnsi="Arial" w:cs="Arial"/>
          <w:bCs/>
          <w:color w:val="ED0000"/>
          <w:sz w:val="20"/>
          <w:szCs w:val="20"/>
        </w:rPr>
        <w:t xml:space="preserve">from the date the source becomes major. </w:t>
      </w:r>
    </w:p>
    <w:p w14:paraId="4D20B77C" w14:textId="77777777" w:rsidR="000C7801" w:rsidRPr="000C7801" w:rsidRDefault="00000000" w:rsidP="00A46D4C">
      <w:pPr>
        <w:numPr>
          <w:ilvl w:val="0"/>
          <w:numId w:val="7"/>
        </w:numPr>
        <w:spacing w:before="160"/>
        <w:rPr>
          <w:rFonts w:ascii="Arial" w:eastAsia="Times New Roman" w:hAnsi="Arial" w:cs="Arial"/>
          <w:b/>
          <w:sz w:val="20"/>
          <w:szCs w:val="20"/>
        </w:rPr>
      </w:pPr>
      <w:r w:rsidRPr="000C7801">
        <w:rPr>
          <w:rFonts w:ascii="Arial" w:eastAsia="Times New Roman" w:hAnsi="Arial" w:cs="Arial"/>
          <w:bCs/>
          <w:sz w:val="20"/>
          <w:szCs w:val="20"/>
        </w:rPr>
        <w:t xml:space="preserve">The permittee must complete the one-time energy assessment specified in Table 3 of 40 CFR Part 63, Subpart DDDDD no later than </w:t>
      </w:r>
      <w:r w:rsidRPr="00A46D4C">
        <w:rPr>
          <w:rFonts w:ascii="Arial" w:eastAsia="Times New Roman" w:hAnsi="Arial" w:cs="Arial"/>
          <w:bCs/>
          <w:color w:val="ED0000"/>
          <w:sz w:val="20"/>
          <w:szCs w:val="20"/>
        </w:rPr>
        <w:t>DATE</w:t>
      </w:r>
      <w:r w:rsidRPr="000C7801">
        <w:rPr>
          <w:rFonts w:ascii="Arial" w:eastAsia="Times New Roman" w:hAnsi="Arial" w:cs="Arial"/>
          <w:bCs/>
          <w:sz w:val="20"/>
          <w:szCs w:val="20"/>
        </w:rPr>
        <w:t xml:space="preserve">. </w:t>
      </w:r>
      <w:r w:rsidRPr="000C7801">
        <w:rPr>
          <w:rFonts w:ascii="Arial" w:eastAsia="Times New Roman" w:hAnsi="Arial" w:cs="Arial"/>
          <w:b/>
          <w:sz w:val="20"/>
          <w:szCs w:val="20"/>
        </w:rPr>
        <w:t xml:space="preserve"> (40 CFR 63.7510(e))</w:t>
      </w:r>
    </w:p>
    <w:p w14:paraId="61255F33" w14:textId="77777777" w:rsidR="000C7801" w:rsidRPr="004705A7" w:rsidRDefault="00000000" w:rsidP="00A46D4C">
      <w:pPr>
        <w:spacing w:before="160"/>
        <w:rPr>
          <w:rFonts w:ascii="Arial" w:eastAsia="Times New Roman" w:hAnsi="Arial" w:cs="Arial"/>
          <w:bCs/>
          <w:sz w:val="20"/>
          <w:szCs w:val="20"/>
        </w:rPr>
      </w:pPr>
      <w:r w:rsidRPr="00A46D4C">
        <w:rPr>
          <w:rFonts w:ascii="Arial" w:eastAsia="Times New Roman" w:hAnsi="Arial" w:cs="Arial"/>
          <w:b/>
          <w:color w:val="ED0000"/>
          <w:sz w:val="20"/>
          <w:szCs w:val="20"/>
        </w:rPr>
        <w:t>ALWAYS INCLUDE</w:t>
      </w:r>
    </w:p>
    <w:p w14:paraId="71C21FA2" w14:textId="77777777" w:rsidR="000C7801" w:rsidRPr="000C7801" w:rsidRDefault="00000000" w:rsidP="00A46D4C">
      <w:pPr>
        <w:numPr>
          <w:ilvl w:val="0"/>
          <w:numId w:val="7"/>
        </w:numPr>
        <w:spacing w:before="160"/>
        <w:rPr>
          <w:rFonts w:ascii="Arial" w:eastAsia="Times New Roman" w:hAnsi="Arial" w:cs="Arial"/>
          <w:b/>
          <w:sz w:val="20"/>
          <w:szCs w:val="20"/>
        </w:rPr>
      </w:pPr>
      <w:r w:rsidRPr="000C7801">
        <w:rPr>
          <w:rFonts w:ascii="Arial" w:eastAsia="Times New Roman" w:hAnsi="Arial" w:cs="Arial"/>
          <w:sz w:val="20"/>
          <w:szCs w:val="20"/>
        </w:rPr>
        <w:t xml:space="preserve">The permittee shall conduct a tune up of each metal process furnaces as specified below.  For each emission unit that does not have an oxygen trim system installed, the annual tune-up shall be no more than 13 months after the previous tune-up.  </w:t>
      </w:r>
      <w:r w:rsidRPr="000C7801">
        <w:rPr>
          <w:rFonts w:ascii="Arial" w:eastAsia="Times New Roman" w:hAnsi="Arial" w:cs="Arial"/>
          <w:b/>
          <w:bCs/>
          <w:sz w:val="20"/>
          <w:szCs w:val="20"/>
        </w:rPr>
        <w:t>(</w:t>
      </w:r>
      <w:r w:rsidRPr="000C7801">
        <w:rPr>
          <w:rFonts w:ascii="Arial" w:eastAsia="Times New Roman" w:hAnsi="Arial" w:cs="Arial"/>
          <w:b/>
          <w:sz w:val="20"/>
          <w:szCs w:val="20"/>
        </w:rPr>
        <w:t>40 CFR 63.7500(a)(1), 40 CFR 63.7515(d), Table 3 of 40 CFR Part 63, Subpart DDDDD</w:t>
      </w:r>
      <w:r w:rsidRPr="000C7801">
        <w:rPr>
          <w:rFonts w:ascii="Arial" w:eastAsia="Times New Roman" w:hAnsi="Arial" w:cs="Arial"/>
          <w:b/>
          <w:bCs/>
          <w:sz w:val="20"/>
          <w:szCs w:val="20"/>
        </w:rPr>
        <w:t>)</w:t>
      </w:r>
    </w:p>
    <w:p w14:paraId="3F449093" w14:textId="77777777" w:rsidR="000C7801" w:rsidRPr="000C7801" w:rsidRDefault="00000000" w:rsidP="00A46D4C">
      <w:pPr>
        <w:numPr>
          <w:ilvl w:val="1"/>
          <w:numId w:val="9"/>
        </w:numPr>
        <w:spacing w:before="160"/>
        <w:ind w:left="720"/>
        <w:rPr>
          <w:rFonts w:ascii="Arial" w:eastAsia="Times New Roman" w:hAnsi="Arial" w:cs="Arial"/>
          <w:sz w:val="20"/>
          <w:szCs w:val="20"/>
        </w:rPr>
      </w:pPr>
      <w:r w:rsidRPr="000C7801">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tune-up or delay the burner inspection until the next scheduled unit shutdown.  At units where entry into a piece of process equipment or into a storage vessel is required to complete the tune-up inspections, inspections are required only during planned entries into the storage vessel or process equipment.  </w:t>
      </w:r>
      <w:r w:rsidRPr="000C7801">
        <w:rPr>
          <w:rFonts w:ascii="Arial" w:eastAsia="Times New Roman" w:hAnsi="Arial" w:cs="Arial"/>
          <w:b/>
          <w:sz w:val="20"/>
          <w:szCs w:val="20"/>
        </w:rPr>
        <w:t>(40 CFR 63.7540(a)(10)(i))</w:t>
      </w:r>
    </w:p>
    <w:p w14:paraId="446B21A8" w14:textId="77777777" w:rsidR="000C7801" w:rsidRPr="000C7801" w:rsidRDefault="00000000" w:rsidP="00A46D4C">
      <w:pPr>
        <w:numPr>
          <w:ilvl w:val="1"/>
          <w:numId w:val="9"/>
        </w:numPr>
        <w:spacing w:before="160"/>
        <w:ind w:left="720"/>
        <w:rPr>
          <w:rFonts w:ascii="Arial" w:eastAsia="Times New Roman" w:hAnsi="Arial" w:cs="Arial"/>
          <w:sz w:val="20"/>
          <w:szCs w:val="20"/>
        </w:rPr>
      </w:pPr>
      <w:r w:rsidRPr="000C7801">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0C7801">
        <w:rPr>
          <w:rFonts w:ascii="Arial" w:eastAsia="Times New Roman" w:hAnsi="Arial" w:cs="Arial"/>
          <w:b/>
          <w:sz w:val="20"/>
          <w:szCs w:val="20"/>
        </w:rPr>
        <w:t>(40 CFR 63.7540(a)(10)(ii))</w:t>
      </w:r>
    </w:p>
    <w:p w14:paraId="5CF70418" w14:textId="77777777" w:rsidR="000C7801" w:rsidRPr="000C7801" w:rsidRDefault="00000000" w:rsidP="00A46D4C">
      <w:pPr>
        <w:numPr>
          <w:ilvl w:val="1"/>
          <w:numId w:val="9"/>
        </w:numPr>
        <w:spacing w:before="160"/>
        <w:ind w:left="720"/>
        <w:rPr>
          <w:rFonts w:ascii="Arial" w:eastAsia="Times New Roman" w:hAnsi="Arial" w:cs="Arial"/>
          <w:sz w:val="20"/>
          <w:szCs w:val="20"/>
        </w:rPr>
      </w:pPr>
      <w:r w:rsidRPr="000C7801">
        <w:rPr>
          <w:rFonts w:ascii="Arial" w:eastAsia="Times New Roman" w:hAnsi="Arial" w:cs="Arial"/>
          <w:sz w:val="20"/>
          <w:szCs w:val="20"/>
        </w:rPr>
        <w:t xml:space="preserve">Inspect the system controlling the air-to-fuel ratio, as applicable, and ensure that it is correctly calibrated and functioning properly (the permittee may delay the inspection until the next scheduled unit shutdown).  </w:t>
      </w:r>
      <w:r w:rsidRPr="000C7801">
        <w:rPr>
          <w:rFonts w:ascii="Arial" w:eastAsia="Times New Roman" w:hAnsi="Arial" w:cs="Arial"/>
          <w:b/>
          <w:sz w:val="20"/>
          <w:szCs w:val="20"/>
        </w:rPr>
        <w:t>(40 CFR 63.7540(a)(10)(iii))</w:t>
      </w:r>
    </w:p>
    <w:p w14:paraId="0B64F34D" w14:textId="77777777" w:rsidR="000C7801" w:rsidRPr="000C7801" w:rsidRDefault="00000000" w:rsidP="00A46D4C">
      <w:pPr>
        <w:numPr>
          <w:ilvl w:val="1"/>
          <w:numId w:val="9"/>
        </w:numPr>
        <w:spacing w:before="160"/>
        <w:ind w:left="720"/>
        <w:rPr>
          <w:rFonts w:ascii="Arial" w:eastAsia="Times New Roman" w:hAnsi="Arial" w:cs="Arial"/>
          <w:sz w:val="20"/>
          <w:szCs w:val="20"/>
        </w:rPr>
      </w:pPr>
      <w:r w:rsidRPr="000C7801">
        <w:rPr>
          <w:rFonts w:ascii="Arial" w:eastAsia="Times New Roman" w:hAnsi="Arial" w:cs="Arial"/>
          <w:sz w:val="20"/>
          <w:szCs w:val="20"/>
        </w:rPr>
        <w:t>Optimize total emissions of CO.  This optimization should be consistent with the manufacturer's specifications, if available, and with any NO</w:t>
      </w:r>
      <w:r w:rsidRPr="000C7801">
        <w:rPr>
          <w:rFonts w:ascii="Arial" w:eastAsia="Times New Roman" w:hAnsi="Arial" w:cs="Arial"/>
          <w:sz w:val="14"/>
          <w:szCs w:val="14"/>
        </w:rPr>
        <w:t>X</w:t>
      </w:r>
      <w:r w:rsidRPr="000C7801">
        <w:rPr>
          <w:rFonts w:ascii="Arial" w:eastAsia="Times New Roman" w:hAnsi="Arial" w:cs="Arial"/>
          <w:sz w:val="20"/>
          <w:szCs w:val="20"/>
        </w:rPr>
        <w:t xml:space="preserve"> requirement to which the unit is subject.  </w:t>
      </w:r>
      <w:r w:rsidRPr="000C7801">
        <w:rPr>
          <w:rFonts w:ascii="Arial" w:eastAsia="Times New Roman" w:hAnsi="Arial" w:cs="Arial"/>
          <w:b/>
          <w:sz w:val="20"/>
          <w:szCs w:val="20"/>
        </w:rPr>
        <w:t>(40 CFR 63.7540(a)(10)(iv))</w:t>
      </w:r>
    </w:p>
    <w:p w14:paraId="3AD677A3" w14:textId="77777777" w:rsidR="000C7801" w:rsidRPr="000C7801" w:rsidRDefault="00000000" w:rsidP="00A46D4C">
      <w:pPr>
        <w:numPr>
          <w:ilvl w:val="1"/>
          <w:numId w:val="9"/>
        </w:numPr>
        <w:spacing w:before="160"/>
        <w:ind w:left="720"/>
        <w:rPr>
          <w:rFonts w:ascii="Arial" w:eastAsia="Times New Roman" w:hAnsi="Arial" w:cs="Arial"/>
          <w:sz w:val="20"/>
          <w:szCs w:val="20"/>
        </w:rPr>
      </w:pPr>
      <w:r w:rsidRPr="000C7801">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0C7801">
        <w:rPr>
          <w:rFonts w:ascii="Arial" w:eastAsia="Times New Roman" w:hAnsi="Arial" w:cs="Arial"/>
          <w:b/>
          <w:sz w:val="20"/>
          <w:szCs w:val="20"/>
        </w:rPr>
        <w:t>(40 CFR 63.7540(a)(10)(v))</w:t>
      </w:r>
    </w:p>
    <w:p w14:paraId="4FCFB6DD" w14:textId="77777777" w:rsidR="000C7801" w:rsidRPr="000C7801" w:rsidRDefault="00000000" w:rsidP="00A46D4C">
      <w:pPr>
        <w:tabs>
          <w:tab w:val="left" w:pos="2704"/>
        </w:tabs>
        <w:spacing w:before="160"/>
        <w:rPr>
          <w:rFonts w:ascii="Arial" w:eastAsia="Times New Roman" w:hAnsi="Arial" w:cs="Arial"/>
          <w:sz w:val="20"/>
          <w:szCs w:val="20"/>
        </w:rPr>
      </w:pPr>
      <w:r w:rsidRPr="00A46D4C">
        <w:rPr>
          <w:rFonts w:ascii="Arial" w:eastAsia="Times New Roman" w:hAnsi="Arial" w:cs="Arial"/>
          <w:b/>
          <w:bCs/>
          <w:color w:val="ED0000"/>
          <w:sz w:val="20"/>
          <w:szCs w:val="20"/>
        </w:rPr>
        <w:t xml:space="preserve">OPTIONAL </w:t>
      </w:r>
      <w:r w:rsidRPr="00A46D4C">
        <w:rPr>
          <w:rFonts w:ascii="Arial" w:eastAsia="Times New Roman" w:hAnsi="Arial" w:cs="Arial"/>
          <w:color w:val="ED0000"/>
          <w:sz w:val="20"/>
          <w:szCs w:val="20"/>
        </w:rPr>
        <w:t>– Use only if there are unit(s) that have an oxygen trim system installed.  Delete if not applicable.</w:t>
      </w:r>
    </w:p>
    <w:p w14:paraId="6EA7172C" w14:textId="77777777" w:rsidR="000C7801" w:rsidRPr="000C7801" w:rsidRDefault="00000000" w:rsidP="00A46D4C">
      <w:pPr>
        <w:numPr>
          <w:ilvl w:val="0"/>
          <w:numId w:val="8"/>
        </w:numPr>
        <w:spacing w:before="160"/>
        <w:rPr>
          <w:rFonts w:ascii="Arial" w:eastAsia="Times New Roman" w:hAnsi="Arial" w:cs="Arial"/>
          <w:sz w:val="20"/>
          <w:szCs w:val="20"/>
        </w:rPr>
      </w:pPr>
      <w:r w:rsidRPr="000C7801">
        <w:rPr>
          <w:rFonts w:ascii="Arial" w:eastAsia="Times New Roman" w:hAnsi="Arial" w:cs="Arial"/>
          <w:sz w:val="20"/>
          <w:szCs w:val="20"/>
        </w:rPr>
        <w:t>The permittee shall conduct a tune-up of each emission unit that has an oxygen trim system installed in FG</w:t>
      </w:r>
      <w:r w:rsidRPr="00A46D4C">
        <w:rPr>
          <w:rFonts w:ascii="Arial" w:eastAsia="Times New Roman" w:hAnsi="Arial" w:cs="Arial"/>
          <w:color w:val="ED0000"/>
          <w:sz w:val="20"/>
          <w:szCs w:val="20"/>
        </w:rPr>
        <w:t>{ID}</w:t>
      </w:r>
      <w:r w:rsidRPr="000C7801">
        <w:rPr>
          <w:rFonts w:ascii="Arial" w:eastAsia="Times New Roman" w:hAnsi="Arial" w:cs="Arial"/>
          <w:sz w:val="20"/>
          <w:szCs w:val="20"/>
        </w:rPr>
        <w:t xml:space="preserve"> of the burner(s) and combustion controls, as applicable, every 5 years as specified as specified in SC </w:t>
      </w:r>
      <w:r w:rsidRPr="00A46D4C">
        <w:rPr>
          <w:rFonts w:ascii="Arial" w:eastAsia="Times New Roman" w:hAnsi="Arial" w:cs="Arial"/>
          <w:color w:val="ED0000"/>
          <w:sz w:val="20"/>
          <w:szCs w:val="20"/>
        </w:rPr>
        <w:t>III.5</w:t>
      </w:r>
      <w:r w:rsidRPr="000C7801">
        <w:rPr>
          <w:rFonts w:ascii="Arial" w:eastAsia="Times New Roman" w:hAnsi="Arial" w:cs="Arial"/>
          <w:sz w:val="20"/>
          <w:szCs w:val="20"/>
        </w:rPr>
        <w:t xml:space="preserve">.a through e.  </w:t>
      </w:r>
      <w:r w:rsidRPr="000C7801">
        <w:rPr>
          <w:rFonts w:ascii="Arial" w:eastAsia="Times New Roman" w:hAnsi="Arial" w:cs="Arial"/>
          <w:b/>
          <w:bCs/>
          <w:sz w:val="20"/>
          <w:szCs w:val="20"/>
        </w:rPr>
        <w:t xml:space="preserve">(40 CFR 63.7540(a)(12), </w:t>
      </w:r>
      <w:r w:rsidRPr="000C7801">
        <w:rPr>
          <w:rFonts w:ascii="Arial" w:eastAsia="Times New Roman" w:hAnsi="Arial" w:cs="Arial"/>
          <w:b/>
          <w:sz w:val="20"/>
          <w:szCs w:val="20"/>
        </w:rPr>
        <w:t>40 CFR Part 63, Subpart DDDDD, Table 3</w:t>
      </w:r>
      <w:r w:rsidRPr="000C7801">
        <w:rPr>
          <w:rFonts w:ascii="Arial" w:eastAsia="Times New Roman" w:hAnsi="Arial" w:cs="Arial"/>
          <w:b/>
          <w:bCs/>
          <w:sz w:val="20"/>
          <w:szCs w:val="20"/>
        </w:rPr>
        <w:t>)</w:t>
      </w:r>
    </w:p>
    <w:p w14:paraId="1B30D97D" w14:textId="77777777" w:rsidR="000C7801" w:rsidRPr="000C7801" w:rsidRDefault="00000000" w:rsidP="00A46D4C">
      <w:pPr>
        <w:numPr>
          <w:ilvl w:val="1"/>
          <w:numId w:val="1"/>
        </w:numPr>
        <w:spacing w:before="160"/>
        <w:rPr>
          <w:rFonts w:ascii="Arial" w:eastAsia="Times New Roman" w:hAnsi="Arial" w:cs="Arial"/>
          <w:sz w:val="20"/>
          <w:szCs w:val="20"/>
        </w:rPr>
      </w:pPr>
      <w:r w:rsidRPr="000C7801">
        <w:rPr>
          <w:rFonts w:ascii="Arial" w:eastAsia="Times New Roman" w:hAnsi="Arial" w:cs="Arial"/>
          <w:sz w:val="20"/>
          <w:szCs w:val="20"/>
        </w:rPr>
        <w:lastRenderedPageBreak/>
        <w:t xml:space="preserve">Each 5-year tune-up must be conducted no more than 61 months after the previous tune-up.  </w:t>
      </w:r>
      <w:r w:rsidRPr="000C7801">
        <w:rPr>
          <w:rFonts w:ascii="Arial" w:eastAsia="Times New Roman" w:hAnsi="Arial" w:cs="Arial"/>
          <w:b/>
          <w:bCs/>
          <w:sz w:val="20"/>
          <w:szCs w:val="20"/>
        </w:rPr>
        <w:t>(40 CFR 63.7515(d))</w:t>
      </w:r>
    </w:p>
    <w:p w14:paraId="3C145678" w14:textId="77777777" w:rsidR="000C7801" w:rsidRPr="000C7801" w:rsidRDefault="00000000" w:rsidP="00A46D4C">
      <w:pPr>
        <w:numPr>
          <w:ilvl w:val="1"/>
          <w:numId w:val="1"/>
        </w:numPr>
        <w:spacing w:before="160"/>
        <w:rPr>
          <w:rFonts w:ascii="Arial" w:eastAsia="Times New Roman" w:hAnsi="Arial" w:cs="Arial"/>
          <w:sz w:val="20"/>
          <w:szCs w:val="20"/>
        </w:rPr>
      </w:pPr>
      <w:r w:rsidRPr="000C7801">
        <w:rPr>
          <w:rFonts w:ascii="Arial" w:eastAsia="Times New Roman" w:hAnsi="Arial" w:cs="Arial"/>
          <w:sz w:val="20"/>
          <w:szCs w:val="20"/>
        </w:rPr>
        <w:t xml:space="preserve">The permittee may delay the burner inspection until the next scheduled or unscheduled unit shutdown, but each burner must be inspected at least once every 72 months.  </w:t>
      </w:r>
      <w:r w:rsidRPr="000C7801">
        <w:rPr>
          <w:rFonts w:ascii="Arial" w:eastAsia="Times New Roman" w:hAnsi="Arial" w:cs="Arial"/>
          <w:b/>
          <w:bCs/>
          <w:sz w:val="20"/>
          <w:szCs w:val="20"/>
        </w:rPr>
        <w:t>(40 CFR 63.7540(a)(12))</w:t>
      </w:r>
    </w:p>
    <w:p w14:paraId="73460D10" w14:textId="052316AA" w:rsidR="000C7801" w:rsidRPr="004705A7" w:rsidRDefault="00000000" w:rsidP="00A46D4C">
      <w:pPr>
        <w:spacing w:before="160"/>
        <w:rPr>
          <w:rFonts w:ascii="Arial" w:eastAsia="Times New Roman" w:hAnsi="Arial" w:cs="Arial"/>
          <w:sz w:val="20"/>
          <w:szCs w:val="20"/>
        </w:rPr>
      </w:pPr>
      <w:r w:rsidRPr="00A46D4C">
        <w:rPr>
          <w:rFonts w:ascii="Arial" w:eastAsia="Times New Roman" w:hAnsi="Arial" w:cs="Arial"/>
          <w:b/>
          <w:bCs/>
          <w:color w:val="ED0000"/>
          <w:sz w:val="20"/>
          <w:szCs w:val="20"/>
        </w:rPr>
        <w:t>ALWAYS INCLUDE</w:t>
      </w:r>
    </w:p>
    <w:p w14:paraId="617005FD" w14:textId="77777777" w:rsidR="000C7801" w:rsidRPr="000C7801" w:rsidRDefault="00000000" w:rsidP="00A46D4C">
      <w:pPr>
        <w:numPr>
          <w:ilvl w:val="0"/>
          <w:numId w:val="8"/>
        </w:numPr>
        <w:spacing w:before="160"/>
        <w:rPr>
          <w:rFonts w:ascii="Arial" w:eastAsia="Times New Roman" w:hAnsi="Arial" w:cs="Arial"/>
          <w:b/>
          <w:bCs/>
          <w:sz w:val="20"/>
          <w:szCs w:val="20"/>
        </w:rPr>
      </w:pPr>
      <w:r w:rsidRPr="000C7801">
        <w:rPr>
          <w:rFonts w:ascii="Arial" w:eastAsia="Times New Roman" w:hAnsi="Arial" w:cs="Arial"/>
          <w:sz w:val="20"/>
          <w:szCs w:val="20"/>
        </w:rPr>
        <w:t xml:space="preserve">If the unit is not operating on the required date for the tune-up, the tune-up must be conducted within 30 calendar days of startup.  </w:t>
      </w:r>
      <w:r w:rsidRPr="000C7801">
        <w:rPr>
          <w:rFonts w:ascii="Arial" w:eastAsia="Times New Roman" w:hAnsi="Arial" w:cs="Arial"/>
          <w:b/>
          <w:bCs/>
          <w:sz w:val="20"/>
          <w:szCs w:val="20"/>
        </w:rPr>
        <w:t>(40 CFR 63.7540(a)(13))</w:t>
      </w:r>
      <w:r w:rsidRPr="000C7801">
        <w:rPr>
          <w:rFonts w:ascii="Arial" w:eastAsia="Times New Roman" w:hAnsi="Arial" w:cs="Arial"/>
          <w:sz w:val="20"/>
          <w:szCs w:val="20"/>
        </w:rPr>
        <w:t xml:space="preserve"> </w:t>
      </w:r>
    </w:p>
    <w:p w14:paraId="75E39367" w14:textId="77777777" w:rsidR="000C7801" w:rsidRPr="000C7801" w:rsidRDefault="00000000" w:rsidP="00A46D4C">
      <w:pPr>
        <w:numPr>
          <w:ilvl w:val="0"/>
          <w:numId w:val="8"/>
        </w:numPr>
        <w:spacing w:before="160"/>
        <w:rPr>
          <w:rFonts w:ascii="Arial" w:eastAsia="Times New Roman" w:hAnsi="Arial" w:cs="Arial"/>
          <w:sz w:val="20"/>
          <w:szCs w:val="20"/>
        </w:rPr>
      </w:pPr>
      <w:r w:rsidRPr="000C7801">
        <w:rPr>
          <w:rFonts w:ascii="Arial" w:eastAsia="Times New Roman" w:hAnsi="Arial" w:cs="Arial"/>
          <w:sz w:val="20"/>
          <w:szCs w:val="20"/>
        </w:rPr>
        <w:t xml:space="preserve">At all times, the permittee must operate and maintain each metal process furnace, including associated air pollution control equipment and monitoring equipment, in a manner consistent with safety and good air pollution control practices for minimizing emissions.  Determination of whether such operation and maintenance procedures are being used will be based on information available to the </w:t>
      </w:r>
      <w:r w:rsidRPr="000C7801">
        <w:rPr>
          <w:rFonts w:ascii="Arial" w:eastAsia="Times New Roman" w:hAnsi="Arial" w:cs="Times New Roman"/>
          <w:sz w:val="20"/>
          <w:szCs w:val="20"/>
        </w:rPr>
        <w:t>Administrator</w:t>
      </w:r>
      <w:r w:rsidRPr="000C7801">
        <w:rPr>
          <w:rFonts w:ascii="Arial" w:eastAsia="Times New Roman" w:hAnsi="Arial" w:cs="Arial"/>
          <w:sz w:val="20"/>
          <w:szCs w:val="20"/>
        </w:rPr>
        <w:t xml:space="preserve"> that may include, but is not limited to, monitoring results, review of operation and maintenance procedures, review of operation and maintenance records, and inspection of the source.  </w:t>
      </w:r>
      <w:r w:rsidRPr="000C7801">
        <w:rPr>
          <w:rFonts w:ascii="Arial" w:eastAsia="Times New Roman" w:hAnsi="Arial" w:cs="Arial"/>
          <w:b/>
          <w:bCs/>
          <w:sz w:val="20"/>
          <w:szCs w:val="20"/>
        </w:rPr>
        <w:t>(40 CFR 63.7500(a)(3))</w:t>
      </w:r>
    </w:p>
    <w:p w14:paraId="694B8FFF" w14:textId="77777777" w:rsidR="000C7801" w:rsidRPr="000C7801" w:rsidRDefault="00000000" w:rsidP="00010DCF">
      <w:pPr>
        <w:pStyle w:val="Heading5"/>
        <w:rPr>
          <w:rFonts w:eastAsia="Times New Roman"/>
        </w:rPr>
      </w:pPr>
      <w:r w:rsidRPr="000C7801">
        <w:rPr>
          <w:rFonts w:eastAsia="Times New Roman"/>
        </w:rPr>
        <w:t>IV.  DESIGN/EQUIPMENT PARAMETER(S)</w:t>
      </w:r>
    </w:p>
    <w:p w14:paraId="37A748D8" w14:textId="77777777" w:rsidR="000C7801" w:rsidRPr="000C7801" w:rsidRDefault="00000000" w:rsidP="00010DCF">
      <w:pPr>
        <w:spacing w:before="120" w:line="240" w:lineRule="auto"/>
        <w:rPr>
          <w:rFonts w:ascii="Arial" w:eastAsia="Times New Roman" w:hAnsi="Arial" w:cs="Arial"/>
          <w:sz w:val="20"/>
          <w:szCs w:val="20"/>
        </w:rPr>
      </w:pPr>
      <w:r w:rsidRPr="000C7801">
        <w:rPr>
          <w:rFonts w:ascii="Arial" w:eastAsia="Times New Roman" w:hAnsi="Arial" w:cs="Arial"/>
          <w:sz w:val="20"/>
          <w:szCs w:val="20"/>
        </w:rPr>
        <w:t>NA</w:t>
      </w:r>
    </w:p>
    <w:p w14:paraId="1C9A59C2" w14:textId="77777777" w:rsidR="000C7801" w:rsidRPr="000C7801" w:rsidRDefault="00000000" w:rsidP="00010DCF">
      <w:pPr>
        <w:pStyle w:val="Heading5"/>
        <w:spacing w:after="20"/>
        <w:rPr>
          <w:rFonts w:eastAsia="Times New Roman"/>
        </w:rPr>
      </w:pPr>
      <w:r w:rsidRPr="000C7801">
        <w:rPr>
          <w:rFonts w:eastAsia="Times New Roman"/>
        </w:rPr>
        <w:t>V.  TESTING/SAMPLING</w:t>
      </w:r>
    </w:p>
    <w:p w14:paraId="68723B8B" w14:textId="77777777" w:rsidR="000C7801" w:rsidRPr="000C7801" w:rsidRDefault="00000000" w:rsidP="00010DCF">
      <w:pPr>
        <w:spacing w:before="20" w:line="240" w:lineRule="auto"/>
        <w:rPr>
          <w:rFonts w:ascii="Arial" w:eastAsia="Times New Roman" w:hAnsi="Arial" w:cs="Arial"/>
          <w:b/>
          <w:sz w:val="20"/>
          <w:szCs w:val="20"/>
        </w:rPr>
      </w:pPr>
      <w:r w:rsidRPr="000C7801">
        <w:rPr>
          <w:rFonts w:ascii="Arial" w:eastAsia="Times New Roman" w:hAnsi="Arial" w:cs="Arial"/>
          <w:sz w:val="20"/>
          <w:szCs w:val="20"/>
        </w:rPr>
        <w:t xml:space="preserve">Records shall be maintained on file for a period of five years.  </w:t>
      </w:r>
      <w:r w:rsidRPr="000C7801">
        <w:rPr>
          <w:rFonts w:ascii="Arial" w:eastAsia="Times New Roman" w:hAnsi="Arial" w:cs="Arial"/>
          <w:b/>
          <w:sz w:val="20"/>
          <w:szCs w:val="20"/>
        </w:rPr>
        <w:t>(R 336.1213(3)(b)(ii))</w:t>
      </w:r>
    </w:p>
    <w:p w14:paraId="01633C0F" w14:textId="442246E8" w:rsidR="000C7801" w:rsidRPr="000C7801" w:rsidRDefault="00000000" w:rsidP="00010DCF">
      <w:pPr>
        <w:spacing w:before="120" w:line="240" w:lineRule="auto"/>
        <w:rPr>
          <w:rFonts w:ascii="Arial" w:eastAsia="Times New Roman" w:hAnsi="Arial" w:cs="Arial"/>
          <w:b/>
          <w:color w:val="0000FF"/>
          <w:sz w:val="20"/>
          <w:szCs w:val="20"/>
        </w:rPr>
      </w:pPr>
      <w:r w:rsidRPr="000C7801">
        <w:rPr>
          <w:rFonts w:ascii="Arial" w:eastAsia="Times New Roman" w:hAnsi="Arial" w:cs="Arial"/>
          <w:b/>
          <w:color w:val="0000FF"/>
          <w:sz w:val="20"/>
          <w:szCs w:val="20"/>
        </w:rPr>
        <w:t xml:space="preserve">Permit staff – </w:t>
      </w:r>
      <w:r w:rsidR="00010DCF">
        <w:rPr>
          <w:rFonts w:ascii="Arial" w:eastAsia="Times New Roman" w:hAnsi="Arial" w:cs="Arial"/>
          <w:b/>
          <w:color w:val="0000FF"/>
          <w:sz w:val="20"/>
          <w:szCs w:val="20"/>
        </w:rPr>
        <w:t>CHANGE</w:t>
      </w:r>
      <w:r w:rsidRPr="000C7801">
        <w:rPr>
          <w:rFonts w:ascii="Arial" w:eastAsia="Times New Roman" w:hAnsi="Arial" w:cs="Arial"/>
          <w:b/>
          <w:color w:val="0000FF"/>
          <w:sz w:val="20"/>
          <w:szCs w:val="20"/>
        </w:rPr>
        <w:t xml:space="preserve"> above UAR to Rule 201(3) if using in a PTI.</w:t>
      </w:r>
    </w:p>
    <w:p w14:paraId="473EAA92" w14:textId="77777777" w:rsidR="000C7801" w:rsidRPr="000C7801" w:rsidRDefault="00000000" w:rsidP="00010DCF">
      <w:pPr>
        <w:spacing w:before="120" w:line="240" w:lineRule="auto"/>
        <w:rPr>
          <w:rFonts w:ascii="Arial" w:eastAsia="Times New Roman" w:hAnsi="Arial" w:cs="Arial"/>
          <w:sz w:val="20"/>
          <w:szCs w:val="20"/>
        </w:rPr>
      </w:pPr>
      <w:r w:rsidRPr="000C7801">
        <w:rPr>
          <w:rFonts w:ascii="Arial" w:eastAsia="Times New Roman" w:hAnsi="Arial" w:cs="Arial"/>
          <w:sz w:val="20"/>
          <w:szCs w:val="20"/>
        </w:rPr>
        <w:t>NA</w:t>
      </w:r>
    </w:p>
    <w:p w14:paraId="281D9569" w14:textId="77777777" w:rsidR="000C7801" w:rsidRPr="000C7801" w:rsidRDefault="00000000" w:rsidP="00010DCF">
      <w:pPr>
        <w:pStyle w:val="Heading5"/>
        <w:spacing w:after="20"/>
        <w:rPr>
          <w:rFonts w:eastAsia="Times New Roman"/>
        </w:rPr>
      </w:pPr>
      <w:r w:rsidRPr="000C7801">
        <w:rPr>
          <w:rFonts w:eastAsia="Times New Roman"/>
        </w:rPr>
        <w:t>VI.  MONITORING/RECORDKEEPING</w:t>
      </w:r>
    </w:p>
    <w:p w14:paraId="11F9B68A" w14:textId="77777777" w:rsidR="000C7801" w:rsidRPr="000C7801" w:rsidRDefault="00000000" w:rsidP="00010DCF">
      <w:pPr>
        <w:spacing w:before="20" w:line="240" w:lineRule="auto"/>
        <w:rPr>
          <w:rFonts w:ascii="Arial" w:eastAsia="Times New Roman" w:hAnsi="Arial" w:cs="Times New Roman"/>
          <w:b/>
          <w:sz w:val="20"/>
          <w:szCs w:val="20"/>
        </w:rPr>
      </w:pPr>
      <w:r w:rsidRPr="000C7801">
        <w:rPr>
          <w:rFonts w:ascii="Arial" w:eastAsia="Times New Roman" w:hAnsi="Arial" w:cs="Arial"/>
          <w:sz w:val="20"/>
          <w:szCs w:val="20"/>
        </w:rPr>
        <w:t xml:space="preserve">Records shall be maintained on file for a period of five years.  </w:t>
      </w:r>
      <w:r w:rsidRPr="000C7801">
        <w:rPr>
          <w:rFonts w:ascii="Arial" w:eastAsia="Times New Roman" w:hAnsi="Arial" w:cs="Arial"/>
          <w:b/>
          <w:sz w:val="20"/>
          <w:szCs w:val="20"/>
        </w:rPr>
        <w:t>(</w:t>
      </w:r>
      <w:r w:rsidRPr="000C7801">
        <w:rPr>
          <w:rFonts w:ascii="Arial" w:eastAsia="Times New Roman" w:hAnsi="Arial" w:cs="Times New Roman"/>
          <w:b/>
          <w:sz w:val="20"/>
          <w:szCs w:val="20"/>
        </w:rPr>
        <w:t>R 336.1213(3)(b)(ii))</w:t>
      </w:r>
    </w:p>
    <w:p w14:paraId="33DC73FF" w14:textId="1465C703" w:rsidR="000C7801" w:rsidRPr="000C7801" w:rsidRDefault="00000000" w:rsidP="00010DCF">
      <w:pPr>
        <w:spacing w:before="120" w:line="240" w:lineRule="auto"/>
        <w:rPr>
          <w:rFonts w:ascii="Arial" w:eastAsia="Times New Roman" w:hAnsi="Arial" w:cs="Arial"/>
          <w:b/>
          <w:color w:val="0000FF"/>
          <w:sz w:val="20"/>
          <w:szCs w:val="20"/>
        </w:rPr>
      </w:pPr>
      <w:r w:rsidRPr="000C7801">
        <w:rPr>
          <w:rFonts w:ascii="Arial" w:eastAsia="Times New Roman" w:hAnsi="Arial" w:cs="Times New Roman"/>
          <w:b/>
          <w:color w:val="0000FF"/>
          <w:sz w:val="20"/>
          <w:szCs w:val="20"/>
        </w:rPr>
        <w:t xml:space="preserve">Permit staff – </w:t>
      </w:r>
      <w:r w:rsidR="00010DCF" w:rsidRPr="00010DCF">
        <w:rPr>
          <w:rFonts w:ascii="Arial" w:eastAsia="Times New Roman" w:hAnsi="Arial" w:cs="Times New Roman"/>
          <w:b/>
          <w:color w:val="0000FF"/>
          <w:sz w:val="20"/>
          <w:szCs w:val="20"/>
        </w:rPr>
        <w:t>CHANGE</w:t>
      </w:r>
      <w:r w:rsidRPr="000C7801">
        <w:rPr>
          <w:rFonts w:ascii="Arial" w:eastAsia="Times New Roman" w:hAnsi="Arial" w:cs="Times New Roman"/>
          <w:b/>
          <w:color w:val="0000FF"/>
          <w:sz w:val="20"/>
          <w:szCs w:val="20"/>
        </w:rPr>
        <w:t xml:space="preserve"> above UAR to Rule 201(3) if using in a PTI.</w:t>
      </w:r>
    </w:p>
    <w:p w14:paraId="54ECCD4E" w14:textId="77777777" w:rsidR="000C7801" w:rsidRPr="000C7801" w:rsidRDefault="00000000" w:rsidP="00010DCF">
      <w:pPr>
        <w:spacing w:before="120" w:line="240" w:lineRule="auto"/>
        <w:ind w:left="360" w:hanging="360"/>
        <w:rPr>
          <w:rFonts w:ascii="Arial" w:eastAsia="Times New Roman" w:hAnsi="Arial" w:cs="Arial"/>
          <w:sz w:val="20"/>
          <w:szCs w:val="20"/>
        </w:rPr>
      </w:pPr>
      <w:r w:rsidRPr="00A46D4C">
        <w:rPr>
          <w:rFonts w:ascii="Arial" w:eastAsia="Times New Roman" w:hAnsi="Arial" w:cs="Arial"/>
          <w:b/>
          <w:bCs/>
          <w:color w:val="ED0000"/>
          <w:sz w:val="20"/>
          <w:szCs w:val="20"/>
        </w:rPr>
        <w:t>ALWAYS INCLUDE</w:t>
      </w:r>
    </w:p>
    <w:p w14:paraId="1B8D0A39" w14:textId="77777777" w:rsidR="000C7801" w:rsidRPr="000C7801" w:rsidRDefault="00000000" w:rsidP="00A46D4C">
      <w:pPr>
        <w:numPr>
          <w:ilvl w:val="0"/>
          <w:numId w:val="4"/>
        </w:numPr>
        <w:spacing w:before="160"/>
        <w:ind w:left="360"/>
        <w:rPr>
          <w:rFonts w:ascii="Arial" w:eastAsia="Times New Roman" w:hAnsi="Arial" w:cs="Arial"/>
          <w:sz w:val="20"/>
          <w:szCs w:val="20"/>
        </w:rPr>
      </w:pPr>
      <w:r w:rsidRPr="000C7801">
        <w:rPr>
          <w:rFonts w:ascii="Arial" w:eastAsia="Times New Roman" w:hAnsi="Arial" w:cs="Arial"/>
          <w:sz w:val="20"/>
          <w:szCs w:val="20"/>
        </w:rPr>
        <w:t xml:space="preserve">The permittee must keep a copy of each notification and report that the permittee submitted to comply with 40 CFR Part 63, Subpart DDDDD, including all documentation supporting any Initial Notification or Notification of Compliance Status or annual or 5-year compliance report, as applicable, that the permittee submitted.  </w:t>
      </w:r>
      <w:r w:rsidRPr="000C7801">
        <w:rPr>
          <w:rFonts w:ascii="Arial" w:eastAsia="Times New Roman" w:hAnsi="Arial" w:cs="Arial"/>
          <w:b/>
          <w:sz w:val="20"/>
          <w:szCs w:val="20"/>
        </w:rPr>
        <w:t>(40 CFR 63.7555(a)(1))</w:t>
      </w:r>
    </w:p>
    <w:p w14:paraId="505225ED" w14:textId="77777777" w:rsidR="000C7801" w:rsidRPr="000C7801" w:rsidRDefault="00000000" w:rsidP="00A46D4C">
      <w:pPr>
        <w:numPr>
          <w:ilvl w:val="0"/>
          <w:numId w:val="4"/>
        </w:numPr>
        <w:spacing w:before="160"/>
        <w:ind w:left="360"/>
        <w:rPr>
          <w:rFonts w:ascii="Arial" w:eastAsia="Times New Roman" w:hAnsi="Arial" w:cs="Arial"/>
          <w:bCs/>
          <w:sz w:val="20"/>
          <w:szCs w:val="20"/>
        </w:rPr>
      </w:pPr>
      <w:r w:rsidRPr="000C7801">
        <w:rPr>
          <w:rFonts w:ascii="Arial" w:eastAsia="Times New Roman" w:hAnsi="Arial" w:cs="Arial"/>
          <w:bCs/>
          <w:sz w:val="20"/>
          <w:szCs w:val="20"/>
        </w:rPr>
        <w:t xml:space="preserve">The permittee shall maintain on-site and submit, if requested by the AQD, an annual </w:t>
      </w:r>
      <w:r w:rsidRPr="000C7801">
        <w:rPr>
          <w:rFonts w:ascii="Arial" w:eastAsia="Times New Roman" w:hAnsi="Arial" w:cs="Arial"/>
          <w:sz w:val="20"/>
          <w:szCs w:val="20"/>
        </w:rPr>
        <w:t xml:space="preserve">or 5-year </w:t>
      </w:r>
      <w:r w:rsidRPr="000C7801">
        <w:rPr>
          <w:rFonts w:ascii="Arial" w:eastAsia="Times New Roman" w:hAnsi="Arial" w:cs="Arial"/>
          <w:bCs/>
          <w:sz w:val="20"/>
          <w:szCs w:val="20"/>
        </w:rPr>
        <w:t>tune-up report</w:t>
      </w:r>
      <w:r w:rsidRPr="000C7801">
        <w:rPr>
          <w:rFonts w:ascii="Arial" w:eastAsia="Times New Roman" w:hAnsi="Arial" w:cs="Arial"/>
          <w:sz w:val="20"/>
          <w:szCs w:val="20"/>
        </w:rPr>
        <w:t>, as applicable,</w:t>
      </w:r>
      <w:r w:rsidRPr="000C7801">
        <w:rPr>
          <w:rFonts w:ascii="Arial" w:eastAsia="Times New Roman" w:hAnsi="Arial" w:cs="Arial"/>
          <w:bCs/>
          <w:sz w:val="20"/>
          <w:szCs w:val="20"/>
        </w:rPr>
        <w:t xml:space="preserve"> containing the information listed below. </w:t>
      </w:r>
    </w:p>
    <w:p w14:paraId="7A85E689" w14:textId="77777777" w:rsidR="000C7801" w:rsidRPr="000C7801" w:rsidRDefault="00000000" w:rsidP="00A46D4C">
      <w:pPr>
        <w:numPr>
          <w:ilvl w:val="0"/>
          <w:numId w:val="6"/>
        </w:numPr>
        <w:spacing w:before="160"/>
        <w:rPr>
          <w:rFonts w:ascii="Arial" w:eastAsia="Times New Roman" w:hAnsi="Arial" w:cs="Arial"/>
          <w:bCs/>
          <w:sz w:val="20"/>
          <w:szCs w:val="20"/>
        </w:rPr>
      </w:pPr>
      <w:r w:rsidRPr="000C7801">
        <w:rPr>
          <w:rFonts w:ascii="Arial" w:eastAsia="Times New Roman" w:hAnsi="Arial" w:cs="Arial"/>
          <w:bCs/>
          <w:sz w:val="20"/>
          <w:szCs w:val="20"/>
        </w:rPr>
        <w:t xml:space="preserve">The concentrations of CO in the effluent stream in parts per million by volume, and oxygen in volume percent, measured at high fire or typical operating load, before and after the tune-up of the metal process furnaces. </w:t>
      </w:r>
      <w:r w:rsidRPr="000C7801">
        <w:rPr>
          <w:rFonts w:ascii="Arial" w:eastAsia="Times New Roman" w:hAnsi="Arial" w:cs="Arial"/>
          <w:b/>
          <w:sz w:val="20"/>
          <w:szCs w:val="20"/>
        </w:rPr>
        <w:t>(40 CFR 63.7540(a)(10)(vi)(A))</w:t>
      </w:r>
    </w:p>
    <w:p w14:paraId="7DEA161E" w14:textId="77777777" w:rsidR="000C7801" w:rsidRPr="000C7801" w:rsidRDefault="00000000" w:rsidP="00A46D4C">
      <w:pPr>
        <w:numPr>
          <w:ilvl w:val="0"/>
          <w:numId w:val="6"/>
        </w:numPr>
        <w:spacing w:before="160"/>
        <w:rPr>
          <w:rFonts w:ascii="Arial" w:eastAsia="Times New Roman" w:hAnsi="Arial" w:cs="Arial"/>
          <w:bCs/>
          <w:sz w:val="20"/>
          <w:szCs w:val="20"/>
        </w:rPr>
      </w:pPr>
      <w:r w:rsidRPr="000C7801">
        <w:rPr>
          <w:rFonts w:ascii="Arial" w:eastAsia="Times New Roman" w:hAnsi="Arial" w:cs="Arial"/>
          <w:bCs/>
          <w:sz w:val="20"/>
          <w:szCs w:val="20"/>
        </w:rPr>
        <w:t xml:space="preserve">A description of any corrective actions taken as a part of the tune-up.  </w:t>
      </w:r>
      <w:r w:rsidRPr="000C7801">
        <w:rPr>
          <w:rFonts w:ascii="Arial" w:eastAsia="Times New Roman" w:hAnsi="Arial" w:cs="Arial"/>
          <w:b/>
          <w:sz w:val="20"/>
          <w:szCs w:val="20"/>
        </w:rPr>
        <w:t>(40 CFR 63.7540(a)(10)(vi)(B))</w:t>
      </w:r>
    </w:p>
    <w:p w14:paraId="185F82F3" w14:textId="77777777" w:rsidR="000C7801" w:rsidRPr="000C7801" w:rsidRDefault="00000000" w:rsidP="00A46D4C">
      <w:pPr>
        <w:numPr>
          <w:ilvl w:val="0"/>
          <w:numId w:val="6"/>
        </w:numPr>
        <w:spacing w:before="160"/>
        <w:rPr>
          <w:rFonts w:ascii="Arial" w:eastAsia="Times New Roman" w:hAnsi="Arial" w:cs="Arial"/>
          <w:b/>
          <w:sz w:val="20"/>
          <w:szCs w:val="20"/>
        </w:rPr>
      </w:pPr>
      <w:r w:rsidRPr="000C7801">
        <w:rPr>
          <w:rFonts w:ascii="Arial" w:eastAsia="Times New Roman" w:hAnsi="Arial" w:cs="Arial"/>
          <w:bCs/>
          <w:sz w:val="20"/>
          <w:szCs w:val="20"/>
        </w:rPr>
        <w:t xml:space="preserve">The type and amount of fuel used over the 12 months prior to the tune-up, but only if the unit was physically and legally capable of using more than one type of fuel during that period.  Units sharing a fuel meter may estimate the fuel used by each unit.  </w:t>
      </w:r>
      <w:r w:rsidRPr="000C7801">
        <w:rPr>
          <w:rFonts w:ascii="Arial" w:eastAsia="Times New Roman" w:hAnsi="Arial" w:cs="Arial"/>
          <w:b/>
          <w:sz w:val="20"/>
          <w:szCs w:val="20"/>
        </w:rPr>
        <w:t>(40 CFR 63.7540(a)(10)(vi)(C))</w:t>
      </w:r>
    </w:p>
    <w:p w14:paraId="6A071BA1" w14:textId="77777777" w:rsidR="000C7801" w:rsidRPr="000C7801" w:rsidRDefault="00000000" w:rsidP="00A46D4C">
      <w:pPr>
        <w:numPr>
          <w:ilvl w:val="0"/>
          <w:numId w:val="4"/>
        </w:numPr>
        <w:spacing w:before="160"/>
        <w:ind w:left="360"/>
        <w:rPr>
          <w:rFonts w:ascii="Arial" w:eastAsia="Times New Roman" w:hAnsi="Arial" w:cs="Arial"/>
          <w:sz w:val="20"/>
          <w:szCs w:val="20"/>
        </w:rPr>
      </w:pPr>
      <w:r w:rsidRPr="000C7801">
        <w:rPr>
          <w:rFonts w:ascii="Arial" w:eastAsia="Times New Roman" w:hAnsi="Arial" w:cs="Arial"/>
          <w:sz w:val="20"/>
          <w:szCs w:val="20"/>
        </w:rPr>
        <w:t xml:space="preserve">The permittee’s records must be in a form suitable and readily available for expeditious review, according to 40 CFR 63.10(b)(1).  </w:t>
      </w:r>
      <w:r w:rsidRPr="000C7801">
        <w:rPr>
          <w:rFonts w:ascii="Arial" w:eastAsia="Times New Roman" w:hAnsi="Arial" w:cs="Arial"/>
          <w:b/>
          <w:sz w:val="20"/>
          <w:szCs w:val="20"/>
        </w:rPr>
        <w:t>(40 CFR 63.7560(a))</w:t>
      </w:r>
    </w:p>
    <w:p w14:paraId="1A2CD5E9" w14:textId="66C27CEC" w:rsidR="000C7801" w:rsidRPr="000C7801" w:rsidRDefault="00000000" w:rsidP="00A46D4C">
      <w:pPr>
        <w:numPr>
          <w:ilvl w:val="0"/>
          <w:numId w:val="4"/>
        </w:numPr>
        <w:spacing w:before="160"/>
        <w:ind w:left="360"/>
        <w:rPr>
          <w:rFonts w:ascii="Arial" w:eastAsia="Times New Roman" w:hAnsi="Arial" w:cs="Arial"/>
          <w:sz w:val="20"/>
          <w:szCs w:val="20"/>
        </w:rPr>
      </w:pPr>
      <w:r w:rsidRPr="000C7801">
        <w:rPr>
          <w:rFonts w:ascii="Arial" w:eastAsia="Times New Roman" w:hAnsi="Arial" w:cs="Arial"/>
          <w:sz w:val="20"/>
          <w:szCs w:val="20"/>
        </w:rPr>
        <w:t>As specified in 40 CFR 63.10(b)(1), the permittee must keep each record for 5</w:t>
      </w:r>
      <w:r w:rsidR="00A46D4C">
        <w:rPr>
          <w:rFonts w:ascii="Arial" w:eastAsia="Times New Roman" w:hAnsi="Arial" w:cs="Arial"/>
          <w:sz w:val="20"/>
          <w:szCs w:val="20"/>
        </w:rPr>
        <w:t xml:space="preserve"> </w:t>
      </w:r>
      <w:r w:rsidRPr="000C7801">
        <w:rPr>
          <w:rFonts w:ascii="Arial" w:eastAsia="Times New Roman" w:hAnsi="Arial" w:cs="Arial"/>
          <w:sz w:val="20"/>
          <w:szCs w:val="20"/>
        </w:rPr>
        <w:t xml:space="preserve">years following the date of each occurrence, measurement, maintenance, corrective action, report, or record.  </w:t>
      </w:r>
      <w:r w:rsidRPr="000C7801">
        <w:rPr>
          <w:rFonts w:ascii="Arial" w:eastAsia="Times New Roman" w:hAnsi="Arial" w:cs="Arial"/>
          <w:b/>
          <w:sz w:val="20"/>
          <w:szCs w:val="20"/>
        </w:rPr>
        <w:t>(40 CFR 63.7560(b))</w:t>
      </w:r>
    </w:p>
    <w:p w14:paraId="22062EBE" w14:textId="6232C93D" w:rsidR="000C7801" w:rsidRPr="000C7801" w:rsidRDefault="00000000" w:rsidP="00A46D4C">
      <w:pPr>
        <w:numPr>
          <w:ilvl w:val="0"/>
          <w:numId w:val="4"/>
        </w:numPr>
        <w:spacing w:before="160"/>
        <w:ind w:left="360"/>
        <w:rPr>
          <w:rFonts w:ascii="Arial" w:eastAsia="Times New Roman" w:hAnsi="Arial" w:cs="Arial"/>
          <w:sz w:val="20"/>
          <w:szCs w:val="20"/>
        </w:rPr>
      </w:pPr>
      <w:r w:rsidRPr="000C7801">
        <w:rPr>
          <w:rFonts w:ascii="Arial" w:eastAsia="Times New Roman" w:hAnsi="Arial" w:cs="Arial"/>
          <w:sz w:val="20"/>
          <w:szCs w:val="20"/>
        </w:rPr>
        <w:t>The permittee must keep each record on site, or they must be accessible from on-site (for example, through a computer network), for at least 2</w:t>
      </w:r>
      <w:r w:rsidR="00010DCF">
        <w:rPr>
          <w:rFonts w:ascii="Arial" w:eastAsia="Times New Roman" w:hAnsi="Arial" w:cs="Arial"/>
          <w:sz w:val="20"/>
          <w:szCs w:val="20"/>
        </w:rPr>
        <w:t xml:space="preserve"> </w:t>
      </w:r>
      <w:r w:rsidRPr="000C7801">
        <w:rPr>
          <w:rFonts w:ascii="Arial" w:eastAsia="Times New Roman" w:hAnsi="Arial" w:cs="Arial"/>
          <w:sz w:val="20"/>
          <w:szCs w:val="20"/>
        </w:rPr>
        <w:t xml:space="preserve">years after the date of each occurrence, measurement, maintenance, </w:t>
      </w:r>
      <w:r w:rsidRPr="000C7801">
        <w:rPr>
          <w:rFonts w:ascii="Arial" w:eastAsia="Times New Roman" w:hAnsi="Arial" w:cs="Arial"/>
          <w:sz w:val="20"/>
          <w:szCs w:val="20"/>
        </w:rPr>
        <w:lastRenderedPageBreak/>
        <w:t xml:space="preserve">corrective action, report, or record.  The permittee can keep the records off site for the remaining 3-years.  </w:t>
      </w:r>
      <w:r w:rsidRPr="000C7801">
        <w:rPr>
          <w:rFonts w:ascii="Arial" w:eastAsia="Times New Roman" w:hAnsi="Arial" w:cs="Arial"/>
          <w:b/>
          <w:sz w:val="20"/>
          <w:szCs w:val="20"/>
        </w:rPr>
        <w:t>(40 CFR 63.7560(c))</w:t>
      </w:r>
    </w:p>
    <w:p w14:paraId="2F0E12EE" w14:textId="77777777" w:rsidR="000C7801" w:rsidRPr="000C7801" w:rsidRDefault="00000000" w:rsidP="00010DCF">
      <w:pPr>
        <w:pStyle w:val="Heading5"/>
        <w:rPr>
          <w:rFonts w:eastAsia="Times New Roman"/>
        </w:rPr>
      </w:pPr>
      <w:r w:rsidRPr="000C7801">
        <w:rPr>
          <w:rFonts w:eastAsia="Times New Roman"/>
        </w:rPr>
        <w:t>VII.  REPORTING</w:t>
      </w:r>
    </w:p>
    <w:p w14:paraId="727E3374" w14:textId="77777777" w:rsidR="000C7801" w:rsidRPr="000C7801" w:rsidRDefault="00000000" w:rsidP="00010DCF">
      <w:pPr>
        <w:spacing w:before="120" w:line="240" w:lineRule="auto"/>
        <w:rPr>
          <w:rFonts w:ascii="Arial" w:eastAsia="Times New Roman" w:hAnsi="Arial" w:cs="Arial"/>
          <w:bCs/>
          <w:sz w:val="20"/>
          <w:szCs w:val="20"/>
        </w:rPr>
      </w:pPr>
      <w:r w:rsidRPr="000C7801">
        <w:rPr>
          <w:rFonts w:ascii="Arial" w:eastAsia="Times New Roman" w:hAnsi="Arial" w:cs="Arial"/>
          <w:bCs/>
          <w:color w:val="0000FF"/>
          <w:sz w:val="20"/>
          <w:szCs w:val="20"/>
        </w:rPr>
        <w:t>Permit Staff – SC VII.1, 2, and 3, references to Rule 213 are ROP only.  Remove before putting into a PTI. Renumber as appropriate.</w:t>
      </w:r>
    </w:p>
    <w:p w14:paraId="6E88D5DC" w14:textId="77777777" w:rsidR="000C7801" w:rsidRPr="000C7801" w:rsidRDefault="00000000" w:rsidP="00A46D4C">
      <w:pPr>
        <w:numPr>
          <w:ilvl w:val="0"/>
          <w:numId w:val="3"/>
        </w:numPr>
        <w:spacing w:before="160"/>
        <w:rPr>
          <w:rFonts w:ascii="Arial" w:eastAsia="Times New Roman" w:hAnsi="Arial" w:cs="Arial"/>
          <w:b/>
          <w:sz w:val="20"/>
          <w:szCs w:val="20"/>
        </w:rPr>
      </w:pPr>
      <w:r w:rsidRPr="000C7801">
        <w:rPr>
          <w:rFonts w:ascii="Arial" w:eastAsia="Times New Roman" w:hAnsi="Arial" w:cs="Arial"/>
          <w:sz w:val="20"/>
          <w:szCs w:val="20"/>
        </w:rPr>
        <w:t xml:space="preserve">Prompt reporting of deviations pursuant to General Conditions 21 and 22 of Part A.  </w:t>
      </w:r>
      <w:r w:rsidRPr="000C7801">
        <w:rPr>
          <w:rFonts w:ascii="Arial" w:eastAsia="Times New Roman" w:hAnsi="Arial" w:cs="Arial"/>
          <w:b/>
          <w:sz w:val="20"/>
          <w:szCs w:val="20"/>
        </w:rPr>
        <w:t>(R 336.1213(3)(c)(ii))</w:t>
      </w:r>
    </w:p>
    <w:p w14:paraId="04C10F58" w14:textId="4200F6CF" w:rsidR="000C7801" w:rsidRPr="000C7801" w:rsidRDefault="00000000" w:rsidP="00A46D4C">
      <w:pPr>
        <w:numPr>
          <w:ilvl w:val="0"/>
          <w:numId w:val="3"/>
        </w:numPr>
        <w:spacing w:before="160"/>
        <w:rPr>
          <w:rFonts w:ascii="Arial" w:eastAsia="Times New Roman" w:hAnsi="Arial" w:cs="Arial"/>
          <w:b/>
          <w:sz w:val="20"/>
          <w:szCs w:val="20"/>
        </w:rPr>
      </w:pPr>
      <w:r w:rsidRPr="000C7801">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0C7801">
        <w:rPr>
          <w:rFonts w:ascii="Arial" w:eastAsia="Times New Roman" w:hAnsi="Arial" w:cs="Arial"/>
          <w:b/>
          <w:sz w:val="20"/>
          <w:szCs w:val="20"/>
        </w:rPr>
        <w:t>(R 336.1213(3)(c)(i))</w:t>
      </w:r>
    </w:p>
    <w:p w14:paraId="413535B2" w14:textId="1123C70A" w:rsidR="000C7801" w:rsidRPr="000C7801" w:rsidRDefault="00000000" w:rsidP="00A46D4C">
      <w:pPr>
        <w:numPr>
          <w:ilvl w:val="0"/>
          <w:numId w:val="3"/>
        </w:numPr>
        <w:spacing w:before="160"/>
        <w:rPr>
          <w:rFonts w:ascii="Arial" w:eastAsia="Times New Roman" w:hAnsi="Arial" w:cs="Arial"/>
          <w:sz w:val="20"/>
          <w:szCs w:val="20"/>
        </w:rPr>
      </w:pPr>
      <w:r w:rsidRPr="000C7801">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0C7801">
        <w:rPr>
          <w:rFonts w:ascii="Arial" w:eastAsia="Times New Roman" w:hAnsi="Arial" w:cs="Arial"/>
          <w:b/>
          <w:sz w:val="20"/>
          <w:szCs w:val="20"/>
        </w:rPr>
        <w:t>(R 336.1213(4)(c))</w:t>
      </w:r>
    </w:p>
    <w:p w14:paraId="5D7823D3" w14:textId="77777777" w:rsidR="000C7801" w:rsidRPr="000C7801" w:rsidRDefault="00000000" w:rsidP="00A46D4C">
      <w:pPr>
        <w:spacing w:before="160"/>
        <w:rPr>
          <w:rFonts w:ascii="Arial" w:eastAsia="Times New Roman" w:hAnsi="Arial" w:cs="Arial"/>
          <w:sz w:val="20"/>
          <w:szCs w:val="20"/>
        </w:rPr>
      </w:pPr>
      <w:r w:rsidRPr="00A46D4C">
        <w:rPr>
          <w:rFonts w:ascii="Arial" w:eastAsia="Times New Roman" w:hAnsi="Arial" w:cs="Arial"/>
          <w:b/>
          <w:bCs/>
          <w:color w:val="ED0000"/>
          <w:sz w:val="20"/>
          <w:szCs w:val="20"/>
        </w:rPr>
        <w:t xml:space="preserve">OPTIONAL – </w:t>
      </w:r>
      <w:r w:rsidRPr="00A46D4C">
        <w:rPr>
          <w:rFonts w:ascii="Arial" w:eastAsia="Times New Roman" w:hAnsi="Arial" w:cs="Arial"/>
          <w:color w:val="ED0000"/>
          <w:sz w:val="20"/>
          <w:szCs w:val="20"/>
        </w:rPr>
        <w:t>For new units that are beginning operation and have not yet submitted an Initial Notification.  Delete if not applicable and verify final numbering.</w:t>
      </w:r>
    </w:p>
    <w:p w14:paraId="65034691" w14:textId="77777777" w:rsidR="000C7801" w:rsidRPr="000C7801" w:rsidRDefault="00000000" w:rsidP="00A46D4C">
      <w:pPr>
        <w:numPr>
          <w:ilvl w:val="0"/>
          <w:numId w:val="3"/>
        </w:numPr>
        <w:spacing w:before="160"/>
        <w:rPr>
          <w:rFonts w:ascii="Arial" w:eastAsia="Times New Roman" w:hAnsi="Arial" w:cs="Arial"/>
          <w:sz w:val="20"/>
          <w:szCs w:val="20"/>
        </w:rPr>
      </w:pPr>
      <w:r w:rsidRPr="000C7801">
        <w:rPr>
          <w:rFonts w:ascii="Arial" w:eastAsia="Times New Roman" w:hAnsi="Arial" w:cs="Arial"/>
          <w:sz w:val="20"/>
          <w:szCs w:val="20"/>
        </w:rPr>
        <w:t xml:space="preserve">The permittee must submit an Initial Notification no later than 15-days after the actual date of startup of the affected source.  </w:t>
      </w:r>
      <w:r w:rsidRPr="000C7801">
        <w:rPr>
          <w:rFonts w:ascii="Arial" w:eastAsia="Times New Roman" w:hAnsi="Arial" w:cs="Arial"/>
          <w:b/>
          <w:sz w:val="20"/>
          <w:szCs w:val="20"/>
        </w:rPr>
        <w:t>(40 CFR 63.7545(c))</w:t>
      </w:r>
    </w:p>
    <w:p w14:paraId="111E4322" w14:textId="77777777" w:rsidR="000C7801" w:rsidRPr="004705A7" w:rsidRDefault="00000000" w:rsidP="00A46D4C">
      <w:pPr>
        <w:spacing w:before="160"/>
        <w:rPr>
          <w:rFonts w:ascii="Arial" w:eastAsia="Times New Roman" w:hAnsi="Arial" w:cs="Arial"/>
          <w:sz w:val="20"/>
          <w:szCs w:val="20"/>
        </w:rPr>
      </w:pPr>
      <w:r w:rsidRPr="00A46D4C">
        <w:rPr>
          <w:rFonts w:ascii="Arial" w:eastAsia="Times New Roman" w:hAnsi="Arial" w:cs="Arial"/>
          <w:b/>
          <w:bCs/>
          <w:color w:val="ED0000"/>
          <w:sz w:val="20"/>
          <w:szCs w:val="20"/>
        </w:rPr>
        <w:t xml:space="preserve">ALWAYS INCLUDE – </w:t>
      </w:r>
      <w:r w:rsidRPr="00A46D4C">
        <w:rPr>
          <w:rFonts w:ascii="Arial" w:eastAsia="Times New Roman" w:hAnsi="Arial" w:cs="Arial"/>
          <w:color w:val="ED0000"/>
          <w:sz w:val="20"/>
          <w:szCs w:val="20"/>
        </w:rPr>
        <w:t>If there are only units with one-time frame for tune-ups (annual or 5-year per the requirements in Section III), you may delete the one that is not applicable.</w:t>
      </w:r>
    </w:p>
    <w:p w14:paraId="51021783" w14:textId="663349A3" w:rsidR="000C7801" w:rsidRPr="000C7801" w:rsidRDefault="00000000" w:rsidP="00A46D4C">
      <w:pPr>
        <w:numPr>
          <w:ilvl w:val="0"/>
          <w:numId w:val="3"/>
        </w:numPr>
        <w:spacing w:before="160"/>
        <w:rPr>
          <w:rFonts w:ascii="Arial" w:eastAsia="Times New Roman" w:hAnsi="Arial" w:cs="Arial"/>
          <w:sz w:val="20"/>
          <w:szCs w:val="20"/>
        </w:rPr>
      </w:pPr>
      <w:r w:rsidRPr="000C7801">
        <w:rPr>
          <w:rFonts w:ascii="Arial" w:eastAsia="Times New Roman" w:hAnsi="Arial" w:cs="Arial"/>
          <w:sz w:val="20"/>
          <w:szCs w:val="20"/>
        </w:rPr>
        <w:t xml:space="preserve">The permittee must submit boiler and process heater tune-up compliance reports to the AQD.  The reports must be submitted by March 15 of the year following the applicable </w:t>
      </w:r>
      <w:r w:rsidRPr="00A46D4C">
        <w:rPr>
          <w:rFonts w:ascii="Arial" w:eastAsia="Times New Roman" w:hAnsi="Arial" w:cs="Arial"/>
          <w:color w:val="ED0000"/>
          <w:sz w:val="20"/>
          <w:szCs w:val="20"/>
        </w:rPr>
        <w:t>annual or 5-year</w:t>
      </w:r>
      <w:r w:rsidRPr="000C7801">
        <w:rPr>
          <w:rFonts w:ascii="Arial" w:eastAsia="Times New Roman" w:hAnsi="Arial" w:cs="Arial"/>
          <w:sz w:val="20"/>
          <w:szCs w:val="20"/>
        </w:rPr>
        <w:t xml:space="preserve"> period starting from January 1 of the year following the previous tune-up to December 31 (of the latest tune-up year).  For new units, the first report should cover the period of startup to December 31 of the reporting year.  Compliance reports must also be submitted to EPA using the Compliance and Emissions Data Reporting Interface (CEDRI)</w:t>
      </w:r>
      <w:r w:rsidRPr="000C7801">
        <w:rPr>
          <w:rFonts w:ascii="Times New Roman" w:eastAsia="Times New Roman" w:hAnsi="Times New Roman" w:cs="Times New Roman"/>
          <w:sz w:val="24"/>
          <w:szCs w:val="24"/>
        </w:rPr>
        <w:t xml:space="preserve"> </w:t>
      </w:r>
      <w:r w:rsidRPr="000C7801">
        <w:rPr>
          <w:rFonts w:ascii="Arial" w:eastAsia="Times New Roman" w:hAnsi="Arial" w:cs="Arial"/>
          <w:sz w:val="20"/>
          <w:szCs w:val="20"/>
        </w:rPr>
        <w:t xml:space="preserve">which is accessed through EPA’s </w:t>
      </w:r>
      <w:hyperlink r:id="rId5" w:history="1">
        <w:r w:rsidR="000C7801" w:rsidRPr="00A46D4C">
          <w:rPr>
            <w:rStyle w:val="Hyperlink"/>
            <w:rFonts w:ascii="Arial" w:eastAsia="Times New Roman" w:hAnsi="Arial" w:cs="Arial"/>
            <w:color w:val="3333FF"/>
            <w:sz w:val="20"/>
            <w:szCs w:val="20"/>
          </w:rPr>
          <w:t>Central Data Exchange</w:t>
        </w:r>
      </w:hyperlink>
      <w:r w:rsidRPr="000C7801">
        <w:rPr>
          <w:rFonts w:ascii="Arial" w:eastAsia="Times New Roman" w:hAnsi="Arial" w:cs="Arial"/>
          <w:sz w:val="20"/>
          <w:szCs w:val="20"/>
        </w:rPr>
        <w:t xml:space="preserve"> (CDX).  </w:t>
      </w:r>
      <w:r w:rsidRPr="000C7801">
        <w:rPr>
          <w:rFonts w:ascii="Arial" w:eastAsia="Times New Roman" w:hAnsi="Arial" w:cs="Arial"/>
          <w:b/>
          <w:sz w:val="20"/>
          <w:szCs w:val="20"/>
        </w:rPr>
        <w:t>(40 CFR 63.7550(b))</w:t>
      </w:r>
    </w:p>
    <w:p w14:paraId="18DBF3D7" w14:textId="77777777" w:rsidR="000C7801" w:rsidRPr="000C7801" w:rsidRDefault="00000000" w:rsidP="00A46D4C">
      <w:pPr>
        <w:numPr>
          <w:ilvl w:val="0"/>
          <w:numId w:val="3"/>
        </w:numPr>
        <w:spacing w:before="160"/>
        <w:rPr>
          <w:rFonts w:ascii="Arial" w:eastAsia="Times New Roman" w:hAnsi="Arial" w:cs="Arial"/>
          <w:bCs/>
          <w:sz w:val="20"/>
          <w:szCs w:val="20"/>
        </w:rPr>
      </w:pPr>
      <w:r w:rsidRPr="000C7801">
        <w:rPr>
          <w:rFonts w:ascii="Arial" w:eastAsia="Times New Roman" w:hAnsi="Arial" w:cs="Arial"/>
          <w:sz w:val="20"/>
          <w:szCs w:val="20"/>
        </w:rPr>
        <w:t xml:space="preserve">The permittee must submit a compliance report containing the following information.  </w:t>
      </w:r>
    </w:p>
    <w:p w14:paraId="49263B1F" w14:textId="77777777" w:rsidR="000C7801" w:rsidRPr="000C7801" w:rsidRDefault="00000000" w:rsidP="00A46D4C">
      <w:pPr>
        <w:numPr>
          <w:ilvl w:val="1"/>
          <w:numId w:val="2"/>
        </w:numPr>
        <w:spacing w:before="160"/>
        <w:rPr>
          <w:rFonts w:ascii="Arial" w:eastAsia="Times New Roman" w:hAnsi="Arial" w:cs="Arial"/>
          <w:sz w:val="20"/>
          <w:szCs w:val="20"/>
        </w:rPr>
      </w:pPr>
      <w:r w:rsidRPr="000C7801">
        <w:rPr>
          <w:rFonts w:ascii="Arial" w:eastAsia="Times New Roman" w:hAnsi="Arial" w:cs="Arial"/>
          <w:sz w:val="20"/>
          <w:szCs w:val="20"/>
        </w:rPr>
        <w:t xml:space="preserve">Company and Facility name and address.  </w:t>
      </w:r>
      <w:r w:rsidRPr="000C7801">
        <w:rPr>
          <w:rFonts w:ascii="Arial" w:eastAsia="Times New Roman" w:hAnsi="Arial" w:cs="Arial"/>
          <w:b/>
          <w:sz w:val="20"/>
          <w:szCs w:val="20"/>
        </w:rPr>
        <w:t>(40 CFR 63.7550(c)(5)(i))</w:t>
      </w:r>
    </w:p>
    <w:p w14:paraId="5AB7010E" w14:textId="77777777" w:rsidR="000C7801" w:rsidRPr="000C7801" w:rsidRDefault="00000000" w:rsidP="00A46D4C">
      <w:pPr>
        <w:numPr>
          <w:ilvl w:val="1"/>
          <w:numId w:val="2"/>
        </w:numPr>
        <w:spacing w:before="160"/>
        <w:rPr>
          <w:rFonts w:ascii="Arial" w:eastAsia="Times New Roman" w:hAnsi="Arial" w:cs="Arial"/>
          <w:sz w:val="20"/>
          <w:szCs w:val="20"/>
        </w:rPr>
      </w:pPr>
      <w:r w:rsidRPr="000C7801">
        <w:rPr>
          <w:rFonts w:ascii="Arial" w:eastAsia="Times New Roman" w:hAnsi="Arial" w:cs="Arial"/>
          <w:sz w:val="20"/>
          <w:szCs w:val="20"/>
        </w:rPr>
        <w:t xml:space="preserve">Process unit information, emissions limitations, and operating parameter limitations. </w:t>
      </w:r>
      <w:r w:rsidRPr="000C7801">
        <w:rPr>
          <w:rFonts w:ascii="Arial" w:eastAsia="Times New Roman" w:hAnsi="Arial" w:cs="Arial"/>
          <w:b/>
          <w:sz w:val="20"/>
          <w:szCs w:val="20"/>
        </w:rPr>
        <w:t>(40 CFR 63.7550(c)(5)(ii))</w:t>
      </w:r>
    </w:p>
    <w:p w14:paraId="39B06C66" w14:textId="77777777" w:rsidR="000C7801" w:rsidRPr="000C7801" w:rsidRDefault="00000000" w:rsidP="00A46D4C">
      <w:pPr>
        <w:numPr>
          <w:ilvl w:val="1"/>
          <w:numId w:val="2"/>
        </w:numPr>
        <w:spacing w:before="160"/>
        <w:rPr>
          <w:rFonts w:ascii="Arial" w:eastAsia="Times New Roman" w:hAnsi="Arial" w:cs="Arial"/>
          <w:sz w:val="20"/>
          <w:szCs w:val="20"/>
        </w:rPr>
      </w:pPr>
      <w:r w:rsidRPr="000C7801">
        <w:rPr>
          <w:rFonts w:ascii="Arial" w:eastAsia="Times New Roman" w:hAnsi="Arial" w:cs="Arial"/>
          <w:sz w:val="20"/>
          <w:szCs w:val="20"/>
        </w:rPr>
        <w:t xml:space="preserve">Date of report and beginning and ending dates of the reporting period.  </w:t>
      </w:r>
      <w:r w:rsidRPr="000C7801">
        <w:rPr>
          <w:rFonts w:ascii="Arial" w:eastAsia="Times New Roman" w:hAnsi="Arial" w:cs="Arial"/>
          <w:b/>
          <w:sz w:val="20"/>
          <w:szCs w:val="20"/>
        </w:rPr>
        <w:t>(40 CFR 63.7550(c)(5)(iii))</w:t>
      </w:r>
    </w:p>
    <w:p w14:paraId="403B57A0" w14:textId="77777777" w:rsidR="000C7801" w:rsidRPr="000C7801" w:rsidRDefault="00000000" w:rsidP="00A46D4C">
      <w:pPr>
        <w:numPr>
          <w:ilvl w:val="1"/>
          <w:numId w:val="2"/>
        </w:numPr>
        <w:spacing w:before="160"/>
        <w:rPr>
          <w:rFonts w:ascii="Arial" w:eastAsia="Times New Roman" w:hAnsi="Arial" w:cs="Arial"/>
          <w:sz w:val="20"/>
          <w:szCs w:val="20"/>
        </w:rPr>
      </w:pPr>
      <w:r w:rsidRPr="000C7801">
        <w:rPr>
          <w:rFonts w:ascii="Arial" w:eastAsia="Times New Roman" w:hAnsi="Arial" w:cs="Arial"/>
          <w:sz w:val="20"/>
          <w:szCs w:val="20"/>
        </w:rPr>
        <w:t xml:space="preserve">Include the date of the most recent tune-up for each unit.  Include the date of the most recent burner inspection if it was not done annually and was delayed until the next scheduled or unscheduled unit shutdown.  </w:t>
      </w:r>
      <w:r w:rsidRPr="000C7801">
        <w:rPr>
          <w:rFonts w:ascii="Arial" w:eastAsia="Times New Roman" w:hAnsi="Arial" w:cs="Arial"/>
          <w:b/>
          <w:sz w:val="20"/>
          <w:szCs w:val="20"/>
        </w:rPr>
        <w:t>(40 CFR 63.7550(c)(5)(xiv))</w:t>
      </w:r>
    </w:p>
    <w:p w14:paraId="3F9D7569" w14:textId="77777777" w:rsidR="000C7801" w:rsidRPr="000C7801" w:rsidRDefault="00000000" w:rsidP="00A46D4C">
      <w:pPr>
        <w:numPr>
          <w:ilvl w:val="1"/>
          <w:numId w:val="2"/>
        </w:numPr>
        <w:spacing w:before="160"/>
        <w:rPr>
          <w:rFonts w:ascii="Arial" w:eastAsia="Times New Roman" w:hAnsi="Arial" w:cs="Arial"/>
          <w:sz w:val="20"/>
          <w:szCs w:val="20"/>
        </w:rPr>
      </w:pPr>
      <w:r w:rsidRPr="000C7801">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0C7801">
        <w:rPr>
          <w:rFonts w:ascii="Arial" w:eastAsia="Times New Roman" w:hAnsi="Arial" w:cs="Arial"/>
          <w:b/>
          <w:sz w:val="20"/>
          <w:szCs w:val="20"/>
        </w:rPr>
        <w:t>(40 CFR 63.7550(c)(5)(xvii))</w:t>
      </w:r>
    </w:p>
    <w:p w14:paraId="2C4D9A68" w14:textId="4A6CE070" w:rsidR="000C7801" w:rsidRPr="000C7801" w:rsidRDefault="00000000" w:rsidP="00A46D4C">
      <w:pPr>
        <w:numPr>
          <w:ilvl w:val="0"/>
          <w:numId w:val="3"/>
        </w:numPr>
        <w:spacing w:before="160"/>
        <w:rPr>
          <w:rFonts w:ascii="Times New Roman" w:eastAsia="Times New Roman" w:hAnsi="Times New Roman" w:cs="Times New Roman"/>
          <w:sz w:val="20"/>
          <w:szCs w:val="20"/>
        </w:rPr>
      </w:pPr>
      <w:r w:rsidRPr="000C7801">
        <w:rPr>
          <w:rFonts w:ascii="Arial" w:eastAsia="Times New Roman" w:hAnsi="Arial" w:cs="Arial"/>
          <w:sz w:val="20"/>
          <w:szCs w:val="20"/>
        </w:rPr>
        <w:t xml:space="preserve">The permittee must submit all reports required by Table 9 of </w:t>
      </w:r>
      <w:r w:rsidRPr="000C7801">
        <w:rPr>
          <w:rFonts w:ascii="Arial" w:eastAsia="Times New Roman" w:hAnsi="Arial" w:cs="Arial"/>
          <w:bCs/>
          <w:sz w:val="20"/>
          <w:szCs w:val="20"/>
        </w:rPr>
        <w:t xml:space="preserve">40 CFR Part 63, Subpart DDDDD </w:t>
      </w:r>
      <w:r w:rsidRPr="000C7801">
        <w:rPr>
          <w:rFonts w:ascii="Arial" w:eastAsia="Times New Roman" w:hAnsi="Arial" w:cs="Arial"/>
          <w:sz w:val="20"/>
          <w:szCs w:val="20"/>
        </w:rPr>
        <w:t xml:space="preserve">electronically using CEDRI that is accessed through the EPA's </w:t>
      </w:r>
      <w:hyperlink r:id="rId6" w:history="1">
        <w:r w:rsidR="000C7801" w:rsidRPr="00A46D4C">
          <w:rPr>
            <w:rStyle w:val="Hyperlink"/>
            <w:rFonts w:ascii="Arial" w:eastAsia="Times New Roman" w:hAnsi="Arial" w:cs="Arial"/>
            <w:color w:val="3333FF"/>
            <w:sz w:val="20"/>
            <w:szCs w:val="20"/>
          </w:rPr>
          <w:t>CDX</w:t>
        </w:r>
      </w:hyperlink>
      <w:r w:rsidRPr="000C7801">
        <w:rPr>
          <w:rFonts w:ascii="Arial" w:eastAsia="Times New Roman" w:hAnsi="Arial" w:cs="Arial"/>
          <w:sz w:val="20"/>
          <w:szCs w:val="20"/>
        </w:rPr>
        <w:t xml:space="preserve">.  However, if the reporting form specific to </w:t>
      </w:r>
      <w:r w:rsidRPr="000C7801">
        <w:rPr>
          <w:rFonts w:ascii="Arial" w:eastAsia="Times New Roman" w:hAnsi="Arial" w:cs="Arial"/>
          <w:bCs/>
          <w:sz w:val="20"/>
          <w:szCs w:val="20"/>
        </w:rPr>
        <w:t xml:space="preserve">40 CFR Part 63, Subpart DDDDD </w:t>
      </w:r>
      <w:r w:rsidRPr="000C7801">
        <w:rPr>
          <w:rFonts w:ascii="Arial" w:eastAsia="Times New Roman" w:hAnsi="Arial" w:cs="Arial"/>
          <w:sz w:val="20"/>
          <w:szCs w:val="20"/>
        </w:rPr>
        <w:t xml:space="preserve">is not available in CEDRI at the time that the report is due, submit the report to the Administrator at the appropriate address listed in 40 CFR 63.13.  The permittee must begin submitting reports via CEDRI no later than 90 days after the form becomes available in CEDRI.  </w:t>
      </w:r>
      <w:r w:rsidRPr="000C7801">
        <w:rPr>
          <w:rFonts w:ascii="Arial" w:eastAsia="Times New Roman" w:hAnsi="Arial" w:cs="Arial"/>
          <w:b/>
          <w:bCs/>
          <w:sz w:val="20"/>
          <w:szCs w:val="20"/>
        </w:rPr>
        <w:t>(40 CFR 63.7550(h)(3))</w:t>
      </w:r>
    </w:p>
    <w:p w14:paraId="23E9A116" w14:textId="77777777" w:rsidR="000C7801" w:rsidRPr="000C7801" w:rsidRDefault="00000000" w:rsidP="00A46D4C">
      <w:pPr>
        <w:spacing w:before="160"/>
        <w:rPr>
          <w:rFonts w:ascii="Arial" w:eastAsia="Times New Roman" w:hAnsi="Arial" w:cs="Arial"/>
          <w:b/>
          <w:sz w:val="20"/>
          <w:szCs w:val="20"/>
        </w:rPr>
      </w:pPr>
      <w:r w:rsidRPr="000C7801">
        <w:rPr>
          <w:rFonts w:ascii="Arial" w:eastAsia="Times New Roman" w:hAnsi="Arial" w:cs="Arial"/>
          <w:b/>
          <w:sz w:val="20"/>
          <w:szCs w:val="20"/>
        </w:rPr>
        <w:t xml:space="preserve">See Appendix 8 </w:t>
      </w:r>
      <w:r w:rsidRPr="000C7801">
        <w:rPr>
          <w:rFonts w:ascii="Arial" w:eastAsia="Times New Roman" w:hAnsi="Arial" w:cs="Arial"/>
          <w:b/>
          <w:color w:val="0000FF"/>
          <w:sz w:val="20"/>
          <w:szCs w:val="20"/>
        </w:rPr>
        <w:t>– Permit Staff: Remove if PTI since this is ROP only.</w:t>
      </w:r>
    </w:p>
    <w:p w14:paraId="1FA71BA7" w14:textId="77777777" w:rsidR="000C7801" w:rsidRPr="000C7801" w:rsidRDefault="00000000" w:rsidP="00010DCF">
      <w:pPr>
        <w:pStyle w:val="Heading5"/>
        <w:rPr>
          <w:rFonts w:eastAsia="Times New Roman"/>
        </w:rPr>
      </w:pPr>
      <w:r w:rsidRPr="000C7801">
        <w:rPr>
          <w:rFonts w:eastAsia="Times New Roman"/>
        </w:rPr>
        <w:t>VIII.  STACK/VENT RESTRICTION(S)</w:t>
      </w:r>
    </w:p>
    <w:p w14:paraId="71C22860" w14:textId="2C4845A5" w:rsidR="000C7801" w:rsidRPr="000C7801" w:rsidRDefault="00000000" w:rsidP="00A46D4C">
      <w:pPr>
        <w:tabs>
          <w:tab w:val="left" w:pos="6870"/>
        </w:tabs>
        <w:spacing w:before="120" w:line="240" w:lineRule="auto"/>
        <w:rPr>
          <w:rFonts w:ascii="Arial" w:eastAsia="Times New Roman" w:hAnsi="Arial" w:cs="Arial"/>
          <w:sz w:val="20"/>
          <w:szCs w:val="20"/>
        </w:rPr>
      </w:pPr>
      <w:r w:rsidRPr="000C7801">
        <w:rPr>
          <w:rFonts w:ascii="Arial" w:eastAsia="Times New Roman" w:hAnsi="Arial" w:cs="Arial"/>
          <w:sz w:val="20"/>
          <w:szCs w:val="20"/>
        </w:rPr>
        <w:t>NA</w:t>
      </w:r>
    </w:p>
    <w:p w14:paraId="037229AD" w14:textId="77777777" w:rsidR="000C7801" w:rsidRPr="000C7801" w:rsidRDefault="00000000" w:rsidP="00010DCF">
      <w:pPr>
        <w:pStyle w:val="Heading5"/>
        <w:rPr>
          <w:rFonts w:eastAsia="Times New Roman"/>
        </w:rPr>
      </w:pPr>
      <w:r w:rsidRPr="000C7801">
        <w:rPr>
          <w:rFonts w:eastAsia="Times New Roman"/>
        </w:rPr>
        <w:lastRenderedPageBreak/>
        <w:t>IX.  OTHER REQUIREMENT(S)</w:t>
      </w:r>
    </w:p>
    <w:p w14:paraId="49E21AA4" w14:textId="77777777" w:rsidR="000C7801" w:rsidRPr="000C7801" w:rsidRDefault="00000000" w:rsidP="00010DCF">
      <w:pPr>
        <w:numPr>
          <w:ilvl w:val="0"/>
          <w:numId w:val="5"/>
        </w:numPr>
        <w:spacing w:before="120" w:after="240" w:line="240" w:lineRule="auto"/>
        <w:rPr>
          <w:rFonts w:ascii="Arial" w:eastAsia="Times New Roman" w:hAnsi="Arial" w:cs="Arial"/>
          <w:sz w:val="20"/>
          <w:szCs w:val="20"/>
        </w:rPr>
      </w:pPr>
      <w:r w:rsidRPr="000C7801">
        <w:rPr>
          <w:rFonts w:ascii="Arial" w:eastAsia="Times New Roman" w:hAnsi="Arial" w:cs="Arial"/>
          <w:sz w:val="20"/>
          <w:szCs w:val="20"/>
        </w:rPr>
        <w:t xml:space="preserve">The permittee shall comply with all applicable provisions of the National Emissions Standards for Hazardous Air Pollutants for Major Sources: Industrial, Commercial, and Institutional Boilers and Process Heaters as specified in 40 CFR Part 63, Subparts A and DDDDD.  </w:t>
      </w:r>
      <w:r w:rsidRPr="000C7801">
        <w:rPr>
          <w:rFonts w:ascii="Arial" w:eastAsia="Times New Roman" w:hAnsi="Arial" w:cs="Arial"/>
          <w:b/>
          <w:sz w:val="20"/>
          <w:szCs w:val="20"/>
        </w:rPr>
        <w:t>(40 CFR Part 63, Subparts A and DDDDD)</w:t>
      </w:r>
    </w:p>
    <w:p w14:paraId="5B094423" w14:textId="77777777" w:rsidR="000C7801" w:rsidRPr="000C7801" w:rsidRDefault="00000000" w:rsidP="00A46D4C">
      <w:pPr>
        <w:spacing w:before="240" w:after="20" w:line="240" w:lineRule="auto"/>
        <w:rPr>
          <w:rFonts w:ascii="Arial" w:eastAsia="Times New Roman" w:hAnsi="Arial" w:cs="Arial"/>
          <w:b/>
          <w:sz w:val="20"/>
          <w:szCs w:val="20"/>
        </w:rPr>
      </w:pPr>
      <w:r w:rsidRPr="00010DCF">
        <w:rPr>
          <w:rFonts w:ascii="Arial" w:eastAsia="Times New Roman" w:hAnsi="Arial" w:cs="Arial"/>
          <w:b/>
          <w:sz w:val="20"/>
          <w:szCs w:val="20"/>
        </w:rPr>
        <w:t>Footnotes</w:t>
      </w:r>
      <w:r w:rsidRPr="000C7801">
        <w:rPr>
          <w:rFonts w:ascii="Arial" w:eastAsia="Times New Roman" w:hAnsi="Arial" w:cs="Arial"/>
          <w:b/>
          <w:sz w:val="20"/>
          <w:szCs w:val="20"/>
        </w:rPr>
        <w:t>:</w:t>
      </w:r>
    </w:p>
    <w:p w14:paraId="0D87DE78" w14:textId="77777777" w:rsidR="000C7801" w:rsidRPr="000C7801" w:rsidRDefault="00000000" w:rsidP="00A46D4C">
      <w:pPr>
        <w:spacing w:before="20" w:after="20"/>
        <w:rPr>
          <w:rFonts w:ascii="Arial" w:eastAsia="Times New Roman" w:hAnsi="Arial" w:cs="Arial"/>
          <w:sz w:val="20"/>
          <w:szCs w:val="20"/>
        </w:rPr>
      </w:pPr>
      <w:r w:rsidRPr="000C7801">
        <w:rPr>
          <w:rFonts w:ascii="Arial" w:eastAsia="Times New Roman" w:hAnsi="Arial" w:cs="Arial"/>
          <w:sz w:val="20"/>
          <w:szCs w:val="20"/>
          <w:vertAlign w:val="superscript"/>
        </w:rPr>
        <w:t xml:space="preserve">1 </w:t>
      </w:r>
      <w:r w:rsidRPr="000C7801">
        <w:rPr>
          <w:rFonts w:ascii="Arial" w:eastAsia="Times New Roman" w:hAnsi="Arial" w:cs="Arial"/>
          <w:sz w:val="20"/>
          <w:szCs w:val="20"/>
        </w:rPr>
        <w:t>This condition is state only enforceable and was established pursuant to Rule 201(1)(b).</w:t>
      </w:r>
    </w:p>
    <w:p w14:paraId="0E05FD40" w14:textId="164EB420" w:rsidR="000C7801" w:rsidRPr="004705A7" w:rsidRDefault="00000000" w:rsidP="00A46D4C">
      <w:pPr>
        <w:spacing w:before="20" w:after="20"/>
        <w:rPr>
          <w:rFonts w:ascii="Arial" w:hAnsi="Arial" w:cs="Arial"/>
          <w:sz w:val="20"/>
          <w:szCs w:val="20"/>
        </w:rPr>
      </w:pPr>
      <w:r w:rsidRPr="000C7801">
        <w:rPr>
          <w:rFonts w:ascii="Arial" w:eastAsia="Times New Roman" w:hAnsi="Arial" w:cs="Arial"/>
          <w:sz w:val="20"/>
          <w:szCs w:val="20"/>
          <w:vertAlign w:val="superscript"/>
        </w:rPr>
        <w:t xml:space="preserve">2 </w:t>
      </w:r>
      <w:r w:rsidRPr="000C7801">
        <w:rPr>
          <w:rFonts w:ascii="Arial" w:eastAsia="Times New Roman" w:hAnsi="Arial" w:cs="Arial"/>
          <w:sz w:val="20"/>
          <w:szCs w:val="20"/>
        </w:rPr>
        <w:t>This condition is federally enforceable and was established pursuant to Rule 201(1)(a).</w:t>
      </w:r>
    </w:p>
    <w:sectPr w:rsidR="000C7801" w:rsidRPr="004705A7" w:rsidSect="00AF55F0">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3117"/>
    <w:multiLevelType w:val="hybridMultilevel"/>
    <w:tmpl w:val="4EEC2162"/>
    <w:lvl w:ilvl="0" w:tplc="70025A84">
      <w:start w:val="1"/>
      <w:numFmt w:val="decimal"/>
      <w:lvlText w:val="%1."/>
      <w:lvlJc w:val="left"/>
      <w:pPr>
        <w:ind w:left="360" w:hanging="360"/>
      </w:pPr>
      <w:rPr>
        <w:rFonts w:ascii="Arial" w:hAnsi="Arial" w:hint="default"/>
        <w:b w:val="0"/>
        <w:i w:val="0"/>
        <w:sz w:val="20"/>
      </w:rPr>
    </w:lvl>
    <w:lvl w:ilvl="1" w:tplc="E6D06F5E">
      <w:start w:val="1"/>
      <w:numFmt w:val="lowerLetter"/>
      <w:lvlText w:val="%2."/>
      <w:lvlJc w:val="left"/>
      <w:pPr>
        <w:ind w:left="720" w:hanging="360"/>
      </w:pPr>
      <w:rPr>
        <w:rFonts w:hint="default"/>
      </w:rPr>
    </w:lvl>
    <w:lvl w:ilvl="2" w:tplc="D7EE62A8">
      <w:start w:val="1"/>
      <w:numFmt w:val="lowerRoman"/>
      <w:lvlText w:val="%3."/>
      <w:lvlJc w:val="right"/>
      <w:pPr>
        <w:ind w:left="2160" w:hanging="180"/>
      </w:pPr>
    </w:lvl>
    <w:lvl w:ilvl="3" w:tplc="59021FBE" w:tentative="1">
      <w:start w:val="1"/>
      <w:numFmt w:val="decimal"/>
      <w:lvlText w:val="%4."/>
      <w:lvlJc w:val="left"/>
      <w:pPr>
        <w:ind w:left="2880" w:hanging="360"/>
      </w:pPr>
    </w:lvl>
    <w:lvl w:ilvl="4" w:tplc="2EBE922E" w:tentative="1">
      <w:start w:val="1"/>
      <w:numFmt w:val="lowerLetter"/>
      <w:lvlText w:val="%5."/>
      <w:lvlJc w:val="left"/>
      <w:pPr>
        <w:ind w:left="3600" w:hanging="360"/>
      </w:pPr>
    </w:lvl>
    <w:lvl w:ilvl="5" w:tplc="6624057C" w:tentative="1">
      <w:start w:val="1"/>
      <w:numFmt w:val="lowerRoman"/>
      <w:lvlText w:val="%6."/>
      <w:lvlJc w:val="right"/>
      <w:pPr>
        <w:ind w:left="4320" w:hanging="180"/>
      </w:pPr>
    </w:lvl>
    <w:lvl w:ilvl="6" w:tplc="D6B8E990" w:tentative="1">
      <w:start w:val="1"/>
      <w:numFmt w:val="decimal"/>
      <w:lvlText w:val="%7."/>
      <w:lvlJc w:val="left"/>
      <w:pPr>
        <w:ind w:left="5040" w:hanging="360"/>
      </w:pPr>
    </w:lvl>
    <w:lvl w:ilvl="7" w:tplc="D78CBEC4" w:tentative="1">
      <w:start w:val="1"/>
      <w:numFmt w:val="lowerLetter"/>
      <w:lvlText w:val="%8."/>
      <w:lvlJc w:val="left"/>
      <w:pPr>
        <w:ind w:left="5760" w:hanging="360"/>
      </w:pPr>
    </w:lvl>
    <w:lvl w:ilvl="8" w:tplc="FA58A924" w:tentative="1">
      <w:start w:val="1"/>
      <w:numFmt w:val="lowerRoman"/>
      <w:lvlText w:val="%9."/>
      <w:lvlJc w:val="right"/>
      <w:pPr>
        <w:ind w:left="6480" w:hanging="180"/>
      </w:pPr>
    </w:lvl>
  </w:abstractNum>
  <w:abstractNum w:abstractNumId="1" w15:restartNumberingAfterBreak="0">
    <w:nsid w:val="30475250"/>
    <w:multiLevelType w:val="multilevel"/>
    <w:tmpl w:val="552A998A"/>
    <w:lvl w:ilvl="0">
      <w:start w:val="6"/>
      <w:numFmt w:val="decimal"/>
      <w:lvlText w:val="%1."/>
      <w:lvlJc w:val="left"/>
      <w:pPr>
        <w:ind w:left="360" w:hanging="360"/>
      </w:pPr>
      <w:rPr>
        <w:rFonts w:hint="default"/>
        <w:b w:val="0"/>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D437BD8"/>
    <w:multiLevelType w:val="hybridMultilevel"/>
    <w:tmpl w:val="6F0EE580"/>
    <w:lvl w:ilvl="0" w:tplc="6B62E654">
      <w:start w:val="1"/>
      <w:numFmt w:val="lowerLetter"/>
      <w:lvlText w:val="%1."/>
      <w:lvlJc w:val="left"/>
      <w:pPr>
        <w:ind w:left="720" w:hanging="360"/>
      </w:pPr>
      <w:rPr>
        <w:rFonts w:hint="default"/>
        <w:b w:val="0"/>
      </w:rPr>
    </w:lvl>
    <w:lvl w:ilvl="1" w:tplc="EBA018B2">
      <w:start w:val="1"/>
      <w:numFmt w:val="lowerLetter"/>
      <w:lvlText w:val="%2."/>
      <w:lvlJc w:val="left"/>
      <w:pPr>
        <w:ind w:left="720" w:hanging="360"/>
      </w:pPr>
      <w:rPr>
        <w:rFonts w:hint="default"/>
      </w:rPr>
    </w:lvl>
    <w:lvl w:ilvl="2" w:tplc="C69C0C0A">
      <w:start w:val="1"/>
      <w:numFmt w:val="lowerRoman"/>
      <w:lvlText w:val="%3."/>
      <w:lvlJc w:val="right"/>
      <w:pPr>
        <w:ind w:left="2640" w:hanging="180"/>
      </w:pPr>
    </w:lvl>
    <w:lvl w:ilvl="3" w:tplc="3AB80F56">
      <w:start w:val="1"/>
      <w:numFmt w:val="decimal"/>
      <w:lvlText w:val="%4."/>
      <w:lvlJc w:val="left"/>
      <w:pPr>
        <w:ind w:left="3360" w:hanging="360"/>
      </w:pPr>
      <w:rPr>
        <w:rFonts w:hint="default"/>
        <w:b w:val="0"/>
      </w:rPr>
    </w:lvl>
    <w:lvl w:ilvl="4" w:tplc="CE88CB6C" w:tentative="1">
      <w:start w:val="1"/>
      <w:numFmt w:val="lowerLetter"/>
      <w:lvlText w:val="%5."/>
      <w:lvlJc w:val="left"/>
      <w:pPr>
        <w:ind w:left="4080" w:hanging="360"/>
      </w:pPr>
    </w:lvl>
    <w:lvl w:ilvl="5" w:tplc="A072B8B4" w:tentative="1">
      <w:start w:val="1"/>
      <w:numFmt w:val="lowerRoman"/>
      <w:lvlText w:val="%6."/>
      <w:lvlJc w:val="right"/>
      <w:pPr>
        <w:ind w:left="4800" w:hanging="180"/>
      </w:pPr>
    </w:lvl>
    <w:lvl w:ilvl="6" w:tplc="64B027FE" w:tentative="1">
      <w:start w:val="1"/>
      <w:numFmt w:val="decimal"/>
      <w:lvlText w:val="%7."/>
      <w:lvlJc w:val="left"/>
      <w:pPr>
        <w:ind w:left="5520" w:hanging="360"/>
      </w:pPr>
    </w:lvl>
    <w:lvl w:ilvl="7" w:tplc="C388E154" w:tentative="1">
      <w:start w:val="1"/>
      <w:numFmt w:val="lowerLetter"/>
      <w:lvlText w:val="%8."/>
      <w:lvlJc w:val="left"/>
      <w:pPr>
        <w:ind w:left="6240" w:hanging="360"/>
      </w:pPr>
    </w:lvl>
    <w:lvl w:ilvl="8" w:tplc="F9DADD4C" w:tentative="1">
      <w:start w:val="1"/>
      <w:numFmt w:val="lowerRoman"/>
      <w:lvlText w:val="%9."/>
      <w:lvlJc w:val="right"/>
      <w:pPr>
        <w:ind w:left="6960" w:hanging="180"/>
      </w:pPr>
    </w:lvl>
  </w:abstractNum>
  <w:abstractNum w:abstractNumId="3" w15:restartNumberingAfterBreak="0">
    <w:nsid w:val="4C7725DB"/>
    <w:multiLevelType w:val="hybridMultilevel"/>
    <w:tmpl w:val="F782E27C"/>
    <w:lvl w:ilvl="0" w:tplc="0FC0B41A">
      <w:start w:val="1"/>
      <w:numFmt w:val="lowerLetter"/>
      <w:lvlText w:val="%1."/>
      <w:lvlJc w:val="left"/>
      <w:pPr>
        <w:ind w:left="720" w:hanging="360"/>
      </w:pPr>
      <w:rPr>
        <w:rFonts w:hint="default"/>
        <w:b w:val="0"/>
      </w:rPr>
    </w:lvl>
    <w:lvl w:ilvl="1" w:tplc="DC6CBEBC">
      <w:start w:val="1"/>
      <w:numFmt w:val="lowerLetter"/>
      <w:lvlText w:val="%2."/>
      <w:lvlJc w:val="left"/>
      <w:pPr>
        <w:ind w:left="1440" w:hanging="360"/>
      </w:pPr>
    </w:lvl>
    <w:lvl w:ilvl="2" w:tplc="A36E396A" w:tentative="1">
      <w:start w:val="1"/>
      <w:numFmt w:val="lowerRoman"/>
      <w:lvlText w:val="%3."/>
      <w:lvlJc w:val="right"/>
      <w:pPr>
        <w:ind w:left="2160" w:hanging="180"/>
      </w:pPr>
    </w:lvl>
    <w:lvl w:ilvl="3" w:tplc="287EB94E" w:tentative="1">
      <w:start w:val="1"/>
      <w:numFmt w:val="decimal"/>
      <w:lvlText w:val="%4."/>
      <w:lvlJc w:val="left"/>
      <w:pPr>
        <w:ind w:left="2880" w:hanging="360"/>
      </w:pPr>
    </w:lvl>
    <w:lvl w:ilvl="4" w:tplc="7E305F88" w:tentative="1">
      <w:start w:val="1"/>
      <w:numFmt w:val="lowerLetter"/>
      <w:lvlText w:val="%5."/>
      <w:lvlJc w:val="left"/>
      <w:pPr>
        <w:ind w:left="3600" w:hanging="360"/>
      </w:pPr>
    </w:lvl>
    <w:lvl w:ilvl="5" w:tplc="39C46846" w:tentative="1">
      <w:start w:val="1"/>
      <w:numFmt w:val="lowerRoman"/>
      <w:lvlText w:val="%6."/>
      <w:lvlJc w:val="right"/>
      <w:pPr>
        <w:ind w:left="4320" w:hanging="180"/>
      </w:pPr>
    </w:lvl>
    <w:lvl w:ilvl="6" w:tplc="A0763DAA" w:tentative="1">
      <w:start w:val="1"/>
      <w:numFmt w:val="decimal"/>
      <w:lvlText w:val="%7."/>
      <w:lvlJc w:val="left"/>
      <w:pPr>
        <w:ind w:left="5040" w:hanging="360"/>
      </w:pPr>
    </w:lvl>
    <w:lvl w:ilvl="7" w:tplc="03A2CBC4" w:tentative="1">
      <w:start w:val="1"/>
      <w:numFmt w:val="lowerLetter"/>
      <w:lvlText w:val="%8."/>
      <w:lvlJc w:val="left"/>
      <w:pPr>
        <w:ind w:left="5760" w:hanging="360"/>
      </w:pPr>
    </w:lvl>
    <w:lvl w:ilvl="8" w:tplc="B6B847DE" w:tentative="1">
      <w:start w:val="1"/>
      <w:numFmt w:val="lowerRoman"/>
      <w:lvlText w:val="%9."/>
      <w:lvlJc w:val="right"/>
      <w:pPr>
        <w:ind w:left="6480" w:hanging="180"/>
      </w:pPr>
    </w:lvl>
  </w:abstractNum>
  <w:abstractNum w:abstractNumId="4" w15:restartNumberingAfterBreak="0">
    <w:nsid w:val="4F8618F3"/>
    <w:multiLevelType w:val="hybridMultilevel"/>
    <w:tmpl w:val="37D8C31E"/>
    <w:lvl w:ilvl="0" w:tplc="109ECD04">
      <w:start w:val="1"/>
      <w:numFmt w:val="decimal"/>
      <w:lvlText w:val="%1."/>
      <w:lvlJc w:val="left"/>
      <w:pPr>
        <w:ind w:left="720" w:hanging="360"/>
      </w:pPr>
      <w:rPr>
        <w:rFonts w:hint="default"/>
        <w:b w:val="0"/>
      </w:rPr>
    </w:lvl>
    <w:lvl w:ilvl="1" w:tplc="CB3EA50E">
      <w:start w:val="1"/>
      <w:numFmt w:val="lowerLetter"/>
      <w:lvlText w:val="%2."/>
      <w:lvlJc w:val="left"/>
      <w:pPr>
        <w:ind w:left="1440" w:hanging="360"/>
      </w:pPr>
    </w:lvl>
    <w:lvl w:ilvl="2" w:tplc="A0929E82" w:tentative="1">
      <w:start w:val="1"/>
      <w:numFmt w:val="lowerRoman"/>
      <w:lvlText w:val="%3."/>
      <w:lvlJc w:val="right"/>
      <w:pPr>
        <w:ind w:left="2160" w:hanging="180"/>
      </w:pPr>
    </w:lvl>
    <w:lvl w:ilvl="3" w:tplc="5556398C" w:tentative="1">
      <w:start w:val="1"/>
      <w:numFmt w:val="decimal"/>
      <w:lvlText w:val="%4."/>
      <w:lvlJc w:val="left"/>
      <w:pPr>
        <w:ind w:left="2880" w:hanging="360"/>
      </w:pPr>
    </w:lvl>
    <w:lvl w:ilvl="4" w:tplc="267E27C6" w:tentative="1">
      <w:start w:val="1"/>
      <w:numFmt w:val="lowerLetter"/>
      <w:lvlText w:val="%5."/>
      <w:lvlJc w:val="left"/>
      <w:pPr>
        <w:ind w:left="3600" w:hanging="360"/>
      </w:pPr>
    </w:lvl>
    <w:lvl w:ilvl="5" w:tplc="5C5CA97E" w:tentative="1">
      <w:start w:val="1"/>
      <w:numFmt w:val="lowerRoman"/>
      <w:lvlText w:val="%6."/>
      <w:lvlJc w:val="right"/>
      <w:pPr>
        <w:ind w:left="4320" w:hanging="180"/>
      </w:pPr>
    </w:lvl>
    <w:lvl w:ilvl="6" w:tplc="BD1C6396" w:tentative="1">
      <w:start w:val="1"/>
      <w:numFmt w:val="decimal"/>
      <w:lvlText w:val="%7."/>
      <w:lvlJc w:val="left"/>
      <w:pPr>
        <w:ind w:left="5040" w:hanging="360"/>
      </w:pPr>
    </w:lvl>
    <w:lvl w:ilvl="7" w:tplc="E154FAF2" w:tentative="1">
      <w:start w:val="1"/>
      <w:numFmt w:val="lowerLetter"/>
      <w:lvlText w:val="%8."/>
      <w:lvlJc w:val="left"/>
      <w:pPr>
        <w:ind w:left="5760" w:hanging="360"/>
      </w:pPr>
    </w:lvl>
    <w:lvl w:ilvl="8" w:tplc="D8A24E14" w:tentative="1">
      <w:start w:val="1"/>
      <w:numFmt w:val="lowerRoman"/>
      <w:lvlText w:val="%9."/>
      <w:lvlJc w:val="right"/>
      <w:pPr>
        <w:ind w:left="6480" w:hanging="180"/>
      </w:pPr>
    </w:lvl>
  </w:abstractNum>
  <w:abstractNum w:abstractNumId="5" w15:restartNumberingAfterBreak="0">
    <w:nsid w:val="4FC16BBB"/>
    <w:multiLevelType w:val="hybridMultilevel"/>
    <w:tmpl w:val="E7121E20"/>
    <w:lvl w:ilvl="0" w:tplc="1880631E">
      <w:start w:val="1"/>
      <w:numFmt w:val="decimal"/>
      <w:lvlText w:val="%1."/>
      <w:lvlJc w:val="left"/>
      <w:pPr>
        <w:ind w:left="360" w:hanging="360"/>
      </w:pPr>
      <w:rPr>
        <w:rFonts w:ascii="Arial" w:hAnsi="Arial" w:hint="default"/>
        <w:b w:val="0"/>
        <w:i w:val="0"/>
        <w:color w:val="auto"/>
        <w:sz w:val="20"/>
      </w:rPr>
    </w:lvl>
    <w:lvl w:ilvl="1" w:tplc="F0AE07EE">
      <w:start w:val="1"/>
      <w:numFmt w:val="lowerLetter"/>
      <w:lvlText w:val="%2."/>
      <w:lvlJc w:val="left"/>
      <w:pPr>
        <w:ind w:left="1440" w:hanging="360"/>
      </w:pPr>
    </w:lvl>
    <w:lvl w:ilvl="2" w:tplc="B2E224EC">
      <w:start w:val="1"/>
      <w:numFmt w:val="lowerRoman"/>
      <w:lvlText w:val="%3."/>
      <w:lvlJc w:val="right"/>
      <w:pPr>
        <w:ind w:left="2160" w:hanging="180"/>
      </w:pPr>
    </w:lvl>
    <w:lvl w:ilvl="3" w:tplc="B67AEAD2" w:tentative="1">
      <w:start w:val="1"/>
      <w:numFmt w:val="decimal"/>
      <w:lvlText w:val="%4."/>
      <w:lvlJc w:val="left"/>
      <w:pPr>
        <w:ind w:left="2880" w:hanging="360"/>
      </w:pPr>
    </w:lvl>
    <w:lvl w:ilvl="4" w:tplc="29E8FD64" w:tentative="1">
      <w:start w:val="1"/>
      <w:numFmt w:val="lowerLetter"/>
      <w:lvlText w:val="%5."/>
      <w:lvlJc w:val="left"/>
      <w:pPr>
        <w:ind w:left="3600" w:hanging="360"/>
      </w:pPr>
    </w:lvl>
    <w:lvl w:ilvl="5" w:tplc="A60A72B8" w:tentative="1">
      <w:start w:val="1"/>
      <w:numFmt w:val="lowerRoman"/>
      <w:lvlText w:val="%6."/>
      <w:lvlJc w:val="right"/>
      <w:pPr>
        <w:ind w:left="4320" w:hanging="180"/>
      </w:pPr>
    </w:lvl>
    <w:lvl w:ilvl="6" w:tplc="637E5DFC" w:tentative="1">
      <w:start w:val="1"/>
      <w:numFmt w:val="decimal"/>
      <w:lvlText w:val="%7."/>
      <w:lvlJc w:val="left"/>
      <w:pPr>
        <w:ind w:left="5040" w:hanging="360"/>
      </w:pPr>
    </w:lvl>
    <w:lvl w:ilvl="7" w:tplc="18D2B2C6" w:tentative="1">
      <w:start w:val="1"/>
      <w:numFmt w:val="lowerLetter"/>
      <w:lvlText w:val="%8."/>
      <w:lvlJc w:val="left"/>
      <w:pPr>
        <w:ind w:left="5760" w:hanging="360"/>
      </w:pPr>
    </w:lvl>
    <w:lvl w:ilvl="8" w:tplc="02443F40" w:tentative="1">
      <w:start w:val="1"/>
      <w:numFmt w:val="lowerRoman"/>
      <w:lvlText w:val="%9."/>
      <w:lvlJc w:val="right"/>
      <w:pPr>
        <w:ind w:left="6480" w:hanging="180"/>
      </w:pPr>
    </w:lvl>
  </w:abstractNum>
  <w:abstractNum w:abstractNumId="6" w15:restartNumberingAfterBreak="0">
    <w:nsid w:val="61C21CAA"/>
    <w:multiLevelType w:val="hybridMultilevel"/>
    <w:tmpl w:val="B6D6D144"/>
    <w:lvl w:ilvl="0" w:tplc="15188640">
      <w:start w:val="1"/>
      <w:numFmt w:val="decimal"/>
      <w:lvlText w:val="%1."/>
      <w:lvlJc w:val="left"/>
      <w:pPr>
        <w:ind w:left="720" w:hanging="360"/>
      </w:pPr>
      <w:rPr>
        <w:b w:val="0"/>
        <w:bCs/>
      </w:rPr>
    </w:lvl>
    <w:lvl w:ilvl="1" w:tplc="E796F938">
      <w:start w:val="1"/>
      <w:numFmt w:val="lowerLetter"/>
      <w:lvlText w:val="%2."/>
      <w:lvlJc w:val="left"/>
      <w:pPr>
        <w:ind w:left="1440" w:hanging="360"/>
      </w:pPr>
    </w:lvl>
    <w:lvl w:ilvl="2" w:tplc="6158CEA8" w:tentative="1">
      <w:start w:val="1"/>
      <w:numFmt w:val="lowerRoman"/>
      <w:lvlText w:val="%3."/>
      <w:lvlJc w:val="right"/>
      <w:pPr>
        <w:ind w:left="2160" w:hanging="180"/>
      </w:pPr>
    </w:lvl>
    <w:lvl w:ilvl="3" w:tplc="87AA08FC" w:tentative="1">
      <w:start w:val="1"/>
      <w:numFmt w:val="decimal"/>
      <w:lvlText w:val="%4."/>
      <w:lvlJc w:val="left"/>
      <w:pPr>
        <w:ind w:left="2880" w:hanging="360"/>
      </w:pPr>
    </w:lvl>
    <w:lvl w:ilvl="4" w:tplc="F6C6AE12" w:tentative="1">
      <w:start w:val="1"/>
      <w:numFmt w:val="lowerLetter"/>
      <w:lvlText w:val="%5."/>
      <w:lvlJc w:val="left"/>
      <w:pPr>
        <w:ind w:left="3600" w:hanging="360"/>
      </w:pPr>
    </w:lvl>
    <w:lvl w:ilvl="5" w:tplc="654CB48C" w:tentative="1">
      <w:start w:val="1"/>
      <w:numFmt w:val="lowerRoman"/>
      <w:lvlText w:val="%6."/>
      <w:lvlJc w:val="right"/>
      <w:pPr>
        <w:ind w:left="4320" w:hanging="180"/>
      </w:pPr>
    </w:lvl>
    <w:lvl w:ilvl="6" w:tplc="D4A8C6BE" w:tentative="1">
      <w:start w:val="1"/>
      <w:numFmt w:val="decimal"/>
      <w:lvlText w:val="%7."/>
      <w:lvlJc w:val="left"/>
      <w:pPr>
        <w:ind w:left="5040" w:hanging="360"/>
      </w:pPr>
    </w:lvl>
    <w:lvl w:ilvl="7" w:tplc="1D6897BA" w:tentative="1">
      <w:start w:val="1"/>
      <w:numFmt w:val="lowerLetter"/>
      <w:lvlText w:val="%8."/>
      <w:lvlJc w:val="left"/>
      <w:pPr>
        <w:ind w:left="5760" w:hanging="360"/>
      </w:pPr>
    </w:lvl>
    <w:lvl w:ilvl="8" w:tplc="51CC56BC" w:tentative="1">
      <w:start w:val="1"/>
      <w:numFmt w:val="lowerRoman"/>
      <w:lvlText w:val="%9."/>
      <w:lvlJc w:val="right"/>
      <w:pPr>
        <w:ind w:left="6480" w:hanging="180"/>
      </w:pPr>
    </w:lvl>
  </w:abstractNum>
  <w:abstractNum w:abstractNumId="7" w15:restartNumberingAfterBreak="0">
    <w:nsid w:val="635C084A"/>
    <w:multiLevelType w:val="hybridMultilevel"/>
    <w:tmpl w:val="E5E87774"/>
    <w:lvl w:ilvl="0" w:tplc="55E6CF36">
      <w:start w:val="1"/>
      <w:numFmt w:val="decimal"/>
      <w:lvlText w:val="%1."/>
      <w:lvlJc w:val="left"/>
      <w:pPr>
        <w:ind w:left="360" w:hanging="360"/>
      </w:pPr>
      <w:rPr>
        <w:rFonts w:hint="default"/>
        <w:b w:val="0"/>
      </w:rPr>
    </w:lvl>
    <w:lvl w:ilvl="1" w:tplc="E26CCA8C">
      <w:start w:val="1"/>
      <w:numFmt w:val="lowerLetter"/>
      <w:lvlText w:val="%2."/>
      <w:lvlJc w:val="left"/>
      <w:pPr>
        <w:ind w:left="720" w:hanging="360"/>
      </w:pPr>
      <w:rPr>
        <w:rFonts w:hint="default"/>
        <w:b w:val="0"/>
      </w:rPr>
    </w:lvl>
    <w:lvl w:ilvl="2" w:tplc="191818AA" w:tentative="1">
      <w:start w:val="1"/>
      <w:numFmt w:val="lowerRoman"/>
      <w:lvlText w:val="%3."/>
      <w:lvlJc w:val="right"/>
      <w:pPr>
        <w:ind w:left="2160" w:hanging="180"/>
      </w:pPr>
    </w:lvl>
    <w:lvl w:ilvl="3" w:tplc="92DA55CE" w:tentative="1">
      <w:start w:val="1"/>
      <w:numFmt w:val="decimal"/>
      <w:lvlText w:val="%4."/>
      <w:lvlJc w:val="left"/>
      <w:pPr>
        <w:ind w:left="2880" w:hanging="360"/>
      </w:pPr>
    </w:lvl>
    <w:lvl w:ilvl="4" w:tplc="21422BBA" w:tentative="1">
      <w:start w:val="1"/>
      <w:numFmt w:val="lowerLetter"/>
      <w:lvlText w:val="%5."/>
      <w:lvlJc w:val="left"/>
      <w:pPr>
        <w:ind w:left="3600" w:hanging="360"/>
      </w:pPr>
    </w:lvl>
    <w:lvl w:ilvl="5" w:tplc="EE88776C" w:tentative="1">
      <w:start w:val="1"/>
      <w:numFmt w:val="lowerRoman"/>
      <w:lvlText w:val="%6."/>
      <w:lvlJc w:val="right"/>
      <w:pPr>
        <w:ind w:left="4320" w:hanging="180"/>
      </w:pPr>
    </w:lvl>
    <w:lvl w:ilvl="6" w:tplc="C76033E4" w:tentative="1">
      <w:start w:val="1"/>
      <w:numFmt w:val="decimal"/>
      <w:lvlText w:val="%7."/>
      <w:lvlJc w:val="left"/>
      <w:pPr>
        <w:ind w:left="5040" w:hanging="360"/>
      </w:pPr>
    </w:lvl>
    <w:lvl w:ilvl="7" w:tplc="0F8E21D0" w:tentative="1">
      <w:start w:val="1"/>
      <w:numFmt w:val="lowerLetter"/>
      <w:lvlText w:val="%8."/>
      <w:lvlJc w:val="left"/>
      <w:pPr>
        <w:ind w:left="5760" w:hanging="360"/>
      </w:pPr>
    </w:lvl>
    <w:lvl w:ilvl="8" w:tplc="85C0770C" w:tentative="1">
      <w:start w:val="1"/>
      <w:numFmt w:val="lowerRoman"/>
      <w:lvlText w:val="%9."/>
      <w:lvlJc w:val="right"/>
      <w:pPr>
        <w:ind w:left="6480" w:hanging="180"/>
      </w:pPr>
    </w:lvl>
  </w:abstractNum>
  <w:abstractNum w:abstractNumId="8" w15:restartNumberingAfterBreak="0">
    <w:nsid w:val="6C054B3E"/>
    <w:multiLevelType w:val="hybridMultilevel"/>
    <w:tmpl w:val="EBCA58E6"/>
    <w:lvl w:ilvl="0" w:tplc="FDB24790">
      <w:start w:val="1"/>
      <w:numFmt w:val="decimal"/>
      <w:lvlText w:val="%1."/>
      <w:lvlJc w:val="left"/>
      <w:pPr>
        <w:ind w:left="360" w:hanging="360"/>
      </w:pPr>
      <w:rPr>
        <w:rFonts w:hint="default"/>
        <w:b w:val="0"/>
      </w:rPr>
    </w:lvl>
    <w:lvl w:ilvl="1" w:tplc="F2B47AB8" w:tentative="1">
      <w:start w:val="1"/>
      <w:numFmt w:val="lowerLetter"/>
      <w:lvlText w:val="%2."/>
      <w:lvlJc w:val="left"/>
      <w:pPr>
        <w:ind w:left="1080" w:hanging="360"/>
      </w:pPr>
    </w:lvl>
    <w:lvl w:ilvl="2" w:tplc="7FDEE71E" w:tentative="1">
      <w:start w:val="1"/>
      <w:numFmt w:val="lowerRoman"/>
      <w:lvlText w:val="%3."/>
      <w:lvlJc w:val="right"/>
      <w:pPr>
        <w:ind w:left="1800" w:hanging="180"/>
      </w:pPr>
    </w:lvl>
    <w:lvl w:ilvl="3" w:tplc="F0EC17E0" w:tentative="1">
      <w:start w:val="1"/>
      <w:numFmt w:val="decimal"/>
      <w:lvlText w:val="%4."/>
      <w:lvlJc w:val="left"/>
      <w:pPr>
        <w:ind w:left="2520" w:hanging="360"/>
      </w:pPr>
    </w:lvl>
    <w:lvl w:ilvl="4" w:tplc="2B280472" w:tentative="1">
      <w:start w:val="1"/>
      <w:numFmt w:val="lowerLetter"/>
      <w:lvlText w:val="%5."/>
      <w:lvlJc w:val="left"/>
      <w:pPr>
        <w:ind w:left="3240" w:hanging="360"/>
      </w:pPr>
    </w:lvl>
    <w:lvl w:ilvl="5" w:tplc="CDA00194" w:tentative="1">
      <w:start w:val="1"/>
      <w:numFmt w:val="lowerRoman"/>
      <w:lvlText w:val="%6."/>
      <w:lvlJc w:val="right"/>
      <w:pPr>
        <w:ind w:left="3960" w:hanging="180"/>
      </w:pPr>
    </w:lvl>
    <w:lvl w:ilvl="6" w:tplc="E5848CD0" w:tentative="1">
      <w:start w:val="1"/>
      <w:numFmt w:val="decimal"/>
      <w:lvlText w:val="%7."/>
      <w:lvlJc w:val="left"/>
      <w:pPr>
        <w:ind w:left="4680" w:hanging="360"/>
      </w:pPr>
    </w:lvl>
    <w:lvl w:ilvl="7" w:tplc="9C60AD24" w:tentative="1">
      <w:start w:val="1"/>
      <w:numFmt w:val="lowerLetter"/>
      <w:lvlText w:val="%8."/>
      <w:lvlJc w:val="left"/>
      <w:pPr>
        <w:ind w:left="5400" w:hanging="360"/>
      </w:pPr>
    </w:lvl>
    <w:lvl w:ilvl="8" w:tplc="AFE43CBC" w:tentative="1">
      <w:start w:val="1"/>
      <w:numFmt w:val="lowerRoman"/>
      <w:lvlText w:val="%9."/>
      <w:lvlJc w:val="right"/>
      <w:pPr>
        <w:ind w:left="6120" w:hanging="180"/>
      </w:pPr>
    </w:lvl>
  </w:abstractNum>
  <w:num w:numId="1" w16cid:durableId="1515611729">
    <w:abstractNumId w:val="7"/>
  </w:num>
  <w:num w:numId="2" w16cid:durableId="176701992">
    <w:abstractNumId w:val="2"/>
  </w:num>
  <w:num w:numId="3" w16cid:durableId="711466146">
    <w:abstractNumId w:val="0"/>
  </w:num>
  <w:num w:numId="4" w16cid:durableId="388724926">
    <w:abstractNumId w:val="4"/>
  </w:num>
  <w:num w:numId="5" w16cid:durableId="1404793429">
    <w:abstractNumId w:val="8"/>
  </w:num>
  <w:num w:numId="6" w16cid:durableId="2009208225">
    <w:abstractNumId w:val="3"/>
  </w:num>
  <w:num w:numId="7" w16cid:durableId="1870294222">
    <w:abstractNumId w:val="5"/>
  </w:num>
  <w:num w:numId="8" w16cid:durableId="1572349180">
    <w:abstractNumId w:val="1"/>
  </w:num>
  <w:num w:numId="9" w16cid:durableId="138957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0DCF"/>
    <w:rsid w:val="000C7801"/>
    <w:rsid w:val="00160610"/>
    <w:rsid w:val="002C0FAC"/>
    <w:rsid w:val="00325E7D"/>
    <w:rsid w:val="003F0F8C"/>
    <w:rsid w:val="004705A7"/>
    <w:rsid w:val="00564545"/>
    <w:rsid w:val="005B28DF"/>
    <w:rsid w:val="006D4DA8"/>
    <w:rsid w:val="00706430"/>
    <w:rsid w:val="00722D8D"/>
    <w:rsid w:val="00A46D4C"/>
    <w:rsid w:val="00A55A1E"/>
    <w:rsid w:val="00B6477D"/>
    <w:rsid w:val="00B77457"/>
    <w:rsid w:val="00D5074B"/>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03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DCF"/>
  </w:style>
  <w:style w:type="paragraph" w:styleId="Heading2">
    <w:name w:val="heading 2"/>
    <w:basedOn w:val="Normal"/>
    <w:next w:val="Normal"/>
    <w:link w:val="Heading2Char"/>
    <w:uiPriority w:val="9"/>
    <w:unhideWhenUsed/>
    <w:qFormat/>
    <w:rsid w:val="00325E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0D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3"/>
    <w:next w:val="Normal"/>
    <w:link w:val="Heading5Char"/>
    <w:uiPriority w:val="9"/>
    <w:qFormat/>
    <w:rsid w:val="00010DCF"/>
    <w:pPr>
      <w:spacing w:before="240" w:after="120" w:line="240" w:lineRule="auto"/>
      <w:outlineLvl w:val="4"/>
    </w:pPr>
    <w:rPr>
      <w:rFonts w:ascii="Arial" w:hAnsi="Arial"/>
      <w:b/>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801"/>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0C7801"/>
    <w:rPr>
      <w:rFonts w:ascii="Arial" w:eastAsia="Times New Roman" w:hAnsi="Arial" w:cs="Times New Roman"/>
      <w:szCs w:val="20"/>
    </w:rPr>
  </w:style>
  <w:style w:type="paragraph" w:styleId="Footer">
    <w:name w:val="footer"/>
    <w:basedOn w:val="Normal"/>
    <w:link w:val="FooterChar"/>
    <w:uiPriority w:val="99"/>
    <w:unhideWhenUsed/>
    <w:rsid w:val="000C7801"/>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0C7801"/>
    <w:rPr>
      <w:rFonts w:ascii="Arial" w:eastAsia="Times New Roman" w:hAnsi="Arial" w:cs="Times New Roman"/>
      <w:szCs w:val="20"/>
    </w:rPr>
  </w:style>
  <w:style w:type="character" w:customStyle="1" w:styleId="Heading2Char">
    <w:name w:val="Heading 2 Char"/>
    <w:basedOn w:val="DefaultParagraphFont"/>
    <w:link w:val="Heading2"/>
    <w:uiPriority w:val="9"/>
    <w:rsid w:val="00325E7D"/>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010DCF"/>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010DCF"/>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010DCF"/>
    <w:pPr>
      <w:spacing w:before="60" w:after="240"/>
    </w:pPr>
    <w:rPr>
      <w:rFonts w:cs="Times New Roman"/>
    </w:rPr>
  </w:style>
  <w:style w:type="character" w:customStyle="1" w:styleId="Heading5Char">
    <w:name w:val="Heading 5 Char"/>
    <w:basedOn w:val="DefaultParagraphFont"/>
    <w:link w:val="Heading5"/>
    <w:uiPriority w:val="9"/>
    <w:rsid w:val="00010DCF"/>
    <w:rPr>
      <w:rFonts w:ascii="Arial" w:eastAsiaTheme="majorEastAsia" w:hAnsi="Arial" w:cstheme="majorBidi"/>
      <w:b/>
      <w:sz w:val="24"/>
      <w:szCs w:val="24"/>
    </w:rPr>
  </w:style>
  <w:style w:type="character" w:styleId="Hyperlink">
    <w:name w:val="Hyperlink"/>
    <w:basedOn w:val="DefaultParagraphFont"/>
    <w:uiPriority w:val="99"/>
    <w:unhideWhenUsed/>
    <w:rsid w:val="00010DCF"/>
    <w:rPr>
      <w:color w:val="0563C1" w:themeColor="hyperlink"/>
      <w:u w:val="single"/>
    </w:rPr>
  </w:style>
  <w:style w:type="character" w:styleId="UnresolvedMention">
    <w:name w:val="Unresolved Mention"/>
    <w:basedOn w:val="DefaultParagraphFont"/>
    <w:uiPriority w:val="99"/>
    <w:semiHidden/>
    <w:unhideWhenUsed/>
    <w:rsid w:val="00010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pa.gov/cdx" TargetMode="Externa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63-5de-16-furnaces-existing-metal-process.dotx</Template>
  <TotalTime>0</TotalTime>
  <Pages>5</Pages>
  <Words>2249</Words>
  <Characters>11720</Characters>
  <Application>Microsoft Office Word</Application>
  <DocSecurity>0</DocSecurity>
  <Lines>174</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63-5DE-16 Major HAP Source-Existing Metal Process Furnaces Greater than 10 MMBTU/hr</dc:title>
  <dc:subject>63-5DE-16 Major HAP Source-Existing Metal Process Furnaces Greater than 10 MMBTU/hr</dc:subject>
  <dc:creator>EGLE, Air Quality Division</dc:creator>
  <cp:keywords>AQD, air, permits, ROP, public comment, Title V</cp:keywords>
  <cp:lastModifiedBy>Orent, Kelly (EGLE)</cp:lastModifiedBy>
  <cp:revision>2</cp:revision>
  <dcterms:created xsi:type="dcterms:W3CDTF">2026-04-17T16:17:00Z</dcterms:created>
  <dcterms:modified xsi:type="dcterms:W3CDTF">2026-04-17T16:17:00Z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19a10293-e92d-42c9-a393-b838cbbd9029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2023-10-10T19:04:26Z</vt:lpwstr>
  </property>
  <property fmtid="{D5CDD505-2E9C-101B-9397-08002B2CF9AE}" pid="8" name="MSIP_Label_2f46dfe0-534f-4c95-815c-5b1af86b9823_SiteId">
    <vt:lpwstr>d5fb7087-3777-42ad-966a-892ef47225d1</vt:lpwstr>
  </property>
</Properties>
</file>