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7A1E" w14:textId="77777777"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rsidRPr="00533703" w14:paraId="5E0134D1" w14:textId="77777777">
        <w:tc>
          <w:tcPr>
            <w:tcW w:w="2610" w:type="dxa"/>
          </w:tcPr>
          <w:p w14:paraId="614CD1D9" w14:textId="77777777" w:rsidR="00AF4326" w:rsidRDefault="00AF4326">
            <w:pPr>
              <w:jc w:val="center"/>
              <w:rPr>
                <w:rFonts w:ascii="Arial" w:hAnsi="Arial"/>
                <w:sz w:val="16"/>
              </w:rPr>
            </w:pPr>
          </w:p>
        </w:tc>
        <w:tc>
          <w:tcPr>
            <w:tcW w:w="5188" w:type="dxa"/>
          </w:tcPr>
          <w:p w14:paraId="5B1B62E6" w14:textId="77777777" w:rsidR="00AF4326" w:rsidRPr="00533703" w:rsidRDefault="00AF4326" w:rsidP="00135426">
            <w:pPr>
              <w:ind w:left="-108" w:right="-140"/>
              <w:jc w:val="center"/>
              <w:rPr>
                <w:rFonts w:ascii="Arial" w:hAnsi="Arial"/>
              </w:rPr>
            </w:pPr>
            <w:r w:rsidRPr="00533703">
              <w:rPr>
                <w:rFonts w:ascii="Arial" w:hAnsi="Arial"/>
              </w:rPr>
              <w:t xml:space="preserve">Michigan Department </w:t>
            </w:r>
            <w:r w:rsidR="00444F0F" w:rsidRPr="00533703">
              <w:rPr>
                <w:rFonts w:ascii="Arial" w:hAnsi="Arial"/>
              </w:rPr>
              <w:t>o</w:t>
            </w:r>
            <w:r w:rsidR="00135426" w:rsidRPr="00533703">
              <w:rPr>
                <w:rFonts w:ascii="Arial" w:hAnsi="Arial"/>
              </w:rPr>
              <w:t>f Environment</w:t>
            </w:r>
            <w:r w:rsidR="00AF5CDE" w:rsidRPr="00533703">
              <w:rPr>
                <w:rFonts w:ascii="Arial" w:hAnsi="Arial"/>
              </w:rPr>
              <w:t>al Quality</w:t>
            </w:r>
          </w:p>
          <w:p w14:paraId="44ADEF11" w14:textId="77777777" w:rsidR="00AF4326" w:rsidRPr="00533703" w:rsidRDefault="00AF4326">
            <w:pPr>
              <w:jc w:val="center"/>
              <w:rPr>
                <w:rFonts w:ascii="Arial" w:hAnsi="Arial"/>
                <w:sz w:val="16"/>
              </w:rPr>
            </w:pPr>
            <w:r w:rsidRPr="00533703">
              <w:rPr>
                <w:rFonts w:ascii="Arial" w:hAnsi="Arial"/>
              </w:rPr>
              <w:t>Air Quality Division</w:t>
            </w:r>
          </w:p>
        </w:tc>
        <w:tc>
          <w:tcPr>
            <w:tcW w:w="2462" w:type="dxa"/>
          </w:tcPr>
          <w:p w14:paraId="5FB92D06" w14:textId="77777777" w:rsidR="00AF4326" w:rsidRPr="00533703" w:rsidRDefault="00AF4326">
            <w:pPr>
              <w:jc w:val="center"/>
              <w:rPr>
                <w:rFonts w:ascii="Arial" w:hAnsi="Arial"/>
                <w:b/>
                <w:sz w:val="24"/>
              </w:rPr>
            </w:pPr>
          </w:p>
        </w:tc>
      </w:tr>
      <w:tr w:rsidR="00AF4326" w:rsidRPr="00533703" w14:paraId="0682DCAE" w14:textId="77777777">
        <w:trPr>
          <w:cantSplit/>
          <w:trHeight w:val="146"/>
        </w:trPr>
        <w:tc>
          <w:tcPr>
            <w:tcW w:w="2610" w:type="dxa"/>
          </w:tcPr>
          <w:p w14:paraId="6F541681" w14:textId="77777777" w:rsidR="00AF4326" w:rsidRPr="00533703" w:rsidRDefault="00AF4326">
            <w:pPr>
              <w:pStyle w:val="Header"/>
              <w:jc w:val="center"/>
              <w:rPr>
                <w:rFonts w:ascii="Arial" w:hAnsi="Arial"/>
                <w:b/>
                <w:sz w:val="16"/>
              </w:rPr>
            </w:pPr>
            <w:r w:rsidRPr="00533703">
              <w:rPr>
                <w:rFonts w:ascii="Arial" w:hAnsi="Arial"/>
                <w:b/>
                <w:sz w:val="16"/>
              </w:rPr>
              <w:t>State Registration Number</w:t>
            </w:r>
          </w:p>
        </w:tc>
        <w:tc>
          <w:tcPr>
            <w:tcW w:w="5188" w:type="dxa"/>
          </w:tcPr>
          <w:p w14:paraId="07F0583D" w14:textId="77777777" w:rsidR="00AF4326" w:rsidRPr="00533703" w:rsidRDefault="00AF4326">
            <w:pPr>
              <w:pStyle w:val="Header"/>
              <w:jc w:val="center"/>
              <w:rPr>
                <w:rFonts w:ascii="Arial" w:hAnsi="Arial"/>
                <w:b/>
                <w:sz w:val="28"/>
              </w:rPr>
            </w:pPr>
            <w:r w:rsidRPr="00533703">
              <w:rPr>
                <w:rFonts w:ascii="Arial" w:hAnsi="Arial"/>
                <w:b/>
                <w:sz w:val="28"/>
              </w:rPr>
              <w:t>RENEWABLE OPERATING PERMIT</w:t>
            </w:r>
          </w:p>
        </w:tc>
        <w:tc>
          <w:tcPr>
            <w:tcW w:w="2462" w:type="dxa"/>
          </w:tcPr>
          <w:p w14:paraId="2A75DBED" w14:textId="77777777" w:rsidR="00AF4326" w:rsidRPr="00533703" w:rsidRDefault="00DB5924" w:rsidP="00AD754F">
            <w:pPr>
              <w:jc w:val="center"/>
              <w:rPr>
                <w:rFonts w:ascii="Arial" w:hAnsi="Arial"/>
                <w:b/>
                <w:sz w:val="16"/>
              </w:rPr>
            </w:pPr>
            <w:smartTag w:uri="urn:schemas-microsoft-com:office:smarttags" w:element="stockticker">
              <w:r w:rsidRPr="00533703">
                <w:rPr>
                  <w:rFonts w:ascii="Arial" w:hAnsi="Arial"/>
                  <w:b/>
                  <w:sz w:val="16"/>
                </w:rPr>
                <w:t>ROP</w:t>
              </w:r>
            </w:smartTag>
            <w:r w:rsidR="00AF4326" w:rsidRPr="00533703">
              <w:rPr>
                <w:rFonts w:ascii="Arial" w:hAnsi="Arial"/>
                <w:b/>
                <w:sz w:val="16"/>
              </w:rPr>
              <w:t xml:space="preserve"> Number</w:t>
            </w:r>
          </w:p>
        </w:tc>
      </w:tr>
      <w:tr w:rsidR="00AF4326" w:rsidRPr="00533703" w14:paraId="1635BF91" w14:textId="77777777">
        <w:trPr>
          <w:cantSplit/>
          <w:trHeight w:val="145"/>
        </w:trPr>
        <w:tc>
          <w:tcPr>
            <w:tcW w:w="2610" w:type="dxa"/>
          </w:tcPr>
          <w:p w14:paraId="6558C0EC" w14:textId="77777777" w:rsidR="00AF4326" w:rsidRPr="00533703" w:rsidRDefault="00AF4326" w:rsidP="00A47C94">
            <w:pPr>
              <w:pStyle w:val="Header"/>
              <w:jc w:val="center"/>
              <w:rPr>
                <w:rFonts w:ascii="Arial" w:hAnsi="Arial"/>
                <w:sz w:val="22"/>
                <w:szCs w:val="22"/>
              </w:rPr>
            </w:pPr>
            <w:r w:rsidRPr="00533703">
              <w:rPr>
                <w:rFonts w:ascii="Arial" w:hAnsi="Arial"/>
                <w:sz w:val="22"/>
              </w:rPr>
              <w:fldChar w:fldCharType="begin" w:fldLock="1">
                <w:ffData>
                  <w:name w:val="SRN"/>
                  <w:enabled/>
                  <w:calcOnExit/>
                  <w:statusText w:type="text" w:val="Enter SRN"/>
                  <w:textInput/>
                </w:ffData>
              </w:fldChar>
            </w:r>
            <w:bookmarkStart w:id="1" w:name="SRN"/>
            <w:r w:rsidRPr="00533703">
              <w:rPr>
                <w:rFonts w:ascii="Arial" w:hAnsi="Arial"/>
                <w:sz w:val="22"/>
              </w:rPr>
              <w:instrText xml:space="preserve"> FORMTEXT </w:instrText>
            </w:r>
            <w:r w:rsidRPr="00533703">
              <w:rPr>
                <w:rFonts w:ascii="Arial" w:hAnsi="Arial"/>
                <w:sz w:val="22"/>
              </w:rPr>
            </w:r>
            <w:r w:rsidRPr="00533703">
              <w:rPr>
                <w:rFonts w:ascii="Arial" w:hAnsi="Arial"/>
                <w:sz w:val="22"/>
              </w:rPr>
              <w:fldChar w:fldCharType="separate"/>
            </w:r>
            <w:r w:rsidR="00A47C94" w:rsidRPr="00533703">
              <w:rPr>
                <w:rFonts w:ascii="Arial" w:hAnsi="Arial"/>
                <w:sz w:val="22"/>
              </w:rPr>
              <w:t>B6145</w:t>
            </w:r>
            <w:r w:rsidRPr="00533703">
              <w:rPr>
                <w:rFonts w:ascii="Arial" w:hAnsi="Arial"/>
                <w:sz w:val="22"/>
                <w:szCs w:val="22"/>
              </w:rPr>
              <w:fldChar w:fldCharType="end"/>
            </w:r>
            <w:bookmarkEnd w:id="1"/>
          </w:p>
        </w:tc>
        <w:tc>
          <w:tcPr>
            <w:tcW w:w="5188" w:type="dxa"/>
          </w:tcPr>
          <w:p w14:paraId="18EE030A" w14:textId="77777777" w:rsidR="00AF4326" w:rsidRPr="00533703" w:rsidRDefault="00AF4326">
            <w:pPr>
              <w:jc w:val="center"/>
              <w:rPr>
                <w:rFonts w:ascii="Arial" w:hAnsi="Arial"/>
                <w:b/>
                <w:sz w:val="28"/>
                <w:szCs w:val="28"/>
              </w:rPr>
            </w:pPr>
            <w:r w:rsidRPr="00533703">
              <w:rPr>
                <w:rFonts w:ascii="Arial" w:hAnsi="Arial"/>
                <w:b/>
                <w:sz w:val="28"/>
                <w:szCs w:val="28"/>
              </w:rPr>
              <w:t>STAFF REPORT</w:t>
            </w:r>
          </w:p>
        </w:tc>
        <w:bookmarkStart w:id="2" w:name="Text17"/>
        <w:tc>
          <w:tcPr>
            <w:tcW w:w="2462" w:type="dxa"/>
          </w:tcPr>
          <w:p w14:paraId="7DF76049" w14:textId="18DC6BA5" w:rsidR="00AF4326" w:rsidRPr="00533703" w:rsidRDefault="000F73C3" w:rsidP="00A47C94">
            <w:pPr>
              <w:pStyle w:val="Header"/>
              <w:jc w:val="center"/>
              <w:rPr>
                <w:rFonts w:ascii="Arial" w:hAnsi="Arial"/>
                <w:sz w:val="22"/>
                <w:szCs w:val="22"/>
              </w:rPr>
            </w:pPr>
            <w:r w:rsidRPr="00533703">
              <w:rPr>
                <w:rFonts w:ascii="Arial" w:hAnsi="Arial"/>
                <w:sz w:val="22"/>
                <w:szCs w:val="22"/>
              </w:rPr>
              <w:fldChar w:fldCharType="begin" w:fldLock="1">
                <w:ffData>
                  <w:name w:val="Text17"/>
                  <w:enabled/>
                  <w:calcOnExit w:val="0"/>
                  <w:statusText w:type="text" w:val="Enter the RO Permit Number After (YEAR) Is Determined"/>
                  <w:textInput/>
                </w:ffData>
              </w:fldChar>
            </w:r>
            <w:r w:rsidRPr="00533703">
              <w:rPr>
                <w:rFonts w:ascii="Arial" w:hAnsi="Arial"/>
                <w:sz w:val="22"/>
                <w:szCs w:val="22"/>
              </w:rPr>
              <w:instrText xml:space="preserve"> FORMTEXT </w:instrText>
            </w:r>
            <w:r w:rsidRPr="00533703">
              <w:rPr>
                <w:rFonts w:ascii="Arial" w:hAnsi="Arial"/>
                <w:sz w:val="22"/>
                <w:szCs w:val="22"/>
              </w:rPr>
            </w:r>
            <w:r w:rsidRPr="00533703">
              <w:rPr>
                <w:rFonts w:ascii="Arial" w:hAnsi="Arial"/>
                <w:sz w:val="22"/>
                <w:szCs w:val="22"/>
              </w:rPr>
              <w:fldChar w:fldCharType="separate"/>
            </w:r>
            <w:r w:rsidR="00A47C94" w:rsidRPr="00533703">
              <w:rPr>
                <w:rFonts w:ascii="Arial" w:hAnsi="Arial"/>
                <w:sz w:val="22"/>
                <w:szCs w:val="22"/>
              </w:rPr>
              <w:t>MI-ROP-B6145-201</w:t>
            </w:r>
            <w:r w:rsidR="003654B0">
              <w:rPr>
                <w:rFonts w:ascii="Arial" w:hAnsi="Arial"/>
                <w:sz w:val="22"/>
                <w:szCs w:val="22"/>
              </w:rPr>
              <w:t>8</w:t>
            </w:r>
            <w:r w:rsidRPr="00533703">
              <w:rPr>
                <w:rFonts w:ascii="Arial" w:hAnsi="Arial"/>
                <w:sz w:val="22"/>
                <w:szCs w:val="22"/>
              </w:rPr>
              <w:fldChar w:fldCharType="end"/>
            </w:r>
            <w:bookmarkEnd w:id="2"/>
            <w:r w:rsidR="00982658" w:rsidRPr="00533703">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533703">
              <w:rPr>
                <w:rFonts w:ascii="Arial" w:hAnsi="Arial"/>
                <w:sz w:val="22"/>
                <w:szCs w:val="22"/>
              </w:rPr>
              <w:instrText xml:space="preserve"> FORMTEXT </w:instrText>
            </w:r>
            <w:r w:rsidR="004A33DF">
              <w:rPr>
                <w:rFonts w:ascii="Arial" w:hAnsi="Arial"/>
                <w:sz w:val="22"/>
                <w:szCs w:val="22"/>
              </w:rPr>
            </w:r>
            <w:r w:rsidR="004A33DF">
              <w:rPr>
                <w:rFonts w:ascii="Arial" w:hAnsi="Arial"/>
                <w:sz w:val="22"/>
                <w:szCs w:val="22"/>
              </w:rPr>
              <w:fldChar w:fldCharType="separate"/>
            </w:r>
            <w:r w:rsidR="00982658" w:rsidRPr="00533703">
              <w:rPr>
                <w:rFonts w:ascii="Arial" w:hAnsi="Arial"/>
                <w:sz w:val="22"/>
                <w:szCs w:val="22"/>
              </w:rPr>
              <w:fldChar w:fldCharType="end"/>
            </w:r>
            <w:bookmarkEnd w:id="3"/>
          </w:p>
        </w:tc>
      </w:tr>
    </w:tbl>
    <w:p w14:paraId="2702D8A5" w14:textId="77777777" w:rsidR="00AF4326" w:rsidRPr="00533703" w:rsidRDefault="00AF4326">
      <w:pPr>
        <w:rPr>
          <w:rFonts w:ascii="Arial" w:hAnsi="Arial"/>
          <w:color w:val="000000"/>
          <w:sz w:val="14"/>
        </w:rPr>
      </w:pPr>
    </w:p>
    <w:p w14:paraId="333E09E9" w14:textId="77777777" w:rsidR="00AF4326" w:rsidRPr="00533703" w:rsidRDefault="00AF4326">
      <w:pPr>
        <w:jc w:val="center"/>
        <w:rPr>
          <w:rFonts w:ascii="Arial" w:hAnsi="Arial"/>
          <w:sz w:val="22"/>
        </w:rPr>
      </w:pPr>
    </w:p>
    <w:p w14:paraId="6E0EEC8F" w14:textId="48A47E46" w:rsidR="003D6C8F" w:rsidRPr="00533703" w:rsidRDefault="00D159AC">
      <w:pPr>
        <w:jc w:val="center"/>
        <w:rPr>
          <w:rFonts w:ascii="Arial" w:hAnsi="Arial"/>
          <w:b/>
          <w:sz w:val="22"/>
        </w:rPr>
      </w:pPr>
      <w:r w:rsidRPr="00D159AC">
        <w:rPr>
          <w:rFonts w:ascii="Arial" w:hAnsi="Arial"/>
          <w:b/>
          <w:sz w:val="22"/>
        </w:rPr>
        <w:t>DTE Electric Company – Greenwood Energy Center</w:t>
      </w:r>
    </w:p>
    <w:p w14:paraId="4D961DA3" w14:textId="77777777" w:rsidR="00AF4326" w:rsidRPr="00533703" w:rsidRDefault="00AF4326">
      <w:pPr>
        <w:rPr>
          <w:rFonts w:ascii="Arial" w:hAnsi="Arial"/>
          <w:sz w:val="22"/>
        </w:rPr>
      </w:pPr>
    </w:p>
    <w:p w14:paraId="12FBE171" w14:textId="77777777" w:rsidR="00AF4326" w:rsidRPr="00533703" w:rsidRDefault="00AF4326">
      <w:pPr>
        <w:jc w:val="center"/>
        <w:rPr>
          <w:rFonts w:ascii="Arial" w:hAnsi="Arial"/>
          <w:sz w:val="22"/>
        </w:rPr>
      </w:pPr>
    </w:p>
    <w:p w14:paraId="64045CC1" w14:textId="03A0F85C" w:rsidR="00AF4326" w:rsidRPr="00533703" w:rsidRDefault="00AF4326">
      <w:pPr>
        <w:jc w:val="center"/>
        <w:rPr>
          <w:rFonts w:ascii="Arial" w:hAnsi="Arial"/>
          <w:sz w:val="22"/>
        </w:rPr>
      </w:pPr>
      <w:smartTag w:uri="urn:schemas-microsoft-com:office:smarttags" w:element="stockticker">
        <w:r w:rsidRPr="00533703">
          <w:rPr>
            <w:rFonts w:ascii="Arial" w:hAnsi="Arial"/>
            <w:sz w:val="22"/>
          </w:rPr>
          <w:t>SRN</w:t>
        </w:r>
      </w:smartTag>
      <w:r w:rsidRPr="00533703">
        <w:rPr>
          <w:rFonts w:ascii="Arial" w:hAnsi="Arial"/>
          <w:sz w:val="22"/>
        </w:rPr>
        <w:t xml:space="preserve">: </w:t>
      </w:r>
      <w:r w:rsidRPr="00533703">
        <w:rPr>
          <w:rFonts w:ascii="Arial" w:hAnsi="Arial"/>
          <w:sz w:val="22"/>
        </w:rPr>
        <w:fldChar w:fldCharType="begin"/>
      </w:r>
      <w:r w:rsidRPr="00533703">
        <w:rPr>
          <w:rFonts w:ascii="Arial" w:hAnsi="Arial"/>
          <w:sz w:val="22"/>
        </w:rPr>
        <w:instrText xml:space="preserve"> REF SRN \h </w:instrText>
      </w:r>
      <w:r w:rsidR="00533703">
        <w:rPr>
          <w:rFonts w:ascii="Arial" w:hAnsi="Arial"/>
          <w:sz w:val="22"/>
        </w:rPr>
        <w:instrText xml:space="preserve"> \* MERGEFORMAT </w:instrText>
      </w:r>
      <w:r w:rsidRPr="00533703">
        <w:rPr>
          <w:rFonts w:ascii="Arial" w:hAnsi="Arial"/>
          <w:sz w:val="22"/>
        </w:rPr>
      </w:r>
      <w:r w:rsidRPr="00533703">
        <w:rPr>
          <w:rFonts w:ascii="Arial" w:hAnsi="Arial"/>
          <w:sz w:val="22"/>
        </w:rPr>
        <w:fldChar w:fldCharType="separate"/>
      </w:r>
      <w:r w:rsidR="008A2E5E" w:rsidRPr="00533703">
        <w:rPr>
          <w:rFonts w:ascii="Arial" w:hAnsi="Arial"/>
          <w:sz w:val="22"/>
        </w:rPr>
        <w:t>B6145</w:t>
      </w:r>
      <w:r w:rsidRPr="00533703">
        <w:rPr>
          <w:rFonts w:ascii="Arial" w:hAnsi="Arial"/>
          <w:sz w:val="22"/>
        </w:rPr>
        <w:fldChar w:fldCharType="end"/>
      </w:r>
    </w:p>
    <w:p w14:paraId="16673481" w14:textId="77777777" w:rsidR="00AF4326" w:rsidRPr="00533703" w:rsidRDefault="00AF4326">
      <w:pPr>
        <w:jc w:val="center"/>
        <w:rPr>
          <w:rFonts w:ascii="Arial" w:hAnsi="Arial"/>
          <w:sz w:val="22"/>
        </w:rPr>
      </w:pPr>
    </w:p>
    <w:p w14:paraId="1055EAEB" w14:textId="77777777" w:rsidR="00AF4326" w:rsidRPr="00533703" w:rsidRDefault="001301E9">
      <w:pPr>
        <w:jc w:val="center"/>
        <w:outlineLvl w:val="0"/>
        <w:rPr>
          <w:rFonts w:ascii="Arial" w:hAnsi="Arial"/>
          <w:sz w:val="22"/>
        </w:rPr>
      </w:pPr>
      <w:r w:rsidRPr="00533703">
        <w:rPr>
          <w:rFonts w:ascii="Arial" w:hAnsi="Arial"/>
          <w:sz w:val="22"/>
        </w:rPr>
        <w:t>Located</w:t>
      </w:r>
      <w:r w:rsidR="00AF4326" w:rsidRPr="00533703">
        <w:rPr>
          <w:rFonts w:ascii="Arial" w:hAnsi="Arial"/>
          <w:sz w:val="22"/>
        </w:rPr>
        <w:t xml:space="preserve"> at</w:t>
      </w:r>
    </w:p>
    <w:p w14:paraId="4B21F9BC" w14:textId="77777777" w:rsidR="006240B1" w:rsidRPr="00533703" w:rsidRDefault="006240B1">
      <w:pPr>
        <w:jc w:val="center"/>
        <w:outlineLvl w:val="0"/>
        <w:rPr>
          <w:rFonts w:ascii="Arial" w:hAnsi="Arial"/>
          <w:sz w:val="22"/>
        </w:rPr>
      </w:pPr>
    </w:p>
    <w:p w14:paraId="71767C42" w14:textId="77777777" w:rsidR="00AF4326" w:rsidRPr="00533703" w:rsidRDefault="00AF4326">
      <w:pPr>
        <w:jc w:val="center"/>
        <w:rPr>
          <w:rFonts w:ascii="Arial" w:hAnsi="Arial"/>
          <w:sz w:val="22"/>
        </w:rPr>
      </w:pPr>
      <w:r w:rsidRPr="00533703">
        <w:rPr>
          <w:rFonts w:ascii="Arial" w:hAnsi="Arial"/>
          <w:sz w:val="22"/>
        </w:rPr>
        <w:fldChar w:fldCharType="begin" w:fldLock="1">
          <w:ffData>
            <w:name w:val="Street_Address"/>
            <w:enabled/>
            <w:calcOnExit/>
            <w:statusText w:type="text" w:val="Enter Street Address"/>
            <w:textInput/>
          </w:ffData>
        </w:fldChar>
      </w:r>
      <w:bookmarkStart w:id="4" w:name="Street_Address"/>
      <w:r w:rsidRPr="00533703">
        <w:rPr>
          <w:rFonts w:ascii="Arial" w:hAnsi="Arial"/>
          <w:sz w:val="22"/>
        </w:rPr>
        <w:instrText xml:space="preserve"> FORMTEXT </w:instrText>
      </w:r>
      <w:r w:rsidRPr="00533703">
        <w:rPr>
          <w:rFonts w:ascii="Arial" w:hAnsi="Arial"/>
          <w:sz w:val="22"/>
        </w:rPr>
      </w:r>
      <w:r w:rsidRPr="00533703">
        <w:rPr>
          <w:rFonts w:ascii="Arial" w:hAnsi="Arial"/>
          <w:sz w:val="22"/>
        </w:rPr>
        <w:fldChar w:fldCharType="separate"/>
      </w:r>
      <w:r w:rsidR="00A47C94" w:rsidRPr="00533703">
        <w:rPr>
          <w:rFonts w:ascii="Arial" w:hAnsi="Arial"/>
          <w:sz w:val="22"/>
        </w:rPr>
        <w:t>7000 Kilgore Road</w:t>
      </w:r>
      <w:r w:rsidRPr="00533703">
        <w:rPr>
          <w:rFonts w:ascii="Arial" w:hAnsi="Arial"/>
          <w:sz w:val="22"/>
        </w:rPr>
        <w:fldChar w:fldCharType="end"/>
      </w:r>
      <w:bookmarkEnd w:id="4"/>
      <w:r w:rsidRPr="00533703">
        <w:rPr>
          <w:rFonts w:ascii="Arial" w:hAnsi="Arial"/>
          <w:sz w:val="22"/>
        </w:rPr>
        <w:t xml:space="preserve">, </w:t>
      </w:r>
      <w:r w:rsidRPr="00533703">
        <w:rPr>
          <w:rFonts w:ascii="Arial" w:hAnsi="Arial"/>
          <w:sz w:val="22"/>
        </w:rPr>
        <w:fldChar w:fldCharType="begin" w:fldLock="1">
          <w:ffData>
            <w:name w:val="City"/>
            <w:enabled/>
            <w:calcOnExit/>
            <w:statusText w:type="text" w:val="Enter City"/>
            <w:textInput/>
          </w:ffData>
        </w:fldChar>
      </w:r>
      <w:bookmarkStart w:id="5" w:name="City"/>
      <w:r w:rsidRPr="00533703">
        <w:rPr>
          <w:rFonts w:ascii="Arial" w:hAnsi="Arial"/>
          <w:sz w:val="22"/>
        </w:rPr>
        <w:instrText xml:space="preserve"> FORMTEXT </w:instrText>
      </w:r>
      <w:r w:rsidRPr="00533703">
        <w:rPr>
          <w:rFonts w:ascii="Arial" w:hAnsi="Arial"/>
          <w:sz w:val="22"/>
        </w:rPr>
      </w:r>
      <w:r w:rsidRPr="00533703">
        <w:rPr>
          <w:rFonts w:ascii="Arial" w:hAnsi="Arial"/>
          <w:sz w:val="22"/>
        </w:rPr>
        <w:fldChar w:fldCharType="separate"/>
      </w:r>
      <w:r w:rsidR="00A47C94" w:rsidRPr="00533703">
        <w:rPr>
          <w:rFonts w:ascii="Arial" w:hAnsi="Arial"/>
          <w:sz w:val="22"/>
        </w:rPr>
        <w:t>Avoca</w:t>
      </w:r>
      <w:r w:rsidRPr="00533703">
        <w:rPr>
          <w:rFonts w:ascii="Arial" w:hAnsi="Arial"/>
          <w:sz w:val="22"/>
        </w:rPr>
        <w:fldChar w:fldCharType="end"/>
      </w:r>
      <w:bookmarkEnd w:id="5"/>
      <w:r w:rsidRPr="00533703">
        <w:rPr>
          <w:rFonts w:ascii="Arial" w:hAnsi="Arial"/>
          <w:sz w:val="22"/>
        </w:rPr>
        <w:t xml:space="preserve">, </w:t>
      </w:r>
      <w:r w:rsidR="008017D7" w:rsidRPr="00533703">
        <w:rPr>
          <w:rFonts w:ascii="Arial" w:hAnsi="Arial"/>
          <w:sz w:val="22"/>
        </w:rPr>
        <w:t>Saint Clair County</w:t>
      </w:r>
      <w:r w:rsidR="00D325DF" w:rsidRPr="00533703">
        <w:rPr>
          <w:rFonts w:ascii="Arial" w:hAnsi="Arial"/>
          <w:sz w:val="22"/>
        </w:rPr>
        <w:t xml:space="preserve">, </w:t>
      </w:r>
      <w:r w:rsidRPr="00533703">
        <w:rPr>
          <w:rFonts w:ascii="Arial" w:hAnsi="Arial"/>
          <w:sz w:val="22"/>
        </w:rPr>
        <w:t xml:space="preserve">Michigan </w:t>
      </w:r>
      <w:r w:rsidRPr="00533703">
        <w:rPr>
          <w:rFonts w:ascii="Arial" w:hAnsi="Arial"/>
          <w:sz w:val="22"/>
        </w:rPr>
        <w:fldChar w:fldCharType="begin" w:fldLock="1">
          <w:ffData>
            <w:name w:val="Zip"/>
            <w:enabled/>
            <w:calcOnExit/>
            <w:statusText w:type="text" w:val="Enter ZIP Code"/>
            <w:textInput/>
          </w:ffData>
        </w:fldChar>
      </w:r>
      <w:bookmarkStart w:id="6" w:name="Zip"/>
      <w:r w:rsidRPr="00533703">
        <w:rPr>
          <w:rFonts w:ascii="Arial" w:hAnsi="Arial"/>
          <w:sz w:val="22"/>
        </w:rPr>
        <w:instrText xml:space="preserve"> FORMTEXT </w:instrText>
      </w:r>
      <w:r w:rsidRPr="00533703">
        <w:rPr>
          <w:rFonts w:ascii="Arial" w:hAnsi="Arial"/>
          <w:sz w:val="22"/>
        </w:rPr>
      </w:r>
      <w:r w:rsidRPr="00533703">
        <w:rPr>
          <w:rFonts w:ascii="Arial" w:hAnsi="Arial"/>
          <w:sz w:val="22"/>
        </w:rPr>
        <w:fldChar w:fldCharType="separate"/>
      </w:r>
      <w:r w:rsidR="00A47C94" w:rsidRPr="00533703">
        <w:rPr>
          <w:rFonts w:ascii="Arial" w:hAnsi="Arial"/>
          <w:sz w:val="22"/>
        </w:rPr>
        <w:t>48006-2525</w:t>
      </w:r>
      <w:r w:rsidRPr="00533703">
        <w:rPr>
          <w:rFonts w:ascii="Arial" w:hAnsi="Arial"/>
          <w:sz w:val="22"/>
        </w:rPr>
        <w:fldChar w:fldCharType="end"/>
      </w:r>
      <w:bookmarkEnd w:id="6"/>
    </w:p>
    <w:p w14:paraId="6989DD72" w14:textId="77777777" w:rsidR="00AF4326" w:rsidRPr="00533703" w:rsidRDefault="00AF4326">
      <w:pPr>
        <w:jc w:val="center"/>
        <w:rPr>
          <w:rFonts w:ascii="Arial" w:hAnsi="Arial"/>
          <w:sz w:val="22"/>
        </w:rPr>
      </w:pPr>
      <w:r w:rsidRPr="00533703">
        <w:rPr>
          <w:rFonts w:ascii="Arial" w:hAnsi="Arial"/>
          <w:sz w:val="22"/>
        </w:rPr>
        <w:t xml:space="preserve"> </w:t>
      </w:r>
    </w:p>
    <w:p w14:paraId="690146C9" w14:textId="5F2C41C0" w:rsidR="00AF4326" w:rsidRPr="00533703" w:rsidRDefault="00AF4326">
      <w:pPr>
        <w:ind w:left="3150"/>
        <w:rPr>
          <w:rFonts w:ascii="Arial" w:hAnsi="Arial"/>
          <w:sz w:val="22"/>
        </w:rPr>
      </w:pPr>
      <w:r w:rsidRPr="00533703">
        <w:rPr>
          <w:rFonts w:ascii="Arial" w:hAnsi="Arial"/>
          <w:sz w:val="22"/>
        </w:rPr>
        <w:t>Permit Number:</w:t>
      </w:r>
      <w:r w:rsidRPr="00533703">
        <w:rPr>
          <w:rFonts w:ascii="Arial" w:hAnsi="Arial"/>
          <w:sz w:val="22"/>
        </w:rPr>
        <w:tab/>
      </w:r>
      <w:r w:rsidRPr="00533703">
        <w:rPr>
          <w:rFonts w:ascii="Arial" w:hAnsi="Arial"/>
          <w:sz w:val="22"/>
        </w:rPr>
        <w:tab/>
      </w:r>
      <w:bookmarkStart w:id="7" w:name="Text19"/>
      <w:r w:rsidR="00F478F0" w:rsidRPr="00533703">
        <w:rPr>
          <w:rFonts w:ascii="Arial" w:hAnsi="Arial"/>
          <w:sz w:val="22"/>
        </w:rPr>
        <w:fldChar w:fldCharType="begin" w:fldLock="1">
          <w:ffData>
            <w:name w:val="Text19"/>
            <w:enabled/>
            <w:calcOnExit w:val="0"/>
            <w:statusText w:type="text" w:val="Enter the RO Permit Number After (YEAR) Is Determined"/>
            <w:textInput/>
          </w:ffData>
        </w:fldChar>
      </w:r>
      <w:r w:rsidR="00F478F0" w:rsidRPr="00533703">
        <w:rPr>
          <w:rFonts w:ascii="Arial" w:hAnsi="Arial"/>
          <w:sz w:val="22"/>
        </w:rPr>
        <w:instrText xml:space="preserve"> FORMTEXT </w:instrText>
      </w:r>
      <w:r w:rsidR="00F478F0" w:rsidRPr="00533703">
        <w:rPr>
          <w:rFonts w:ascii="Arial" w:hAnsi="Arial"/>
          <w:sz w:val="22"/>
        </w:rPr>
      </w:r>
      <w:r w:rsidR="00F478F0" w:rsidRPr="00533703">
        <w:rPr>
          <w:rFonts w:ascii="Arial" w:hAnsi="Arial"/>
          <w:sz w:val="22"/>
        </w:rPr>
        <w:fldChar w:fldCharType="separate"/>
      </w:r>
      <w:r w:rsidR="00A47C94" w:rsidRPr="00533703">
        <w:rPr>
          <w:rFonts w:ascii="Arial" w:hAnsi="Arial"/>
          <w:noProof/>
          <w:sz w:val="22"/>
        </w:rPr>
        <w:t>MI-ROP-B6145-201</w:t>
      </w:r>
      <w:r w:rsidR="009D0FA7">
        <w:rPr>
          <w:rFonts w:ascii="Arial" w:hAnsi="Arial"/>
          <w:noProof/>
          <w:sz w:val="22"/>
        </w:rPr>
        <w:t>8</w:t>
      </w:r>
      <w:r w:rsidR="00F478F0" w:rsidRPr="00533703">
        <w:rPr>
          <w:rFonts w:ascii="Arial" w:hAnsi="Arial"/>
          <w:sz w:val="22"/>
        </w:rPr>
        <w:fldChar w:fldCharType="end"/>
      </w:r>
      <w:bookmarkEnd w:id="7"/>
      <w:r w:rsidRPr="00533703">
        <w:rPr>
          <w:rFonts w:ascii="Arial" w:hAnsi="Arial"/>
          <w:sz w:val="22"/>
        </w:rPr>
        <w:fldChar w:fldCharType="begin"/>
      </w:r>
      <w:r w:rsidRPr="00533703">
        <w:rPr>
          <w:rFonts w:ascii="Arial" w:hAnsi="Arial"/>
          <w:sz w:val="22"/>
        </w:rPr>
        <w:instrText xml:space="preserve"> REF ROP \h </w:instrText>
      </w:r>
      <w:r w:rsidR="00533703">
        <w:rPr>
          <w:rFonts w:ascii="Arial" w:hAnsi="Arial"/>
          <w:sz w:val="22"/>
        </w:rPr>
        <w:instrText xml:space="preserve"> \* MERGEFORMAT </w:instrText>
      </w:r>
      <w:r w:rsidRPr="00533703">
        <w:rPr>
          <w:rFonts w:ascii="Arial" w:hAnsi="Arial"/>
          <w:sz w:val="22"/>
        </w:rPr>
      </w:r>
      <w:r w:rsidRPr="00533703">
        <w:rPr>
          <w:rFonts w:ascii="Arial" w:hAnsi="Arial"/>
          <w:sz w:val="22"/>
        </w:rPr>
        <w:fldChar w:fldCharType="end"/>
      </w:r>
    </w:p>
    <w:p w14:paraId="71058E31" w14:textId="77777777" w:rsidR="00AF4326" w:rsidRPr="00533703" w:rsidRDefault="00AF4326">
      <w:pPr>
        <w:ind w:left="3150"/>
        <w:rPr>
          <w:rFonts w:ascii="Arial" w:hAnsi="Arial"/>
          <w:sz w:val="22"/>
        </w:rPr>
      </w:pPr>
    </w:p>
    <w:p w14:paraId="7D2CF3B2" w14:textId="77777777" w:rsidR="00AF4326" w:rsidRPr="00533703" w:rsidRDefault="00AF4326">
      <w:pPr>
        <w:ind w:left="3150"/>
        <w:rPr>
          <w:rFonts w:ascii="Arial" w:hAnsi="Arial"/>
          <w:sz w:val="22"/>
        </w:rPr>
      </w:pPr>
      <w:r w:rsidRPr="00533703">
        <w:rPr>
          <w:rFonts w:ascii="Arial" w:hAnsi="Arial"/>
          <w:sz w:val="22"/>
        </w:rPr>
        <w:t>Staff Report Date:</w:t>
      </w:r>
      <w:r w:rsidRPr="00533703">
        <w:rPr>
          <w:rFonts w:ascii="Arial" w:hAnsi="Arial"/>
          <w:sz w:val="22"/>
        </w:rPr>
        <w:tab/>
      </w:r>
      <w:r w:rsidRPr="00533703">
        <w:rPr>
          <w:rFonts w:ascii="Arial" w:hAnsi="Arial"/>
          <w:sz w:val="22"/>
        </w:rPr>
        <w:tab/>
      </w:r>
      <w:r w:rsidR="00877D6D">
        <w:rPr>
          <w:rFonts w:ascii="Arial" w:hAnsi="Arial"/>
          <w:sz w:val="22"/>
        </w:rPr>
        <w:t>August 7, 2017</w:t>
      </w:r>
    </w:p>
    <w:p w14:paraId="408DE448" w14:textId="77777777" w:rsidR="00DB5924" w:rsidRPr="00533703" w:rsidRDefault="00DB5924">
      <w:pPr>
        <w:pStyle w:val="BodyText"/>
      </w:pPr>
    </w:p>
    <w:p w14:paraId="1E7B784C" w14:textId="77777777" w:rsidR="00644884" w:rsidRPr="00533703" w:rsidRDefault="00644884" w:rsidP="00DB5924">
      <w:pPr>
        <w:jc w:val="both"/>
        <w:rPr>
          <w:rFonts w:ascii="Arial" w:hAnsi="Arial"/>
          <w:sz w:val="22"/>
        </w:rPr>
      </w:pPr>
    </w:p>
    <w:p w14:paraId="01C2C2CC" w14:textId="77777777" w:rsidR="00644884" w:rsidRPr="00533703" w:rsidRDefault="00644884" w:rsidP="00DB5924">
      <w:pPr>
        <w:jc w:val="both"/>
        <w:rPr>
          <w:rFonts w:ascii="Arial" w:hAnsi="Arial"/>
          <w:sz w:val="22"/>
        </w:rPr>
      </w:pPr>
    </w:p>
    <w:p w14:paraId="27B7AEA7" w14:textId="77777777" w:rsidR="00644884" w:rsidRDefault="00644884" w:rsidP="00DB5924">
      <w:pPr>
        <w:jc w:val="both"/>
        <w:rPr>
          <w:rFonts w:ascii="Arial" w:hAnsi="Arial"/>
          <w:sz w:val="22"/>
        </w:rPr>
      </w:pPr>
    </w:p>
    <w:p w14:paraId="4CB40C65" w14:textId="77777777" w:rsidR="00972022" w:rsidRPr="00533703" w:rsidRDefault="00972022" w:rsidP="00DB5924">
      <w:pPr>
        <w:jc w:val="both"/>
        <w:rPr>
          <w:rFonts w:ascii="Arial" w:hAnsi="Arial"/>
          <w:sz w:val="22"/>
        </w:rPr>
      </w:pPr>
    </w:p>
    <w:p w14:paraId="324C535D" w14:textId="77777777" w:rsidR="00AF4326" w:rsidRPr="00533703" w:rsidRDefault="00DB5924" w:rsidP="00DB5924">
      <w:pPr>
        <w:jc w:val="both"/>
        <w:rPr>
          <w:rFonts w:ascii="Arial" w:hAnsi="Arial"/>
          <w:sz w:val="22"/>
        </w:rPr>
      </w:pPr>
      <w:r w:rsidRPr="00533703">
        <w:rPr>
          <w:rFonts w:ascii="Arial" w:hAnsi="Arial"/>
          <w:sz w:val="22"/>
        </w:rPr>
        <w:t>This Staff Report is published in accordance with Sections 5506 and 5511 of Part 55, Air Pollution Control, of the Natural Resources and Environmental Protection Act, 1994 PA 451, as amended</w:t>
      </w:r>
      <w:r w:rsidR="00DB7D71" w:rsidRPr="00533703">
        <w:rPr>
          <w:rFonts w:ascii="Arial" w:hAnsi="Arial"/>
          <w:sz w:val="22"/>
        </w:rPr>
        <w:t xml:space="preserve"> (Act 451)</w:t>
      </w:r>
      <w:r w:rsidRPr="00533703">
        <w:rPr>
          <w:rFonts w:ascii="Arial" w:hAnsi="Arial"/>
          <w:sz w:val="22"/>
        </w:rPr>
        <w:t>.  Specifically</w:t>
      </w:r>
      <w:r w:rsidR="00C67104" w:rsidRPr="00533703">
        <w:rPr>
          <w:rFonts w:ascii="Arial" w:hAnsi="Arial"/>
          <w:sz w:val="22"/>
        </w:rPr>
        <w:t xml:space="preserve">, Rule 214(1) requires that the </w:t>
      </w:r>
      <w:r w:rsidR="00DB7D71" w:rsidRPr="00533703">
        <w:rPr>
          <w:rFonts w:ascii="Arial" w:hAnsi="Arial"/>
          <w:sz w:val="22"/>
        </w:rPr>
        <w:t xml:space="preserve">Michigan </w:t>
      </w:r>
      <w:r w:rsidRPr="00533703">
        <w:rPr>
          <w:rFonts w:ascii="Arial" w:hAnsi="Arial"/>
          <w:sz w:val="22"/>
        </w:rPr>
        <w:t>Department of Environment</w:t>
      </w:r>
      <w:r w:rsidR="00AF5CDE" w:rsidRPr="00533703">
        <w:rPr>
          <w:rFonts w:ascii="Arial" w:hAnsi="Arial"/>
          <w:sz w:val="22"/>
        </w:rPr>
        <w:t>al Quality</w:t>
      </w:r>
      <w:r w:rsidR="00135426" w:rsidRPr="00533703">
        <w:rPr>
          <w:rFonts w:ascii="Arial" w:hAnsi="Arial"/>
          <w:sz w:val="22"/>
        </w:rPr>
        <w:t xml:space="preserve"> </w:t>
      </w:r>
      <w:r w:rsidRPr="00533703">
        <w:rPr>
          <w:rFonts w:ascii="Arial" w:hAnsi="Arial"/>
          <w:sz w:val="22"/>
        </w:rPr>
        <w:t>(</w:t>
      </w:r>
      <w:r w:rsidR="00AF5CDE" w:rsidRPr="00533703">
        <w:rPr>
          <w:rFonts w:ascii="Arial" w:hAnsi="Arial"/>
          <w:sz w:val="22"/>
        </w:rPr>
        <w:t>MDEQ</w:t>
      </w:r>
      <w:r w:rsidRPr="00533703">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533703">
          <w:rPr>
            <w:rFonts w:ascii="Arial" w:hAnsi="Arial"/>
            <w:sz w:val="22"/>
          </w:rPr>
          <w:t>ROP</w:t>
        </w:r>
      </w:smartTag>
      <w:r w:rsidRPr="00533703">
        <w:rPr>
          <w:rFonts w:ascii="Arial" w:hAnsi="Arial"/>
          <w:sz w:val="22"/>
        </w:rPr>
        <w:t xml:space="preserve">).  </w:t>
      </w:r>
    </w:p>
    <w:p w14:paraId="3526D401" w14:textId="77777777" w:rsidR="00AF4326" w:rsidRPr="00533703" w:rsidRDefault="00AF4326">
      <w:pPr>
        <w:rPr>
          <w:rFonts w:ascii="Arial" w:hAnsi="Arial"/>
          <w:sz w:val="22"/>
        </w:rPr>
      </w:pPr>
    </w:p>
    <w:p w14:paraId="2D9FED33" w14:textId="77777777" w:rsidR="00AF4326" w:rsidRPr="00533703" w:rsidRDefault="00AF4326">
      <w:pPr>
        <w:rPr>
          <w:rFonts w:ascii="Arial" w:hAnsi="Arial"/>
          <w:sz w:val="22"/>
        </w:rPr>
      </w:pPr>
    </w:p>
    <w:p w14:paraId="6B5B9843" w14:textId="77777777" w:rsidR="00AF4326" w:rsidRPr="00533703" w:rsidRDefault="00AF4326">
      <w:pPr>
        <w:rPr>
          <w:rFonts w:ascii="Arial" w:hAnsi="Arial"/>
          <w:sz w:val="22"/>
        </w:rPr>
      </w:pPr>
    </w:p>
    <w:p w14:paraId="33ED4145" w14:textId="77777777" w:rsidR="00AF4326" w:rsidRPr="00533703" w:rsidRDefault="00AF4326">
      <w:pPr>
        <w:rPr>
          <w:rFonts w:ascii="Arial" w:hAnsi="Arial"/>
          <w:sz w:val="22"/>
        </w:rPr>
      </w:pPr>
    </w:p>
    <w:p w14:paraId="2FEDC285" w14:textId="77777777" w:rsidR="00AF4326" w:rsidRPr="00533703" w:rsidRDefault="00AF4326">
      <w:pPr>
        <w:rPr>
          <w:rFonts w:ascii="Arial" w:hAnsi="Arial"/>
          <w:sz w:val="22"/>
        </w:rPr>
      </w:pPr>
    </w:p>
    <w:p w14:paraId="4F4C229C" w14:textId="77777777" w:rsidR="00AF4326" w:rsidRPr="00533703" w:rsidRDefault="00AF4326">
      <w:pPr>
        <w:rPr>
          <w:rFonts w:ascii="Arial" w:hAnsi="Arial"/>
          <w:sz w:val="22"/>
        </w:rPr>
      </w:pPr>
    </w:p>
    <w:p w14:paraId="36D8A0A6" w14:textId="77777777" w:rsidR="00DB5924" w:rsidRPr="00533703" w:rsidRDefault="00DB5924">
      <w:pPr>
        <w:rPr>
          <w:rFonts w:ascii="Arial" w:hAnsi="Arial"/>
          <w:sz w:val="22"/>
        </w:rPr>
      </w:pPr>
    </w:p>
    <w:p w14:paraId="2F97E250" w14:textId="77777777" w:rsidR="00DB5924" w:rsidRPr="00533703" w:rsidRDefault="00DB5924">
      <w:pPr>
        <w:rPr>
          <w:rFonts w:ascii="Arial" w:hAnsi="Arial"/>
          <w:sz w:val="22"/>
        </w:rPr>
      </w:pPr>
    </w:p>
    <w:p w14:paraId="70D1E104" w14:textId="77777777" w:rsidR="00DB5924" w:rsidRPr="00533703" w:rsidRDefault="00DB5924">
      <w:pPr>
        <w:rPr>
          <w:rFonts w:ascii="Arial" w:hAnsi="Arial"/>
          <w:sz w:val="22"/>
        </w:rPr>
      </w:pPr>
    </w:p>
    <w:p w14:paraId="3EB23B02" w14:textId="77777777" w:rsidR="00DB5924" w:rsidRPr="00533703" w:rsidRDefault="00DB5924">
      <w:pPr>
        <w:rPr>
          <w:rFonts w:ascii="Arial" w:hAnsi="Arial"/>
          <w:sz w:val="22"/>
        </w:rPr>
      </w:pPr>
    </w:p>
    <w:p w14:paraId="568E8C93" w14:textId="77777777" w:rsidR="00DB5924" w:rsidRPr="00533703" w:rsidRDefault="00DB5924">
      <w:pPr>
        <w:rPr>
          <w:rFonts w:ascii="Arial" w:hAnsi="Arial"/>
          <w:sz w:val="22"/>
        </w:rPr>
      </w:pPr>
    </w:p>
    <w:p w14:paraId="35B3BCDE" w14:textId="77777777" w:rsidR="00DB5924" w:rsidRPr="00533703" w:rsidRDefault="00DB5924">
      <w:pPr>
        <w:rPr>
          <w:rFonts w:ascii="Arial" w:hAnsi="Arial"/>
          <w:sz w:val="22"/>
        </w:rPr>
      </w:pPr>
    </w:p>
    <w:p w14:paraId="4B6165D7" w14:textId="77777777" w:rsidR="00DB5924" w:rsidRPr="00533703" w:rsidRDefault="00DB5924">
      <w:pPr>
        <w:rPr>
          <w:rFonts w:ascii="Arial" w:hAnsi="Arial"/>
          <w:sz w:val="22"/>
        </w:rPr>
      </w:pPr>
    </w:p>
    <w:p w14:paraId="728CD719" w14:textId="77777777" w:rsidR="00DB5924" w:rsidRPr="00533703" w:rsidRDefault="00DB5924">
      <w:pPr>
        <w:rPr>
          <w:rFonts w:ascii="Arial" w:hAnsi="Arial"/>
          <w:sz w:val="22"/>
        </w:rPr>
      </w:pPr>
    </w:p>
    <w:p w14:paraId="2024CCCD" w14:textId="77777777" w:rsidR="00AF4326" w:rsidRPr="00533703" w:rsidRDefault="00AF4326">
      <w:pPr>
        <w:rPr>
          <w:rFonts w:ascii="Arial" w:hAnsi="Arial"/>
          <w:sz w:val="22"/>
        </w:rPr>
      </w:pPr>
    </w:p>
    <w:p w14:paraId="3ED18B8C" w14:textId="77777777" w:rsidR="00AF4326" w:rsidRPr="00533703" w:rsidRDefault="00AF4326">
      <w:pPr>
        <w:rPr>
          <w:rFonts w:ascii="Arial" w:hAnsi="Arial"/>
          <w:sz w:val="22"/>
        </w:rPr>
      </w:pPr>
    </w:p>
    <w:p w14:paraId="07E340BF" w14:textId="77777777" w:rsidR="00AF4326" w:rsidRPr="00533703" w:rsidRDefault="00AF4326">
      <w:pPr>
        <w:rPr>
          <w:rFonts w:ascii="Arial" w:hAnsi="Arial"/>
          <w:sz w:val="22"/>
        </w:rPr>
      </w:pPr>
    </w:p>
    <w:p w14:paraId="34378C6B" w14:textId="77777777" w:rsidR="00644884" w:rsidRPr="00533703" w:rsidRDefault="00644884">
      <w:pPr>
        <w:rPr>
          <w:rFonts w:ascii="Arial" w:hAnsi="Arial"/>
          <w:sz w:val="22"/>
        </w:rPr>
      </w:pPr>
    </w:p>
    <w:p w14:paraId="5212C514" w14:textId="77777777" w:rsidR="00AF4326" w:rsidRPr="00533703" w:rsidRDefault="00644884" w:rsidP="00644884">
      <w:pPr>
        <w:rPr>
          <w:rFonts w:ascii="Arial" w:hAnsi="Arial"/>
          <w:sz w:val="22"/>
        </w:rPr>
      </w:pPr>
      <w:r w:rsidRPr="00533703">
        <w:rPr>
          <w:rFonts w:ascii="Arial" w:hAnsi="Arial"/>
          <w:sz w:val="22"/>
        </w:rPr>
        <w:br w:type="page"/>
      </w:r>
    </w:p>
    <w:p w14:paraId="351F72CC" w14:textId="77777777" w:rsidR="00AF4326" w:rsidRPr="00533703" w:rsidRDefault="00AF4326">
      <w:pPr>
        <w:jc w:val="center"/>
        <w:outlineLvl w:val="0"/>
        <w:rPr>
          <w:rFonts w:ascii="Arial" w:hAnsi="Arial"/>
          <w:b/>
          <w:sz w:val="22"/>
        </w:rPr>
      </w:pPr>
      <w:r w:rsidRPr="00533703">
        <w:rPr>
          <w:rFonts w:ascii="Arial" w:hAnsi="Arial"/>
          <w:b/>
          <w:sz w:val="22"/>
        </w:rPr>
        <w:lastRenderedPageBreak/>
        <w:t>TABLE OF CONTENTS</w:t>
      </w:r>
    </w:p>
    <w:p w14:paraId="0F025F5A" w14:textId="0DF6C33E" w:rsidR="009D0FA7" w:rsidRDefault="00AF4326">
      <w:pPr>
        <w:pStyle w:val="TOC1"/>
        <w:tabs>
          <w:tab w:val="right" w:pos="10214"/>
        </w:tabs>
        <w:rPr>
          <w:rFonts w:asciiTheme="minorHAnsi" w:eastAsiaTheme="minorEastAsia" w:hAnsiTheme="minorHAnsi" w:cstheme="minorBidi"/>
          <w:b w:val="0"/>
          <w:noProof/>
          <w:szCs w:val="22"/>
        </w:rPr>
      </w:pPr>
      <w:r w:rsidRPr="00533703">
        <w:rPr>
          <w:b w:val="0"/>
        </w:rPr>
        <w:fldChar w:fldCharType="begin"/>
      </w:r>
      <w:r w:rsidRPr="00533703">
        <w:rPr>
          <w:b w:val="0"/>
        </w:rPr>
        <w:instrText xml:space="preserve"> TOC \o "1-8" </w:instrText>
      </w:r>
      <w:r w:rsidRPr="00533703">
        <w:rPr>
          <w:b w:val="0"/>
        </w:rPr>
        <w:fldChar w:fldCharType="separate"/>
      </w:r>
      <w:r w:rsidR="009D0FA7">
        <w:rPr>
          <w:noProof/>
        </w:rPr>
        <w:t>AUGUST 7, 2017 STAFF REPORT</w:t>
      </w:r>
      <w:r w:rsidR="009D0FA7">
        <w:rPr>
          <w:noProof/>
        </w:rPr>
        <w:tab/>
      </w:r>
      <w:r w:rsidR="009D0FA7">
        <w:rPr>
          <w:noProof/>
        </w:rPr>
        <w:fldChar w:fldCharType="begin"/>
      </w:r>
      <w:r w:rsidR="009D0FA7">
        <w:rPr>
          <w:noProof/>
        </w:rPr>
        <w:instrText xml:space="preserve"> PAGEREF _Toc514313014 \h </w:instrText>
      </w:r>
      <w:r w:rsidR="009D0FA7">
        <w:rPr>
          <w:noProof/>
        </w:rPr>
      </w:r>
      <w:r w:rsidR="009D0FA7">
        <w:rPr>
          <w:noProof/>
        </w:rPr>
        <w:fldChar w:fldCharType="separate"/>
      </w:r>
      <w:r w:rsidR="008A2E5E">
        <w:rPr>
          <w:noProof/>
        </w:rPr>
        <w:t>3</w:t>
      </w:r>
      <w:r w:rsidR="009D0FA7">
        <w:rPr>
          <w:noProof/>
        </w:rPr>
        <w:fldChar w:fldCharType="end"/>
      </w:r>
    </w:p>
    <w:p w14:paraId="6910C72D" w14:textId="594E7D55" w:rsidR="009D0FA7" w:rsidRDefault="009D0FA7">
      <w:pPr>
        <w:pStyle w:val="TOC1"/>
        <w:tabs>
          <w:tab w:val="right" w:pos="10214"/>
        </w:tabs>
        <w:rPr>
          <w:rFonts w:asciiTheme="minorHAnsi" w:eastAsiaTheme="minorEastAsia" w:hAnsiTheme="minorHAnsi" w:cstheme="minorBidi"/>
          <w:b w:val="0"/>
          <w:noProof/>
          <w:szCs w:val="22"/>
        </w:rPr>
      </w:pPr>
      <w:r w:rsidRPr="00292DD4">
        <w:rPr>
          <w:rFonts w:cs="Arial"/>
          <w:noProof/>
        </w:rPr>
        <w:t>MARCH 23, 2018</w:t>
      </w:r>
      <w:r>
        <w:rPr>
          <w:noProof/>
        </w:rPr>
        <w:t xml:space="preserve"> - STAFF REPORT ADDENDUM</w:t>
      </w:r>
      <w:r>
        <w:rPr>
          <w:noProof/>
        </w:rPr>
        <w:tab/>
      </w:r>
      <w:r>
        <w:rPr>
          <w:noProof/>
        </w:rPr>
        <w:fldChar w:fldCharType="begin"/>
      </w:r>
      <w:r>
        <w:rPr>
          <w:noProof/>
        </w:rPr>
        <w:instrText xml:space="preserve"> PAGEREF _Toc514313015 \h </w:instrText>
      </w:r>
      <w:r>
        <w:rPr>
          <w:noProof/>
        </w:rPr>
      </w:r>
      <w:r>
        <w:rPr>
          <w:noProof/>
        </w:rPr>
        <w:fldChar w:fldCharType="separate"/>
      </w:r>
      <w:r w:rsidR="008A2E5E">
        <w:rPr>
          <w:noProof/>
        </w:rPr>
        <w:t>9</w:t>
      </w:r>
      <w:r>
        <w:rPr>
          <w:noProof/>
        </w:rPr>
        <w:fldChar w:fldCharType="end"/>
      </w:r>
    </w:p>
    <w:p w14:paraId="65E1C663" w14:textId="1115DE6B" w:rsidR="00AF4326" w:rsidRPr="00533703" w:rsidRDefault="00AF4326">
      <w:pPr>
        <w:pStyle w:val="Header"/>
        <w:tabs>
          <w:tab w:val="clear" w:pos="4320"/>
          <w:tab w:val="clear" w:pos="8640"/>
        </w:tabs>
        <w:rPr>
          <w:rFonts w:ascii="Arial" w:hAnsi="Arial"/>
          <w:sz w:val="18"/>
        </w:rPr>
      </w:pPr>
      <w:r w:rsidRPr="00533703">
        <w:rPr>
          <w:rFonts w:ascii="Arial" w:hAnsi="Arial"/>
          <w:b/>
          <w:sz w:val="22"/>
        </w:rPr>
        <w:fldChar w:fldCharType="end"/>
      </w:r>
      <w:r w:rsidRPr="00533703">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rsidRPr="00533703" w14:paraId="4AE25171" w14:textId="77777777">
        <w:tc>
          <w:tcPr>
            <w:tcW w:w="2430" w:type="dxa"/>
          </w:tcPr>
          <w:p w14:paraId="2184BDA7" w14:textId="77777777" w:rsidR="00AF4326" w:rsidRPr="00533703" w:rsidRDefault="00AF4326">
            <w:pPr>
              <w:jc w:val="center"/>
              <w:rPr>
                <w:rFonts w:ascii="Arial" w:hAnsi="Arial"/>
                <w:sz w:val="16"/>
              </w:rPr>
            </w:pPr>
          </w:p>
        </w:tc>
        <w:tc>
          <w:tcPr>
            <w:tcW w:w="5456" w:type="dxa"/>
          </w:tcPr>
          <w:p w14:paraId="7C6C628A" w14:textId="77777777" w:rsidR="00AF4326" w:rsidRPr="00533703" w:rsidRDefault="00444F0F">
            <w:pPr>
              <w:jc w:val="center"/>
              <w:rPr>
                <w:rFonts w:ascii="Arial" w:hAnsi="Arial"/>
              </w:rPr>
            </w:pPr>
            <w:r w:rsidRPr="00533703">
              <w:rPr>
                <w:rFonts w:ascii="Arial" w:hAnsi="Arial"/>
              </w:rPr>
              <w:t>Michigan Department o</w:t>
            </w:r>
            <w:r w:rsidR="00AF4326" w:rsidRPr="00533703">
              <w:rPr>
                <w:rFonts w:ascii="Arial" w:hAnsi="Arial"/>
              </w:rPr>
              <w:t>f Environment</w:t>
            </w:r>
            <w:r w:rsidR="00AF5CDE" w:rsidRPr="00533703">
              <w:rPr>
                <w:rFonts w:ascii="Arial" w:hAnsi="Arial"/>
              </w:rPr>
              <w:t>al Quality</w:t>
            </w:r>
          </w:p>
          <w:p w14:paraId="650D5525" w14:textId="77777777" w:rsidR="00AF4326" w:rsidRPr="00533703" w:rsidRDefault="00AF4326">
            <w:pPr>
              <w:jc w:val="center"/>
              <w:rPr>
                <w:rFonts w:ascii="Arial" w:hAnsi="Arial"/>
                <w:sz w:val="16"/>
              </w:rPr>
            </w:pPr>
            <w:r w:rsidRPr="00533703">
              <w:rPr>
                <w:rFonts w:ascii="Arial" w:hAnsi="Arial"/>
              </w:rPr>
              <w:t>Air Quality Division</w:t>
            </w:r>
          </w:p>
        </w:tc>
        <w:tc>
          <w:tcPr>
            <w:tcW w:w="2374" w:type="dxa"/>
          </w:tcPr>
          <w:p w14:paraId="4B8866F3" w14:textId="77777777" w:rsidR="00AF4326" w:rsidRPr="00533703" w:rsidRDefault="00AF4326">
            <w:pPr>
              <w:jc w:val="center"/>
              <w:rPr>
                <w:rFonts w:ascii="Arial" w:hAnsi="Arial"/>
                <w:sz w:val="16"/>
              </w:rPr>
            </w:pPr>
          </w:p>
        </w:tc>
      </w:tr>
      <w:tr w:rsidR="00AF4326" w:rsidRPr="00533703" w14:paraId="393BD8DF" w14:textId="77777777">
        <w:trPr>
          <w:cantSplit/>
          <w:trHeight w:val="333"/>
        </w:trPr>
        <w:tc>
          <w:tcPr>
            <w:tcW w:w="2430" w:type="dxa"/>
          </w:tcPr>
          <w:p w14:paraId="675B3BBB" w14:textId="77777777" w:rsidR="00AF4326" w:rsidRPr="00533703" w:rsidRDefault="00AF4326">
            <w:pPr>
              <w:pStyle w:val="Header"/>
              <w:jc w:val="center"/>
              <w:rPr>
                <w:rFonts w:ascii="Arial" w:hAnsi="Arial"/>
                <w:b/>
                <w:sz w:val="16"/>
              </w:rPr>
            </w:pPr>
            <w:r w:rsidRPr="00533703">
              <w:rPr>
                <w:rFonts w:ascii="Arial" w:hAnsi="Arial"/>
                <w:b/>
                <w:sz w:val="16"/>
              </w:rPr>
              <w:t>State Registration Number</w:t>
            </w:r>
          </w:p>
        </w:tc>
        <w:tc>
          <w:tcPr>
            <w:tcW w:w="5456" w:type="dxa"/>
          </w:tcPr>
          <w:p w14:paraId="320F736A" w14:textId="77777777" w:rsidR="00AF4326" w:rsidRPr="00533703" w:rsidRDefault="00AF4326">
            <w:pPr>
              <w:jc w:val="center"/>
              <w:rPr>
                <w:rFonts w:ascii="Arial" w:hAnsi="Arial"/>
                <w:b/>
                <w:sz w:val="28"/>
              </w:rPr>
            </w:pPr>
            <w:r w:rsidRPr="00533703">
              <w:rPr>
                <w:rFonts w:ascii="Arial" w:hAnsi="Arial"/>
                <w:b/>
                <w:sz w:val="28"/>
              </w:rPr>
              <w:t>RENEWABLE OPERATING PERMIT</w:t>
            </w:r>
          </w:p>
        </w:tc>
        <w:tc>
          <w:tcPr>
            <w:tcW w:w="2374" w:type="dxa"/>
          </w:tcPr>
          <w:p w14:paraId="15CB745D" w14:textId="77777777" w:rsidR="00AF4326" w:rsidRPr="00533703" w:rsidRDefault="00DB5924">
            <w:pPr>
              <w:jc w:val="center"/>
              <w:rPr>
                <w:rFonts w:ascii="Arial" w:hAnsi="Arial"/>
                <w:b/>
                <w:sz w:val="16"/>
              </w:rPr>
            </w:pPr>
            <w:smartTag w:uri="urn:schemas-microsoft-com:office:smarttags" w:element="stockticker">
              <w:r w:rsidRPr="00533703">
                <w:rPr>
                  <w:rFonts w:ascii="Arial" w:hAnsi="Arial"/>
                  <w:b/>
                  <w:sz w:val="16"/>
                </w:rPr>
                <w:t>RO</w:t>
              </w:r>
              <w:r w:rsidR="00AF4326" w:rsidRPr="00533703">
                <w:rPr>
                  <w:rFonts w:ascii="Arial" w:hAnsi="Arial"/>
                  <w:b/>
                  <w:sz w:val="16"/>
                </w:rPr>
                <w:t>P</w:t>
              </w:r>
            </w:smartTag>
            <w:r w:rsidRPr="00533703">
              <w:rPr>
                <w:rFonts w:ascii="Arial" w:hAnsi="Arial"/>
                <w:b/>
                <w:sz w:val="16"/>
              </w:rPr>
              <w:t xml:space="preserve"> </w:t>
            </w:r>
            <w:r w:rsidR="00AF4326" w:rsidRPr="00533703">
              <w:rPr>
                <w:rFonts w:ascii="Arial" w:hAnsi="Arial"/>
                <w:b/>
                <w:sz w:val="16"/>
              </w:rPr>
              <w:t>Number</w:t>
            </w:r>
          </w:p>
        </w:tc>
      </w:tr>
      <w:tr w:rsidR="00AF4326" w:rsidRPr="00533703" w14:paraId="4ED3A51C" w14:textId="77777777">
        <w:trPr>
          <w:cantSplit/>
          <w:trHeight w:val="428"/>
        </w:trPr>
        <w:tc>
          <w:tcPr>
            <w:tcW w:w="2430" w:type="dxa"/>
            <w:tcBorders>
              <w:bottom w:val="nil"/>
            </w:tcBorders>
          </w:tcPr>
          <w:p w14:paraId="47FBA89F" w14:textId="77777777" w:rsidR="00AF4326" w:rsidRPr="00533703" w:rsidRDefault="00A61FF1" w:rsidP="00A47C94">
            <w:pPr>
              <w:pStyle w:val="Header"/>
              <w:jc w:val="center"/>
              <w:rPr>
                <w:rFonts w:ascii="Arial" w:hAnsi="Arial"/>
                <w:sz w:val="22"/>
                <w:szCs w:val="22"/>
              </w:rPr>
            </w:pPr>
            <w:r w:rsidRPr="00533703">
              <w:rPr>
                <w:rFonts w:ascii="Arial" w:hAnsi="Arial"/>
                <w:sz w:val="22"/>
                <w:szCs w:val="22"/>
              </w:rPr>
              <w:fldChar w:fldCharType="begin" w:fldLock="1">
                <w:ffData>
                  <w:name w:val="SRN"/>
                  <w:enabled/>
                  <w:calcOnExit/>
                  <w:statusText w:type="text" w:val="Enter SRN"/>
                  <w:textInput/>
                </w:ffData>
              </w:fldChar>
            </w:r>
            <w:r w:rsidRPr="00533703">
              <w:rPr>
                <w:rFonts w:ascii="Arial" w:hAnsi="Arial"/>
                <w:sz w:val="22"/>
                <w:szCs w:val="22"/>
              </w:rPr>
              <w:instrText xml:space="preserve"> FORMTEXT </w:instrText>
            </w:r>
            <w:r w:rsidRPr="00533703">
              <w:rPr>
                <w:rFonts w:ascii="Arial" w:hAnsi="Arial"/>
                <w:sz w:val="22"/>
                <w:szCs w:val="22"/>
              </w:rPr>
            </w:r>
            <w:r w:rsidRPr="00533703">
              <w:rPr>
                <w:rFonts w:ascii="Arial" w:hAnsi="Arial"/>
                <w:sz w:val="22"/>
                <w:szCs w:val="22"/>
              </w:rPr>
              <w:fldChar w:fldCharType="separate"/>
            </w:r>
            <w:r w:rsidR="00A47C94" w:rsidRPr="00533703">
              <w:rPr>
                <w:rFonts w:ascii="Arial" w:hAnsi="Arial"/>
                <w:sz w:val="22"/>
                <w:szCs w:val="22"/>
              </w:rPr>
              <w:t>B6145</w:t>
            </w:r>
            <w:r w:rsidRPr="00533703">
              <w:rPr>
                <w:rFonts w:ascii="Arial" w:hAnsi="Arial"/>
                <w:sz w:val="22"/>
                <w:szCs w:val="22"/>
              </w:rPr>
              <w:fldChar w:fldCharType="end"/>
            </w:r>
          </w:p>
        </w:tc>
        <w:tc>
          <w:tcPr>
            <w:tcW w:w="5456" w:type="dxa"/>
            <w:tcBorders>
              <w:bottom w:val="nil"/>
            </w:tcBorders>
          </w:tcPr>
          <w:p w14:paraId="1C80ABCA" w14:textId="77777777" w:rsidR="00AF4326" w:rsidRPr="00533703" w:rsidRDefault="00877D6D" w:rsidP="000F73C3">
            <w:pPr>
              <w:pStyle w:val="Heading1"/>
              <w:spacing w:before="120"/>
              <w:rPr>
                <w:sz w:val="22"/>
                <w:szCs w:val="22"/>
              </w:rPr>
            </w:pPr>
            <w:bookmarkStart w:id="8" w:name="_Toc183429900"/>
            <w:bookmarkStart w:id="9" w:name="_Toc183430200"/>
            <w:bookmarkStart w:id="10" w:name="_Toc514313014"/>
            <w:r>
              <w:rPr>
                <w:sz w:val="22"/>
                <w:szCs w:val="22"/>
              </w:rPr>
              <w:t xml:space="preserve">AUGUST 7, 2017 </w:t>
            </w:r>
            <w:r w:rsidR="001466CA" w:rsidRPr="00533703">
              <w:rPr>
                <w:sz w:val="22"/>
                <w:szCs w:val="22"/>
              </w:rPr>
              <w:t>S</w:t>
            </w:r>
            <w:r w:rsidR="00AF4326" w:rsidRPr="00533703">
              <w:rPr>
                <w:sz w:val="22"/>
                <w:szCs w:val="22"/>
              </w:rPr>
              <w:t>TAFF REPORT</w:t>
            </w:r>
            <w:bookmarkEnd w:id="8"/>
            <w:bookmarkEnd w:id="9"/>
            <w:bookmarkEnd w:id="10"/>
          </w:p>
        </w:tc>
        <w:tc>
          <w:tcPr>
            <w:tcW w:w="2374" w:type="dxa"/>
            <w:tcBorders>
              <w:bottom w:val="nil"/>
            </w:tcBorders>
          </w:tcPr>
          <w:p w14:paraId="0F4B1790" w14:textId="5C4FD833" w:rsidR="00AF4326" w:rsidRPr="00533703" w:rsidRDefault="00A61FF1" w:rsidP="00A47C94">
            <w:pPr>
              <w:pStyle w:val="Header"/>
              <w:jc w:val="center"/>
              <w:rPr>
                <w:rFonts w:ascii="Arial" w:hAnsi="Arial"/>
                <w:b/>
                <w:sz w:val="22"/>
                <w:szCs w:val="22"/>
              </w:rPr>
            </w:pPr>
            <w:r w:rsidRPr="00533703">
              <w:rPr>
                <w:rFonts w:ascii="Arial" w:hAnsi="Arial"/>
                <w:sz w:val="22"/>
                <w:szCs w:val="22"/>
              </w:rPr>
              <w:fldChar w:fldCharType="begin" w:fldLock="1">
                <w:ffData>
                  <w:name w:val=""/>
                  <w:enabled/>
                  <w:calcOnExit/>
                  <w:statusText w:type="text" w:val="Enter RO Permit Number After (YEAR) Is Determined."/>
                  <w:textInput/>
                </w:ffData>
              </w:fldChar>
            </w:r>
            <w:r w:rsidRPr="00533703">
              <w:rPr>
                <w:rFonts w:ascii="Arial" w:hAnsi="Arial"/>
                <w:sz w:val="22"/>
                <w:szCs w:val="22"/>
              </w:rPr>
              <w:instrText xml:space="preserve"> FORMTEXT </w:instrText>
            </w:r>
            <w:r w:rsidRPr="00533703">
              <w:rPr>
                <w:rFonts w:ascii="Arial" w:hAnsi="Arial"/>
                <w:sz w:val="22"/>
                <w:szCs w:val="22"/>
              </w:rPr>
            </w:r>
            <w:r w:rsidRPr="00533703">
              <w:rPr>
                <w:rFonts w:ascii="Arial" w:hAnsi="Arial"/>
                <w:sz w:val="22"/>
                <w:szCs w:val="22"/>
              </w:rPr>
              <w:fldChar w:fldCharType="separate"/>
            </w:r>
            <w:r w:rsidR="00A47C94" w:rsidRPr="00533703">
              <w:rPr>
                <w:rFonts w:ascii="Arial" w:hAnsi="Arial"/>
                <w:sz w:val="22"/>
                <w:szCs w:val="22"/>
              </w:rPr>
              <w:t>MI-ROP-B6145-201</w:t>
            </w:r>
            <w:r w:rsidR="009D0FA7">
              <w:rPr>
                <w:rFonts w:ascii="Arial" w:hAnsi="Arial"/>
                <w:sz w:val="22"/>
                <w:szCs w:val="22"/>
              </w:rPr>
              <w:t>8</w:t>
            </w:r>
            <w:r w:rsidRPr="00533703">
              <w:rPr>
                <w:rFonts w:ascii="Arial" w:hAnsi="Arial"/>
                <w:sz w:val="22"/>
                <w:szCs w:val="22"/>
              </w:rPr>
              <w:fldChar w:fldCharType="end"/>
            </w:r>
          </w:p>
        </w:tc>
      </w:tr>
    </w:tbl>
    <w:p w14:paraId="28720D0C" w14:textId="77777777" w:rsidR="00AF4326" w:rsidRPr="00533703" w:rsidRDefault="00AF4326">
      <w:pPr>
        <w:rPr>
          <w:rFonts w:ascii="Arial" w:hAnsi="Arial"/>
          <w:b/>
          <w:sz w:val="22"/>
          <w:u w:val="single"/>
        </w:rPr>
      </w:pPr>
    </w:p>
    <w:p w14:paraId="3A6B5216" w14:textId="77777777" w:rsidR="00AF4326" w:rsidRPr="00533703" w:rsidRDefault="00AF4326">
      <w:pPr>
        <w:rPr>
          <w:rFonts w:ascii="Arial" w:hAnsi="Arial"/>
          <w:b/>
          <w:sz w:val="22"/>
          <w:u w:val="single"/>
        </w:rPr>
      </w:pPr>
    </w:p>
    <w:p w14:paraId="4238EFD5" w14:textId="77777777" w:rsidR="00AF4326" w:rsidRPr="00533703" w:rsidRDefault="00AF4326">
      <w:pPr>
        <w:rPr>
          <w:rFonts w:ascii="Arial" w:hAnsi="Arial" w:cs="Arial"/>
          <w:b/>
          <w:sz w:val="22"/>
          <w:szCs w:val="22"/>
          <w:u w:val="single"/>
        </w:rPr>
      </w:pPr>
      <w:bookmarkStart w:id="11" w:name="_Toc480946816"/>
      <w:bookmarkStart w:id="12" w:name="_Toc482691111"/>
      <w:r w:rsidRPr="00533703">
        <w:rPr>
          <w:rFonts w:ascii="Arial" w:hAnsi="Arial" w:cs="Arial"/>
          <w:b/>
          <w:sz w:val="22"/>
          <w:szCs w:val="22"/>
          <w:u w:val="single"/>
        </w:rPr>
        <w:t>Purpose</w:t>
      </w:r>
      <w:bookmarkEnd w:id="11"/>
      <w:bookmarkEnd w:id="12"/>
    </w:p>
    <w:p w14:paraId="1D55900E" w14:textId="77777777" w:rsidR="00AF4326" w:rsidRPr="00533703" w:rsidRDefault="00AF4326">
      <w:pPr>
        <w:jc w:val="both"/>
        <w:rPr>
          <w:rFonts w:ascii="Arial" w:hAnsi="Arial" w:cs="Arial"/>
          <w:sz w:val="22"/>
          <w:szCs w:val="22"/>
        </w:rPr>
      </w:pPr>
    </w:p>
    <w:p w14:paraId="76841C1C" w14:textId="77777777" w:rsidR="00DB5924" w:rsidRPr="00533703" w:rsidRDefault="00DB5924" w:rsidP="00167B85">
      <w:pPr>
        <w:jc w:val="both"/>
        <w:rPr>
          <w:rFonts w:ascii="Arial" w:hAnsi="Arial" w:cs="Arial"/>
          <w:sz w:val="22"/>
          <w:szCs w:val="22"/>
        </w:rPr>
      </w:pPr>
      <w:r w:rsidRPr="00533703">
        <w:rPr>
          <w:rFonts w:ascii="Arial" w:hAnsi="Arial" w:cs="Arial"/>
          <w:sz w:val="22"/>
          <w:szCs w:val="22"/>
        </w:rPr>
        <w:t xml:space="preserve">Major stationary sources of air pollutants, and some non-major sources, are required to obtain and operate in compliance with a </w:t>
      </w:r>
      <w:smartTag w:uri="urn:schemas-microsoft-com:office:smarttags" w:element="stockticker">
        <w:r w:rsidRPr="00533703">
          <w:rPr>
            <w:rFonts w:ascii="Arial" w:hAnsi="Arial" w:cs="Arial"/>
            <w:sz w:val="22"/>
            <w:szCs w:val="22"/>
          </w:rPr>
          <w:t>RO</w:t>
        </w:r>
        <w:r w:rsidR="0009079D" w:rsidRPr="00533703">
          <w:rPr>
            <w:rFonts w:ascii="Arial" w:hAnsi="Arial" w:cs="Arial"/>
            <w:sz w:val="22"/>
            <w:szCs w:val="22"/>
          </w:rPr>
          <w:t>P</w:t>
        </w:r>
      </w:smartTag>
      <w:r w:rsidRPr="00533703">
        <w:rPr>
          <w:rFonts w:ascii="Arial" w:hAnsi="Arial" w:cs="Arial"/>
          <w:sz w:val="22"/>
          <w:szCs w:val="22"/>
        </w:rPr>
        <w:t xml:space="preserve"> pursuant to Title V of the federal Clean Air Act of 1990 and Michigan’s Administrative Rules for </w:t>
      </w:r>
      <w:r w:rsidR="0002430E" w:rsidRPr="00533703">
        <w:rPr>
          <w:rFonts w:ascii="Arial" w:hAnsi="Arial" w:cs="Arial"/>
          <w:sz w:val="22"/>
          <w:szCs w:val="22"/>
        </w:rPr>
        <w:t>A</w:t>
      </w:r>
      <w:r w:rsidRPr="00533703">
        <w:rPr>
          <w:rFonts w:ascii="Arial" w:hAnsi="Arial" w:cs="Arial"/>
          <w:sz w:val="22"/>
          <w:szCs w:val="22"/>
        </w:rPr>
        <w:t xml:space="preserve">ir </w:t>
      </w:r>
      <w:r w:rsidR="0002430E" w:rsidRPr="00533703">
        <w:rPr>
          <w:rFonts w:ascii="Arial" w:hAnsi="Arial" w:cs="Arial"/>
          <w:sz w:val="22"/>
          <w:szCs w:val="22"/>
        </w:rPr>
        <w:t>P</w:t>
      </w:r>
      <w:r w:rsidRPr="00533703">
        <w:rPr>
          <w:rFonts w:ascii="Arial" w:hAnsi="Arial" w:cs="Arial"/>
          <w:sz w:val="22"/>
          <w:szCs w:val="22"/>
        </w:rPr>
        <w:t xml:space="preserve">ollution </w:t>
      </w:r>
      <w:r w:rsidR="0002430E" w:rsidRPr="00533703">
        <w:rPr>
          <w:rFonts w:ascii="Arial" w:hAnsi="Arial" w:cs="Arial"/>
          <w:sz w:val="22"/>
          <w:szCs w:val="22"/>
        </w:rPr>
        <w:t>C</w:t>
      </w:r>
      <w:r w:rsidRPr="00533703">
        <w:rPr>
          <w:rFonts w:ascii="Arial" w:hAnsi="Arial" w:cs="Arial"/>
          <w:sz w:val="22"/>
          <w:szCs w:val="22"/>
        </w:rPr>
        <w:t xml:space="preserve">ontrol pursuant to Section 5506(1) of </w:t>
      </w:r>
      <w:r w:rsidR="00DB7D71" w:rsidRPr="00533703">
        <w:rPr>
          <w:rFonts w:ascii="Arial" w:hAnsi="Arial" w:cs="Arial"/>
          <w:sz w:val="22"/>
          <w:szCs w:val="22"/>
        </w:rPr>
        <w:t>Act 451</w:t>
      </w:r>
      <w:r w:rsidRPr="00533703">
        <w:rPr>
          <w:rFonts w:ascii="Arial" w:hAnsi="Arial" w:cs="Arial"/>
          <w:sz w:val="22"/>
          <w:szCs w:val="22"/>
        </w:rPr>
        <w:t xml:space="preserve">.  Sources subject to the </w:t>
      </w:r>
      <w:smartTag w:uri="urn:schemas-microsoft-com:office:smarttags" w:element="stockticker">
        <w:r w:rsidRPr="00533703">
          <w:rPr>
            <w:rFonts w:ascii="Arial" w:hAnsi="Arial" w:cs="Arial"/>
            <w:sz w:val="22"/>
            <w:szCs w:val="22"/>
          </w:rPr>
          <w:t>ROP</w:t>
        </w:r>
      </w:smartTag>
      <w:r w:rsidRPr="00533703">
        <w:rPr>
          <w:rFonts w:ascii="Arial" w:hAnsi="Arial" w:cs="Arial"/>
          <w:sz w:val="22"/>
          <w:szCs w:val="22"/>
        </w:rPr>
        <w:t xml:space="preserve"> program are defined by criteria in Rule 211(1).  The </w:t>
      </w:r>
      <w:smartTag w:uri="urn:schemas-microsoft-com:office:smarttags" w:element="stockticker">
        <w:r w:rsidRPr="00533703">
          <w:rPr>
            <w:rFonts w:ascii="Arial" w:hAnsi="Arial" w:cs="Arial"/>
            <w:sz w:val="22"/>
            <w:szCs w:val="22"/>
          </w:rPr>
          <w:t>ROP</w:t>
        </w:r>
      </w:smartTag>
      <w:r w:rsidRPr="00533703">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53752C3" w14:textId="77777777" w:rsidR="00DB5924" w:rsidRPr="00533703" w:rsidRDefault="00DB5924" w:rsidP="00167B85">
      <w:pPr>
        <w:jc w:val="both"/>
        <w:rPr>
          <w:rFonts w:ascii="Arial" w:hAnsi="Arial" w:cs="Arial"/>
          <w:sz w:val="22"/>
          <w:szCs w:val="22"/>
        </w:rPr>
      </w:pPr>
    </w:p>
    <w:p w14:paraId="766ECE97" w14:textId="77777777" w:rsidR="00AF4326" w:rsidRPr="00533703" w:rsidRDefault="00DB5924" w:rsidP="00167B85">
      <w:pPr>
        <w:jc w:val="both"/>
        <w:rPr>
          <w:rFonts w:ascii="Arial" w:hAnsi="Arial" w:cs="Arial"/>
          <w:sz w:val="22"/>
          <w:szCs w:val="22"/>
        </w:rPr>
      </w:pPr>
      <w:r w:rsidRPr="00533703">
        <w:rPr>
          <w:rFonts w:ascii="Arial" w:hAnsi="Arial" w:cs="Arial"/>
          <w:sz w:val="22"/>
          <w:szCs w:val="22"/>
        </w:rPr>
        <w:t xml:space="preserve">This </w:t>
      </w:r>
      <w:r w:rsidR="0002430E" w:rsidRPr="00533703">
        <w:rPr>
          <w:rFonts w:ascii="Arial" w:hAnsi="Arial" w:cs="Arial"/>
          <w:sz w:val="22"/>
          <w:szCs w:val="22"/>
        </w:rPr>
        <w:t>Staff R</w:t>
      </w:r>
      <w:r w:rsidRPr="00533703">
        <w:rPr>
          <w:rFonts w:ascii="Arial" w:hAnsi="Arial" w:cs="Arial"/>
          <w:sz w:val="22"/>
          <w:szCs w:val="22"/>
        </w:rPr>
        <w:t xml:space="preserve">eport, as required by Rule 214(1), sets forth the applicable requirements and factual basis for the draft </w:t>
      </w:r>
      <w:r w:rsidR="0002430E" w:rsidRPr="00533703">
        <w:rPr>
          <w:rFonts w:ascii="Arial" w:hAnsi="Arial" w:cs="Arial"/>
          <w:sz w:val="22"/>
          <w:szCs w:val="22"/>
        </w:rPr>
        <w:t>ROP</w:t>
      </w:r>
      <w:r w:rsidRPr="00533703">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533703">
        <w:rPr>
          <w:rFonts w:ascii="Arial" w:hAnsi="Arial" w:cs="Arial"/>
          <w:sz w:val="22"/>
          <w:szCs w:val="22"/>
        </w:rPr>
        <w:t>ROP</w:t>
      </w:r>
      <w:r w:rsidRPr="00533703">
        <w:rPr>
          <w:rFonts w:ascii="Arial" w:hAnsi="Arial" w:cs="Arial"/>
          <w:sz w:val="22"/>
          <w:szCs w:val="22"/>
        </w:rPr>
        <w:t xml:space="preserve"> pursuant to Rule 212(5), and any determination made pursuant to Rule 213(6)(a)(ii) regarding requirements that are not applicable to the stationary source.</w:t>
      </w:r>
    </w:p>
    <w:p w14:paraId="13F86933" w14:textId="77777777" w:rsidR="00DB5924" w:rsidRPr="00533703" w:rsidRDefault="00DB5924" w:rsidP="00DB5924">
      <w:pPr>
        <w:rPr>
          <w:rFonts w:ascii="Arial" w:hAnsi="Arial" w:cs="Arial"/>
          <w:sz w:val="22"/>
          <w:szCs w:val="22"/>
        </w:rPr>
      </w:pPr>
    </w:p>
    <w:p w14:paraId="3BE88432" w14:textId="77777777" w:rsidR="00AF4326" w:rsidRPr="00533703" w:rsidRDefault="00AF4326">
      <w:pPr>
        <w:rPr>
          <w:rFonts w:ascii="Arial" w:hAnsi="Arial" w:cs="Arial"/>
          <w:b/>
          <w:sz w:val="22"/>
          <w:szCs w:val="22"/>
          <w:u w:val="single"/>
        </w:rPr>
      </w:pPr>
      <w:bookmarkStart w:id="13" w:name="_Toc480946817"/>
      <w:bookmarkStart w:id="14" w:name="_Toc482691112"/>
      <w:r w:rsidRPr="00533703">
        <w:rPr>
          <w:rFonts w:ascii="Arial" w:hAnsi="Arial" w:cs="Arial"/>
          <w:b/>
          <w:sz w:val="22"/>
          <w:szCs w:val="22"/>
          <w:u w:val="single"/>
        </w:rPr>
        <w:t>General Information</w:t>
      </w:r>
      <w:bookmarkEnd w:id="13"/>
      <w:bookmarkEnd w:id="14"/>
    </w:p>
    <w:p w14:paraId="6224549E" w14:textId="77777777" w:rsidR="00AF4326" w:rsidRPr="00533703"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533703" w14:paraId="5067FC0B" w14:textId="77777777">
        <w:tc>
          <w:tcPr>
            <w:tcW w:w="5040" w:type="dxa"/>
          </w:tcPr>
          <w:p w14:paraId="26CF252A" w14:textId="77777777" w:rsidR="00AF4326" w:rsidRPr="00533703" w:rsidRDefault="00AF4326">
            <w:pPr>
              <w:rPr>
                <w:rFonts w:ascii="Arial" w:hAnsi="Arial" w:cs="Arial"/>
                <w:sz w:val="22"/>
                <w:szCs w:val="22"/>
              </w:rPr>
            </w:pPr>
            <w:r w:rsidRPr="00533703">
              <w:rPr>
                <w:rFonts w:ascii="Arial" w:hAnsi="Arial" w:cs="Arial"/>
                <w:sz w:val="22"/>
                <w:szCs w:val="22"/>
              </w:rPr>
              <w:t>Stationary Source Mailing Address:</w:t>
            </w:r>
          </w:p>
        </w:tc>
        <w:tc>
          <w:tcPr>
            <w:tcW w:w="5220" w:type="dxa"/>
          </w:tcPr>
          <w:p w14:paraId="73D18815" w14:textId="77777777" w:rsidR="001159B4" w:rsidRPr="00533703" w:rsidRDefault="001159B4">
            <w:pPr>
              <w:rPr>
                <w:rFonts w:ascii="Arial" w:hAnsi="Arial" w:cs="Arial"/>
                <w:sz w:val="22"/>
                <w:szCs w:val="22"/>
              </w:rPr>
            </w:pPr>
            <w:r w:rsidRPr="00533703">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A5F79" w:rsidRPr="00533703">
              <w:rPr>
                <w:rFonts w:ascii="Arial" w:hAnsi="Arial" w:cs="Arial"/>
                <w:sz w:val="22"/>
                <w:szCs w:val="22"/>
              </w:rPr>
              <w:t>DTE Electric Company – Greenwood Energy Center</w:t>
            </w:r>
            <w:r w:rsidRPr="00533703">
              <w:rPr>
                <w:rFonts w:ascii="Arial" w:hAnsi="Arial" w:cs="Arial"/>
                <w:sz w:val="22"/>
                <w:szCs w:val="22"/>
              </w:rPr>
              <w:fldChar w:fldCharType="end"/>
            </w:r>
            <w:bookmarkEnd w:id="15"/>
          </w:p>
          <w:p w14:paraId="485E86F0" w14:textId="77777777" w:rsidR="001159B4" w:rsidRPr="00533703" w:rsidRDefault="001159B4">
            <w:pPr>
              <w:rPr>
                <w:rFonts w:ascii="Arial" w:hAnsi="Arial" w:cs="Arial"/>
                <w:sz w:val="22"/>
                <w:szCs w:val="22"/>
              </w:rPr>
            </w:pPr>
            <w:r w:rsidRPr="00533703">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A5F79" w:rsidRPr="00533703">
              <w:rPr>
                <w:rFonts w:ascii="Arial" w:hAnsi="Arial" w:cs="Arial"/>
                <w:sz w:val="22"/>
                <w:szCs w:val="22"/>
              </w:rPr>
              <w:t>7000 Kilgore Road</w:t>
            </w:r>
            <w:r w:rsidRPr="00533703">
              <w:rPr>
                <w:rFonts w:ascii="Arial" w:hAnsi="Arial" w:cs="Arial"/>
                <w:sz w:val="22"/>
                <w:szCs w:val="22"/>
              </w:rPr>
              <w:fldChar w:fldCharType="end"/>
            </w:r>
            <w:bookmarkEnd w:id="16"/>
          </w:p>
          <w:p w14:paraId="6D6B8205" w14:textId="77777777" w:rsidR="00AF4326" w:rsidRPr="00533703" w:rsidRDefault="001159B4" w:rsidP="006A5F79">
            <w:pPr>
              <w:rPr>
                <w:rFonts w:ascii="Arial" w:hAnsi="Arial" w:cs="Arial"/>
                <w:sz w:val="22"/>
                <w:szCs w:val="22"/>
              </w:rPr>
            </w:pPr>
            <w:r w:rsidRPr="00533703">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A5F79" w:rsidRPr="00533703">
              <w:rPr>
                <w:rFonts w:ascii="Arial" w:hAnsi="Arial" w:cs="Arial"/>
                <w:sz w:val="22"/>
                <w:szCs w:val="22"/>
              </w:rPr>
              <w:t>Avoca</w:t>
            </w:r>
            <w:r w:rsidRPr="00533703">
              <w:rPr>
                <w:rFonts w:ascii="Arial" w:hAnsi="Arial" w:cs="Arial"/>
                <w:sz w:val="22"/>
                <w:szCs w:val="22"/>
              </w:rPr>
              <w:fldChar w:fldCharType="end"/>
            </w:r>
            <w:bookmarkEnd w:id="17"/>
            <w:r w:rsidR="00AF4326" w:rsidRPr="00533703">
              <w:rPr>
                <w:rFonts w:ascii="Arial" w:hAnsi="Arial" w:cs="Arial"/>
                <w:sz w:val="22"/>
                <w:szCs w:val="22"/>
              </w:rPr>
              <w:t>, Michigan</w:t>
            </w:r>
            <w:r w:rsidRPr="00533703">
              <w:rPr>
                <w:rFonts w:ascii="Arial" w:hAnsi="Arial" w:cs="Arial"/>
                <w:sz w:val="22"/>
                <w:szCs w:val="22"/>
              </w:rPr>
              <w:t xml:space="preserve"> </w:t>
            </w:r>
            <w:r w:rsidRPr="00533703">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A5F79" w:rsidRPr="00533703">
              <w:rPr>
                <w:rFonts w:ascii="Arial" w:hAnsi="Arial" w:cs="Arial"/>
                <w:sz w:val="22"/>
                <w:szCs w:val="22"/>
              </w:rPr>
              <w:t>48006-2525</w:t>
            </w:r>
            <w:r w:rsidRPr="00533703">
              <w:rPr>
                <w:rFonts w:ascii="Arial" w:hAnsi="Arial" w:cs="Arial"/>
                <w:sz w:val="22"/>
                <w:szCs w:val="22"/>
              </w:rPr>
              <w:fldChar w:fldCharType="end"/>
            </w:r>
            <w:bookmarkEnd w:id="18"/>
            <w:r w:rsidR="00AF4326" w:rsidRPr="00533703">
              <w:rPr>
                <w:rFonts w:ascii="Arial" w:hAnsi="Arial" w:cs="Arial"/>
                <w:sz w:val="22"/>
                <w:szCs w:val="22"/>
              </w:rPr>
              <w:t xml:space="preserve"> </w:t>
            </w:r>
          </w:p>
        </w:tc>
      </w:tr>
      <w:tr w:rsidR="00AF4326" w:rsidRPr="00533703" w14:paraId="27414EF5" w14:textId="77777777" w:rsidTr="00177285">
        <w:trPr>
          <w:trHeight w:val="273"/>
        </w:trPr>
        <w:tc>
          <w:tcPr>
            <w:tcW w:w="5040" w:type="dxa"/>
          </w:tcPr>
          <w:p w14:paraId="403D0026" w14:textId="77777777" w:rsidR="00AF4326" w:rsidRPr="00533703" w:rsidRDefault="00AF4326">
            <w:pPr>
              <w:rPr>
                <w:rFonts w:ascii="Arial" w:hAnsi="Arial" w:cs="Arial"/>
                <w:sz w:val="22"/>
                <w:szCs w:val="22"/>
              </w:rPr>
            </w:pPr>
            <w:r w:rsidRPr="00533703">
              <w:rPr>
                <w:rFonts w:ascii="Arial" w:hAnsi="Arial" w:cs="Arial"/>
                <w:sz w:val="22"/>
                <w:szCs w:val="22"/>
              </w:rPr>
              <w:t>Source Registration Number (</w:t>
            </w:r>
            <w:smartTag w:uri="urn:schemas-microsoft-com:office:smarttags" w:element="stockticker">
              <w:r w:rsidRPr="00533703">
                <w:rPr>
                  <w:rFonts w:ascii="Arial" w:hAnsi="Arial" w:cs="Arial"/>
                  <w:sz w:val="22"/>
                  <w:szCs w:val="22"/>
                </w:rPr>
                <w:t>SRN</w:t>
              </w:r>
            </w:smartTag>
            <w:r w:rsidRPr="00533703">
              <w:rPr>
                <w:rFonts w:ascii="Arial" w:hAnsi="Arial" w:cs="Arial"/>
                <w:sz w:val="22"/>
                <w:szCs w:val="22"/>
              </w:rPr>
              <w:t>):</w:t>
            </w:r>
          </w:p>
        </w:tc>
        <w:tc>
          <w:tcPr>
            <w:tcW w:w="5220" w:type="dxa"/>
          </w:tcPr>
          <w:p w14:paraId="7F3B7696" w14:textId="77777777" w:rsidR="00AF4326" w:rsidRPr="00533703" w:rsidRDefault="00026AB8" w:rsidP="006A5F79">
            <w:pPr>
              <w:rPr>
                <w:rFonts w:ascii="Arial" w:hAnsi="Arial" w:cs="Arial"/>
                <w:sz w:val="22"/>
                <w:szCs w:val="22"/>
              </w:rPr>
            </w:pPr>
            <w:r w:rsidRPr="00533703">
              <w:rPr>
                <w:rFonts w:ascii="Arial" w:hAnsi="Arial" w:cs="Arial"/>
                <w:sz w:val="22"/>
                <w:szCs w:val="22"/>
              </w:rPr>
              <w:fldChar w:fldCharType="begin" w:fldLock="1">
                <w:ffData>
                  <w:name w:val="Text15"/>
                  <w:enabled/>
                  <w:calcOnExit w:val="0"/>
                  <w:textInput/>
                </w:ffData>
              </w:fldChar>
            </w:r>
            <w:bookmarkStart w:id="19" w:name="Text15"/>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A5F79" w:rsidRPr="00533703">
              <w:rPr>
                <w:rFonts w:ascii="Arial" w:hAnsi="Arial" w:cs="Arial"/>
                <w:noProof/>
                <w:sz w:val="22"/>
                <w:szCs w:val="22"/>
              </w:rPr>
              <w:t>B6145</w:t>
            </w:r>
            <w:r w:rsidRPr="00533703">
              <w:rPr>
                <w:rFonts w:ascii="Arial" w:hAnsi="Arial" w:cs="Arial"/>
                <w:sz w:val="22"/>
                <w:szCs w:val="22"/>
              </w:rPr>
              <w:fldChar w:fldCharType="end"/>
            </w:r>
            <w:bookmarkEnd w:id="19"/>
          </w:p>
        </w:tc>
      </w:tr>
      <w:tr w:rsidR="00AF4326" w:rsidRPr="00533703" w14:paraId="5BFAB69B" w14:textId="77777777">
        <w:tc>
          <w:tcPr>
            <w:tcW w:w="5040" w:type="dxa"/>
          </w:tcPr>
          <w:p w14:paraId="0F7EC73A" w14:textId="77777777" w:rsidR="00AF4326" w:rsidRPr="00533703" w:rsidRDefault="00C94DBD">
            <w:pPr>
              <w:rPr>
                <w:rFonts w:ascii="Arial" w:hAnsi="Arial" w:cs="Arial"/>
                <w:sz w:val="22"/>
                <w:szCs w:val="22"/>
              </w:rPr>
            </w:pPr>
            <w:r w:rsidRPr="00533703">
              <w:rPr>
                <w:rFonts w:ascii="Arial" w:hAnsi="Arial" w:cs="Arial"/>
                <w:sz w:val="22"/>
                <w:szCs w:val="22"/>
              </w:rPr>
              <w:t>North American Industry Classification System</w:t>
            </w:r>
            <w:r w:rsidR="003B36CE" w:rsidRPr="00533703">
              <w:rPr>
                <w:rFonts w:ascii="Arial" w:hAnsi="Arial" w:cs="Arial"/>
                <w:sz w:val="22"/>
                <w:szCs w:val="22"/>
              </w:rPr>
              <w:t xml:space="preserve"> (NAICS) Code</w:t>
            </w:r>
            <w:r w:rsidR="00AF4326" w:rsidRPr="00533703">
              <w:rPr>
                <w:rFonts w:ascii="Arial" w:hAnsi="Arial" w:cs="Arial"/>
                <w:sz w:val="22"/>
                <w:szCs w:val="22"/>
              </w:rPr>
              <w:t>:</w:t>
            </w:r>
          </w:p>
        </w:tc>
        <w:bookmarkStart w:id="20" w:name="SIC"/>
        <w:tc>
          <w:tcPr>
            <w:tcW w:w="5220" w:type="dxa"/>
          </w:tcPr>
          <w:p w14:paraId="0DADB4B8" w14:textId="77777777" w:rsidR="00AF4326" w:rsidRPr="00533703" w:rsidRDefault="00355F38" w:rsidP="006A5F79">
            <w:pPr>
              <w:rPr>
                <w:rFonts w:ascii="Arial" w:hAnsi="Arial" w:cs="Arial"/>
                <w:sz w:val="22"/>
                <w:szCs w:val="22"/>
              </w:rPr>
            </w:pPr>
            <w:r w:rsidRPr="00533703">
              <w:rPr>
                <w:rFonts w:ascii="Arial" w:hAnsi="Arial" w:cs="Arial"/>
                <w:sz w:val="22"/>
                <w:szCs w:val="22"/>
              </w:rPr>
              <w:fldChar w:fldCharType="begin" w:fldLock="1">
                <w:ffData>
                  <w:name w:val="SIC"/>
                  <w:enabled/>
                  <w:calcOnExit/>
                  <w:statusText w:type="text" w:val="Enter the NAICS for the stationary source."/>
                  <w:textInput/>
                </w:ffData>
              </w:fldChar>
            </w:r>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A5F79" w:rsidRPr="00533703">
              <w:rPr>
                <w:rFonts w:ascii="Arial" w:hAnsi="Arial" w:cs="Arial"/>
                <w:sz w:val="22"/>
                <w:szCs w:val="22"/>
              </w:rPr>
              <w:t>221112</w:t>
            </w:r>
            <w:r w:rsidRPr="00533703">
              <w:rPr>
                <w:rFonts w:ascii="Arial" w:hAnsi="Arial" w:cs="Arial"/>
                <w:sz w:val="22"/>
                <w:szCs w:val="22"/>
              </w:rPr>
              <w:fldChar w:fldCharType="end"/>
            </w:r>
            <w:bookmarkEnd w:id="20"/>
          </w:p>
        </w:tc>
      </w:tr>
      <w:tr w:rsidR="00AF4326" w:rsidRPr="00533703" w14:paraId="4D9C0074" w14:textId="77777777">
        <w:tc>
          <w:tcPr>
            <w:tcW w:w="5040" w:type="dxa"/>
          </w:tcPr>
          <w:p w14:paraId="3C3C4841" w14:textId="77777777" w:rsidR="00AF4326" w:rsidRPr="00533703" w:rsidRDefault="00AF4326">
            <w:pPr>
              <w:rPr>
                <w:rFonts w:ascii="Arial" w:hAnsi="Arial" w:cs="Arial"/>
                <w:sz w:val="22"/>
                <w:szCs w:val="22"/>
              </w:rPr>
            </w:pPr>
            <w:r w:rsidRPr="00533703">
              <w:rPr>
                <w:rFonts w:ascii="Arial" w:hAnsi="Arial" w:cs="Arial"/>
                <w:sz w:val="22"/>
                <w:szCs w:val="22"/>
              </w:rPr>
              <w:t>Number of Stationary Source Sections:</w:t>
            </w:r>
          </w:p>
        </w:tc>
        <w:tc>
          <w:tcPr>
            <w:tcW w:w="5220" w:type="dxa"/>
          </w:tcPr>
          <w:p w14:paraId="6FACA753" w14:textId="77777777" w:rsidR="00AF4326" w:rsidRPr="00533703" w:rsidRDefault="00AF4326" w:rsidP="00A47C94">
            <w:pPr>
              <w:rPr>
                <w:rFonts w:ascii="Arial" w:hAnsi="Arial" w:cs="Arial"/>
                <w:sz w:val="22"/>
                <w:szCs w:val="22"/>
              </w:rPr>
            </w:pPr>
            <w:r w:rsidRPr="00533703">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A47C94" w:rsidRPr="00533703">
              <w:rPr>
                <w:rFonts w:ascii="Arial" w:hAnsi="Arial" w:cs="Arial"/>
                <w:sz w:val="22"/>
                <w:szCs w:val="22"/>
              </w:rPr>
              <w:t>2</w:t>
            </w:r>
            <w:r w:rsidRPr="00533703">
              <w:rPr>
                <w:rFonts w:ascii="Arial" w:hAnsi="Arial" w:cs="Arial"/>
                <w:sz w:val="22"/>
                <w:szCs w:val="22"/>
              </w:rPr>
              <w:fldChar w:fldCharType="end"/>
            </w:r>
            <w:bookmarkEnd w:id="21"/>
          </w:p>
        </w:tc>
      </w:tr>
      <w:tr w:rsidR="00647809" w:rsidRPr="00533703" w14:paraId="7F9563BB" w14:textId="77777777">
        <w:tc>
          <w:tcPr>
            <w:tcW w:w="5040" w:type="dxa"/>
          </w:tcPr>
          <w:p w14:paraId="74CA5228" w14:textId="77777777" w:rsidR="00647809" w:rsidRPr="00533703" w:rsidRDefault="00647809">
            <w:pPr>
              <w:rPr>
                <w:rFonts w:ascii="Arial" w:hAnsi="Arial" w:cs="Arial"/>
                <w:sz w:val="22"/>
                <w:szCs w:val="22"/>
              </w:rPr>
            </w:pPr>
            <w:r w:rsidRPr="00533703">
              <w:rPr>
                <w:rFonts w:ascii="Arial" w:hAnsi="Arial" w:cs="Arial"/>
                <w:sz w:val="22"/>
                <w:szCs w:val="22"/>
              </w:rPr>
              <w:t>Is Application for a Renewal or Initial Issuance?</w:t>
            </w:r>
          </w:p>
        </w:tc>
        <w:tc>
          <w:tcPr>
            <w:tcW w:w="5220" w:type="dxa"/>
          </w:tcPr>
          <w:p w14:paraId="10BEB794" w14:textId="77777777" w:rsidR="00647809" w:rsidRPr="00533703" w:rsidRDefault="005553AB">
            <w:pPr>
              <w:rPr>
                <w:rFonts w:ascii="Arial" w:hAnsi="Arial" w:cs="Arial"/>
                <w:sz w:val="22"/>
                <w:szCs w:val="22"/>
              </w:rPr>
            </w:pPr>
            <w:r w:rsidRPr="00533703">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2" w:name="Dropdown12"/>
            <w:r w:rsidRPr="00533703">
              <w:rPr>
                <w:rFonts w:ascii="Arial" w:hAnsi="Arial" w:cs="Arial"/>
                <w:sz w:val="22"/>
                <w:szCs w:val="22"/>
              </w:rPr>
              <w:instrText xml:space="preserve"> FORMDROPDOWN </w:instrText>
            </w:r>
            <w:r w:rsidR="004A33DF">
              <w:rPr>
                <w:rFonts w:ascii="Arial" w:hAnsi="Arial" w:cs="Arial"/>
                <w:sz w:val="22"/>
                <w:szCs w:val="22"/>
              </w:rPr>
            </w:r>
            <w:r w:rsidR="004A33DF">
              <w:rPr>
                <w:rFonts w:ascii="Arial" w:hAnsi="Arial" w:cs="Arial"/>
                <w:sz w:val="22"/>
                <w:szCs w:val="22"/>
              </w:rPr>
              <w:fldChar w:fldCharType="separate"/>
            </w:r>
            <w:r w:rsidRPr="00533703">
              <w:rPr>
                <w:rFonts w:ascii="Arial" w:hAnsi="Arial" w:cs="Arial"/>
                <w:sz w:val="22"/>
                <w:szCs w:val="22"/>
              </w:rPr>
              <w:fldChar w:fldCharType="end"/>
            </w:r>
            <w:bookmarkEnd w:id="22"/>
          </w:p>
        </w:tc>
      </w:tr>
      <w:tr w:rsidR="00AF4326" w:rsidRPr="00533703" w14:paraId="3D178CD4" w14:textId="77777777">
        <w:tc>
          <w:tcPr>
            <w:tcW w:w="5040" w:type="dxa"/>
          </w:tcPr>
          <w:p w14:paraId="211FFB44" w14:textId="77777777" w:rsidR="00AF4326" w:rsidRPr="00533703" w:rsidRDefault="00AF4326">
            <w:pPr>
              <w:rPr>
                <w:rFonts w:ascii="Arial" w:hAnsi="Arial" w:cs="Arial"/>
                <w:sz w:val="22"/>
                <w:szCs w:val="22"/>
              </w:rPr>
            </w:pPr>
            <w:r w:rsidRPr="00533703">
              <w:rPr>
                <w:rFonts w:ascii="Arial" w:hAnsi="Arial" w:cs="Arial"/>
                <w:sz w:val="22"/>
                <w:szCs w:val="22"/>
              </w:rPr>
              <w:t>Application Number:</w:t>
            </w:r>
          </w:p>
        </w:tc>
        <w:tc>
          <w:tcPr>
            <w:tcW w:w="5220" w:type="dxa"/>
          </w:tcPr>
          <w:p w14:paraId="62F71CC5" w14:textId="77777777" w:rsidR="00AF4326" w:rsidRPr="00533703" w:rsidRDefault="001159B4" w:rsidP="006A5F79">
            <w:pPr>
              <w:rPr>
                <w:rFonts w:ascii="Arial" w:hAnsi="Arial" w:cs="Arial"/>
                <w:sz w:val="22"/>
                <w:szCs w:val="22"/>
              </w:rPr>
            </w:pPr>
            <w:r w:rsidRPr="00533703">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A5F79" w:rsidRPr="00533703">
              <w:rPr>
                <w:rFonts w:ascii="Arial" w:hAnsi="Arial" w:cs="Arial"/>
                <w:sz w:val="22"/>
                <w:szCs w:val="22"/>
              </w:rPr>
              <w:t>201600049</w:t>
            </w:r>
            <w:r w:rsidRPr="00533703">
              <w:rPr>
                <w:rFonts w:ascii="Arial" w:hAnsi="Arial" w:cs="Arial"/>
                <w:sz w:val="22"/>
                <w:szCs w:val="22"/>
              </w:rPr>
              <w:fldChar w:fldCharType="end"/>
            </w:r>
            <w:bookmarkEnd w:id="23"/>
          </w:p>
        </w:tc>
      </w:tr>
      <w:tr w:rsidR="00AF4326" w:rsidRPr="00533703" w14:paraId="676D023A" w14:textId="77777777">
        <w:tc>
          <w:tcPr>
            <w:tcW w:w="5040" w:type="dxa"/>
          </w:tcPr>
          <w:p w14:paraId="4B8283FF" w14:textId="77777777" w:rsidR="00AF4326" w:rsidRPr="00533703" w:rsidRDefault="00AF4326">
            <w:pPr>
              <w:rPr>
                <w:rFonts w:ascii="Arial" w:hAnsi="Arial" w:cs="Arial"/>
                <w:sz w:val="22"/>
                <w:szCs w:val="22"/>
              </w:rPr>
            </w:pPr>
            <w:r w:rsidRPr="00533703">
              <w:rPr>
                <w:rFonts w:ascii="Arial" w:hAnsi="Arial" w:cs="Arial"/>
                <w:sz w:val="22"/>
                <w:szCs w:val="22"/>
              </w:rPr>
              <w:t>Responsible Official:</w:t>
            </w:r>
          </w:p>
        </w:tc>
        <w:tc>
          <w:tcPr>
            <w:tcW w:w="5220" w:type="dxa"/>
          </w:tcPr>
          <w:p w14:paraId="690EA573" w14:textId="77777777" w:rsidR="00AF4326" w:rsidRPr="00533703" w:rsidRDefault="005D5D4A" w:rsidP="005D5D4A">
            <w:pPr>
              <w:rPr>
                <w:rFonts w:ascii="Arial" w:hAnsi="Arial" w:cs="Arial"/>
                <w:sz w:val="22"/>
                <w:szCs w:val="22"/>
              </w:rPr>
            </w:pPr>
            <w:r w:rsidRPr="00533703">
              <w:rPr>
                <w:rFonts w:ascii="Arial" w:hAnsi="Arial" w:cs="Arial"/>
                <w:sz w:val="22"/>
                <w:szCs w:val="22"/>
              </w:rPr>
              <w:t xml:space="preserve">1. </w:t>
            </w:r>
            <w:r w:rsidR="00AF4326" w:rsidRPr="00533703">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00AF4326" w:rsidRPr="00533703">
              <w:rPr>
                <w:rFonts w:ascii="Arial" w:hAnsi="Arial" w:cs="Arial"/>
                <w:sz w:val="22"/>
                <w:szCs w:val="22"/>
              </w:rPr>
              <w:instrText xml:space="preserve"> FORMTEXT </w:instrText>
            </w:r>
            <w:r w:rsidR="00AF4326" w:rsidRPr="00533703">
              <w:rPr>
                <w:rFonts w:ascii="Arial" w:hAnsi="Arial" w:cs="Arial"/>
                <w:sz w:val="22"/>
                <w:szCs w:val="22"/>
              </w:rPr>
            </w:r>
            <w:r w:rsidR="00AF4326" w:rsidRPr="00533703">
              <w:rPr>
                <w:rFonts w:ascii="Arial" w:hAnsi="Arial" w:cs="Arial"/>
                <w:sz w:val="22"/>
                <w:szCs w:val="22"/>
              </w:rPr>
              <w:fldChar w:fldCharType="separate"/>
            </w:r>
            <w:r w:rsidR="006A5F79" w:rsidRPr="00533703">
              <w:rPr>
                <w:rFonts w:ascii="Arial" w:hAnsi="Arial" w:cs="Arial"/>
                <w:sz w:val="22"/>
                <w:szCs w:val="22"/>
              </w:rPr>
              <w:t>Stephen Beeler</w:t>
            </w:r>
            <w:r w:rsidR="00AF4326" w:rsidRPr="00533703">
              <w:rPr>
                <w:rFonts w:ascii="Arial" w:hAnsi="Arial" w:cs="Arial"/>
                <w:sz w:val="22"/>
                <w:szCs w:val="22"/>
              </w:rPr>
              <w:fldChar w:fldCharType="end"/>
            </w:r>
            <w:bookmarkEnd w:id="24"/>
            <w:r w:rsidR="00CF37B7" w:rsidRPr="00533703">
              <w:rPr>
                <w:rFonts w:ascii="Arial" w:hAnsi="Arial" w:cs="Arial"/>
                <w:sz w:val="22"/>
                <w:szCs w:val="22"/>
              </w:rPr>
              <w:t xml:space="preserve">, </w:t>
            </w:r>
            <w:r w:rsidR="00AF4326" w:rsidRPr="00533703">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00AF4326" w:rsidRPr="00533703">
              <w:rPr>
                <w:rFonts w:ascii="Arial" w:hAnsi="Arial" w:cs="Arial"/>
                <w:sz w:val="22"/>
                <w:szCs w:val="22"/>
              </w:rPr>
              <w:instrText xml:space="preserve"> FORMTEXT </w:instrText>
            </w:r>
            <w:r w:rsidR="00AF4326" w:rsidRPr="00533703">
              <w:rPr>
                <w:rFonts w:ascii="Arial" w:hAnsi="Arial" w:cs="Arial"/>
                <w:sz w:val="22"/>
                <w:szCs w:val="22"/>
              </w:rPr>
            </w:r>
            <w:r w:rsidR="00AF4326" w:rsidRPr="00533703">
              <w:rPr>
                <w:rFonts w:ascii="Arial" w:hAnsi="Arial" w:cs="Arial"/>
                <w:sz w:val="22"/>
                <w:szCs w:val="22"/>
              </w:rPr>
              <w:fldChar w:fldCharType="separate"/>
            </w:r>
            <w:r w:rsidR="006A5F79" w:rsidRPr="00533703">
              <w:rPr>
                <w:rFonts w:ascii="Arial" w:hAnsi="Arial" w:cs="Arial"/>
                <w:sz w:val="22"/>
                <w:szCs w:val="22"/>
              </w:rPr>
              <w:t>Plant Manager</w:t>
            </w:r>
            <w:r w:rsidR="00AF4326" w:rsidRPr="00533703">
              <w:rPr>
                <w:rFonts w:ascii="Arial" w:hAnsi="Arial" w:cs="Arial"/>
                <w:sz w:val="22"/>
                <w:szCs w:val="22"/>
              </w:rPr>
              <w:fldChar w:fldCharType="end"/>
            </w:r>
            <w:bookmarkEnd w:id="25"/>
          </w:p>
          <w:p w14:paraId="71EE287B" w14:textId="77777777" w:rsidR="005D5D4A" w:rsidRPr="00533703" w:rsidRDefault="005D5D4A" w:rsidP="005D5D4A">
            <w:pPr>
              <w:rPr>
                <w:rFonts w:ascii="Arial" w:hAnsi="Arial" w:cs="Arial"/>
                <w:sz w:val="22"/>
                <w:szCs w:val="22"/>
              </w:rPr>
            </w:pPr>
            <w:r w:rsidRPr="00533703">
              <w:rPr>
                <w:rFonts w:ascii="Arial" w:hAnsi="Arial" w:cs="Arial"/>
                <w:sz w:val="22"/>
                <w:szCs w:val="22"/>
              </w:rPr>
              <w:t>Section 1, Main Boiler</w:t>
            </w:r>
          </w:p>
          <w:p w14:paraId="5893F29D" w14:textId="77777777" w:rsidR="00AF4326" w:rsidRPr="00533703" w:rsidRDefault="00AF4326" w:rsidP="006E7A14">
            <w:pPr>
              <w:rPr>
                <w:rFonts w:ascii="Arial" w:hAnsi="Arial" w:cs="Arial"/>
                <w:sz w:val="22"/>
                <w:szCs w:val="22"/>
              </w:rPr>
            </w:pPr>
            <w:r w:rsidRPr="00533703">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E7A14" w:rsidRPr="00533703">
              <w:rPr>
                <w:rFonts w:ascii="Arial" w:hAnsi="Arial" w:cs="Arial"/>
                <w:sz w:val="22"/>
                <w:szCs w:val="22"/>
              </w:rPr>
              <w:t>810-324-3218</w:t>
            </w:r>
            <w:r w:rsidRPr="00533703">
              <w:rPr>
                <w:rFonts w:ascii="Arial" w:hAnsi="Arial" w:cs="Arial"/>
                <w:sz w:val="22"/>
                <w:szCs w:val="22"/>
              </w:rPr>
              <w:fldChar w:fldCharType="end"/>
            </w:r>
            <w:bookmarkEnd w:id="26"/>
          </w:p>
          <w:p w14:paraId="3ECF5BA9" w14:textId="77777777" w:rsidR="008C483E" w:rsidRPr="00533703" w:rsidRDefault="008C483E" w:rsidP="006E7A14">
            <w:pPr>
              <w:rPr>
                <w:rFonts w:ascii="Arial" w:hAnsi="Arial" w:cs="Arial"/>
                <w:sz w:val="22"/>
                <w:szCs w:val="22"/>
              </w:rPr>
            </w:pPr>
          </w:p>
          <w:p w14:paraId="33FC2814" w14:textId="77777777" w:rsidR="008C483E" w:rsidRPr="00533703" w:rsidRDefault="008C483E" w:rsidP="006E7A14">
            <w:pPr>
              <w:rPr>
                <w:rFonts w:ascii="Arial" w:hAnsi="Arial" w:cs="Arial"/>
                <w:sz w:val="22"/>
                <w:szCs w:val="22"/>
              </w:rPr>
            </w:pPr>
            <w:r w:rsidRPr="00533703">
              <w:rPr>
                <w:rFonts w:ascii="Arial" w:hAnsi="Arial" w:cs="Arial"/>
                <w:sz w:val="22"/>
                <w:szCs w:val="22"/>
              </w:rPr>
              <w:t>2</w:t>
            </w:r>
            <w:r w:rsidR="005D5D4A" w:rsidRPr="00533703">
              <w:rPr>
                <w:rFonts w:ascii="Arial" w:hAnsi="Arial" w:cs="Arial"/>
                <w:sz w:val="22"/>
                <w:szCs w:val="22"/>
              </w:rPr>
              <w:t xml:space="preserve">. </w:t>
            </w:r>
            <w:r w:rsidRPr="00533703">
              <w:rPr>
                <w:rFonts w:ascii="Arial" w:hAnsi="Arial" w:cs="Arial"/>
                <w:sz w:val="22"/>
                <w:szCs w:val="22"/>
              </w:rPr>
              <w:t xml:space="preserve">Ryan </w:t>
            </w:r>
            <w:r w:rsidR="005D5D4A" w:rsidRPr="00533703">
              <w:rPr>
                <w:rFonts w:ascii="Arial" w:hAnsi="Arial" w:cs="Arial"/>
                <w:sz w:val="22"/>
                <w:szCs w:val="22"/>
              </w:rPr>
              <w:t xml:space="preserve">A. </w:t>
            </w:r>
            <w:r w:rsidRPr="00533703">
              <w:rPr>
                <w:rFonts w:ascii="Arial" w:hAnsi="Arial" w:cs="Arial"/>
                <w:sz w:val="22"/>
                <w:szCs w:val="22"/>
              </w:rPr>
              <w:t>Randazzo</w:t>
            </w:r>
            <w:r w:rsidR="005D5D4A" w:rsidRPr="00533703">
              <w:rPr>
                <w:rFonts w:ascii="Arial" w:hAnsi="Arial" w:cs="Arial"/>
                <w:sz w:val="22"/>
                <w:szCs w:val="22"/>
              </w:rPr>
              <w:t>, Plant Manager Fossil Generation</w:t>
            </w:r>
          </w:p>
          <w:p w14:paraId="6B9A5E41" w14:textId="77777777" w:rsidR="005D5D4A" w:rsidRPr="00533703" w:rsidRDefault="005D5D4A" w:rsidP="006E7A14">
            <w:pPr>
              <w:rPr>
                <w:rFonts w:ascii="Arial" w:hAnsi="Arial" w:cs="Arial"/>
                <w:sz w:val="22"/>
                <w:szCs w:val="22"/>
              </w:rPr>
            </w:pPr>
            <w:r w:rsidRPr="00533703">
              <w:rPr>
                <w:rFonts w:ascii="Arial" w:hAnsi="Arial" w:cs="Arial"/>
                <w:sz w:val="22"/>
                <w:szCs w:val="22"/>
              </w:rPr>
              <w:t>Section 2, Combustion Turbine Generators</w:t>
            </w:r>
          </w:p>
          <w:p w14:paraId="1C1EDF66" w14:textId="77777777" w:rsidR="005D5D4A" w:rsidRPr="00533703" w:rsidRDefault="005D5D4A" w:rsidP="006E7A14">
            <w:pPr>
              <w:rPr>
                <w:rFonts w:ascii="Arial" w:hAnsi="Arial" w:cs="Arial"/>
                <w:sz w:val="22"/>
                <w:szCs w:val="22"/>
              </w:rPr>
            </w:pPr>
            <w:r w:rsidRPr="00533703">
              <w:rPr>
                <w:rFonts w:ascii="Arial" w:hAnsi="Arial" w:cs="Arial"/>
                <w:sz w:val="22"/>
                <w:szCs w:val="22"/>
              </w:rPr>
              <w:t>734-231-1140</w:t>
            </w:r>
          </w:p>
        </w:tc>
      </w:tr>
      <w:tr w:rsidR="00AF4326" w:rsidRPr="00533703" w14:paraId="4EBEEE03" w14:textId="77777777">
        <w:tc>
          <w:tcPr>
            <w:tcW w:w="5040" w:type="dxa"/>
          </w:tcPr>
          <w:p w14:paraId="5BFB516C" w14:textId="77777777" w:rsidR="00AF4326" w:rsidRPr="00533703" w:rsidRDefault="00AF4326">
            <w:pPr>
              <w:rPr>
                <w:rFonts w:ascii="Arial" w:hAnsi="Arial" w:cs="Arial"/>
                <w:sz w:val="22"/>
                <w:szCs w:val="22"/>
              </w:rPr>
            </w:pPr>
            <w:r w:rsidRPr="00533703">
              <w:rPr>
                <w:rFonts w:ascii="Arial" w:hAnsi="Arial" w:cs="Arial"/>
                <w:sz w:val="22"/>
                <w:szCs w:val="22"/>
              </w:rPr>
              <w:t>AQD Contact:</w:t>
            </w:r>
          </w:p>
        </w:tc>
        <w:tc>
          <w:tcPr>
            <w:tcW w:w="5220" w:type="dxa"/>
          </w:tcPr>
          <w:p w14:paraId="536F7AB8" w14:textId="77777777" w:rsidR="00AF4326" w:rsidRPr="00533703" w:rsidRDefault="00D325DF">
            <w:pPr>
              <w:rPr>
                <w:rFonts w:ascii="Arial" w:hAnsi="Arial" w:cs="Arial"/>
                <w:sz w:val="22"/>
                <w:szCs w:val="22"/>
              </w:rPr>
            </w:pPr>
            <w:r w:rsidRPr="00533703">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E7A14" w:rsidRPr="00533703">
              <w:rPr>
                <w:rFonts w:ascii="Arial" w:hAnsi="Arial" w:cs="Arial"/>
                <w:sz w:val="22"/>
                <w:szCs w:val="22"/>
              </w:rPr>
              <w:t>Robert Elmouchi</w:t>
            </w:r>
            <w:r w:rsidRPr="00533703">
              <w:rPr>
                <w:rFonts w:ascii="Arial" w:hAnsi="Arial" w:cs="Arial"/>
                <w:sz w:val="22"/>
                <w:szCs w:val="22"/>
              </w:rPr>
              <w:fldChar w:fldCharType="end"/>
            </w:r>
            <w:bookmarkEnd w:id="27"/>
            <w:r w:rsidR="00AF4326" w:rsidRPr="00533703">
              <w:rPr>
                <w:rFonts w:ascii="Arial" w:hAnsi="Arial" w:cs="Arial"/>
                <w:sz w:val="22"/>
                <w:szCs w:val="22"/>
              </w:rPr>
              <w:t xml:space="preserve">, </w:t>
            </w:r>
            <w:r w:rsidR="00AF4326" w:rsidRPr="00533703">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8" w:name="AQD_Staff_Title"/>
            <w:r w:rsidR="00AF4326" w:rsidRPr="00533703">
              <w:rPr>
                <w:rFonts w:ascii="Arial" w:hAnsi="Arial" w:cs="Arial"/>
                <w:sz w:val="22"/>
                <w:szCs w:val="22"/>
              </w:rPr>
              <w:instrText xml:space="preserve"> FORMTEXT </w:instrText>
            </w:r>
            <w:r w:rsidR="00AF4326" w:rsidRPr="00533703">
              <w:rPr>
                <w:rFonts w:ascii="Arial" w:hAnsi="Arial" w:cs="Arial"/>
                <w:sz w:val="22"/>
                <w:szCs w:val="22"/>
              </w:rPr>
            </w:r>
            <w:r w:rsidR="00AF4326" w:rsidRPr="00533703">
              <w:rPr>
                <w:rFonts w:ascii="Arial" w:hAnsi="Arial" w:cs="Arial"/>
                <w:sz w:val="22"/>
                <w:szCs w:val="22"/>
              </w:rPr>
              <w:fldChar w:fldCharType="separate"/>
            </w:r>
            <w:r w:rsidR="006E7A14" w:rsidRPr="00533703">
              <w:rPr>
                <w:rFonts w:ascii="Arial" w:hAnsi="Arial" w:cs="Arial"/>
                <w:sz w:val="22"/>
                <w:szCs w:val="22"/>
              </w:rPr>
              <w:t>Air Quality Analyst</w:t>
            </w:r>
            <w:r w:rsidR="00AF4326" w:rsidRPr="00533703">
              <w:rPr>
                <w:rFonts w:ascii="Arial" w:hAnsi="Arial" w:cs="Arial"/>
                <w:sz w:val="22"/>
                <w:szCs w:val="22"/>
              </w:rPr>
              <w:fldChar w:fldCharType="end"/>
            </w:r>
            <w:bookmarkEnd w:id="28"/>
          </w:p>
          <w:p w14:paraId="76C3C08E" w14:textId="77777777" w:rsidR="00AF4326" w:rsidRPr="00533703" w:rsidRDefault="00AF4326" w:rsidP="006E7A14">
            <w:pPr>
              <w:rPr>
                <w:rFonts w:ascii="Arial" w:hAnsi="Arial" w:cs="Arial"/>
                <w:sz w:val="22"/>
                <w:szCs w:val="22"/>
              </w:rPr>
            </w:pPr>
            <w:r w:rsidRPr="00533703">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E7A14" w:rsidRPr="00533703">
              <w:rPr>
                <w:rFonts w:ascii="Arial" w:hAnsi="Arial" w:cs="Arial"/>
                <w:sz w:val="22"/>
                <w:szCs w:val="22"/>
              </w:rPr>
              <w:t>586-753-3736</w:t>
            </w:r>
            <w:r w:rsidRPr="00533703">
              <w:rPr>
                <w:rFonts w:ascii="Arial" w:hAnsi="Arial" w:cs="Arial"/>
                <w:sz w:val="22"/>
                <w:szCs w:val="22"/>
              </w:rPr>
              <w:fldChar w:fldCharType="end"/>
            </w:r>
            <w:bookmarkEnd w:id="29"/>
          </w:p>
        </w:tc>
      </w:tr>
      <w:tr w:rsidR="00AF4326" w:rsidRPr="00533703" w14:paraId="0136D6B0" w14:textId="77777777">
        <w:tc>
          <w:tcPr>
            <w:tcW w:w="5040" w:type="dxa"/>
          </w:tcPr>
          <w:p w14:paraId="0DBDCE9F" w14:textId="77777777" w:rsidR="00AF4326" w:rsidRPr="00533703" w:rsidRDefault="00AF4326" w:rsidP="0002430E">
            <w:pPr>
              <w:rPr>
                <w:rFonts w:ascii="Arial" w:hAnsi="Arial" w:cs="Arial"/>
                <w:sz w:val="22"/>
                <w:szCs w:val="22"/>
              </w:rPr>
            </w:pPr>
            <w:r w:rsidRPr="00533703">
              <w:rPr>
                <w:rFonts w:ascii="Arial" w:hAnsi="Arial" w:cs="Arial"/>
                <w:sz w:val="22"/>
                <w:szCs w:val="22"/>
              </w:rPr>
              <w:t xml:space="preserve">Date Application </w:t>
            </w:r>
            <w:r w:rsidR="00C95903" w:rsidRPr="00533703">
              <w:rPr>
                <w:rFonts w:ascii="Arial" w:hAnsi="Arial" w:cs="Arial"/>
                <w:sz w:val="22"/>
                <w:szCs w:val="22"/>
              </w:rPr>
              <w:t>Receiv</w:t>
            </w:r>
            <w:r w:rsidRPr="00533703">
              <w:rPr>
                <w:rFonts w:ascii="Arial" w:hAnsi="Arial" w:cs="Arial"/>
                <w:sz w:val="22"/>
                <w:szCs w:val="22"/>
              </w:rPr>
              <w:t>ed:</w:t>
            </w:r>
          </w:p>
        </w:tc>
        <w:tc>
          <w:tcPr>
            <w:tcW w:w="5220" w:type="dxa"/>
          </w:tcPr>
          <w:p w14:paraId="45AC61F5" w14:textId="77777777" w:rsidR="00AF4326" w:rsidRPr="00533703" w:rsidRDefault="00D325DF" w:rsidP="006E7A14">
            <w:pPr>
              <w:rPr>
                <w:rFonts w:ascii="Arial" w:hAnsi="Arial" w:cs="Arial"/>
                <w:sz w:val="22"/>
                <w:szCs w:val="22"/>
              </w:rPr>
            </w:pPr>
            <w:r w:rsidRPr="00533703">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0" w:name="Initial_Submit_Date"/>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E7A14" w:rsidRPr="00533703">
              <w:rPr>
                <w:rFonts w:ascii="Arial" w:hAnsi="Arial" w:cs="Arial"/>
                <w:sz w:val="22"/>
                <w:szCs w:val="22"/>
              </w:rPr>
              <w:t>February 17, 2016</w:t>
            </w:r>
            <w:r w:rsidRPr="00533703">
              <w:rPr>
                <w:rFonts w:ascii="Arial" w:hAnsi="Arial" w:cs="Arial"/>
                <w:sz w:val="22"/>
                <w:szCs w:val="22"/>
              </w:rPr>
              <w:fldChar w:fldCharType="end"/>
            </w:r>
            <w:bookmarkEnd w:id="30"/>
          </w:p>
        </w:tc>
      </w:tr>
      <w:tr w:rsidR="00AF4326" w:rsidRPr="00533703" w14:paraId="7B45043E" w14:textId="77777777">
        <w:trPr>
          <w:trHeight w:val="165"/>
        </w:trPr>
        <w:tc>
          <w:tcPr>
            <w:tcW w:w="5040" w:type="dxa"/>
          </w:tcPr>
          <w:p w14:paraId="2FD6D9E2" w14:textId="77777777" w:rsidR="00AF4326" w:rsidRPr="00533703" w:rsidRDefault="00AF4326">
            <w:pPr>
              <w:rPr>
                <w:rFonts w:ascii="Arial" w:hAnsi="Arial" w:cs="Arial"/>
                <w:sz w:val="22"/>
                <w:szCs w:val="22"/>
              </w:rPr>
            </w:pPr>
            <w:r w:rsidRPr="00533703">
              <w:rPr>
                <w:rFonts w:ascii="Arial" w:hAnsi="Arial" w:cs="Arial"/>
                <w:sz w:val="22"/>
                <w:szCs w:val="22"/>
              </w:rPr>
              <w:t>Date Application Was Administratively Complete:</w:t>
            </w:r>
          </w:p>
        </w:tc>
        <w:tc>
          <w:tcPr>
            <w:tcW w:w="5220" w:type="dxa"/>
          </w:tcPr>
          <w:p w14:paraId="60717291" w14:textId="77777777" w:rsidR="00AF4326" w:rsidRPr="00533703" w:rsidRDefault="00AF4326" w:rsidP="006E7A14">
            <w:pPr>
              <w:rPr>
                <w:rFonts w:ascii="Arial" w:hAnsi="Arial" w:cs="Arial"/>
                <w:sz w:val="22"/>
                <w:szCs w:val="22"/>
              </w:rPr>
            </w:pPr>
            <w:r w:rsidRPr="00533703">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1" w:name="AdminCompletedate"/>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006E7A14" w:rsidRPr="00533703">
              <w:rPr>
                <w:rFonts w:ascii="Arial" w:hAnsi="Arial" w:cs="Arial"/>
                <w:sz w:val="22"/>
                <w:szCs w:val="22"/>
              </w:rPr>
              <w:t>February 17, 2016</w:t>
            </w:r>
            <w:r w:rsidRPr="00533703">
              <w:rPr>
                <w:rFonts w:ascii="Arial" w:hAnsi="Arial" w:cs="Arial"/>
                <w:sz w:val="22"/>
                <w:szCs w:val="22"/>
              </w:rPr>
              <w:fldChar w:fldCharType="end"/>
            </w:r>
            <w:bookmarkEnd w:id="31"/>
          </w:p>
        </w:tc>
      </w:tr>
      <w:tr w:rsidR="00AF4326" w:rsidRPr="00533703" w14:paraId="215416BF" w14:textId="77777777">
        <w:trPr>
          <w:trHeight w:val="165"/>
        </w:trPr>
        <w:tc>
          <w:tcPr>
            <w:tcW w:w="5040" w:type="dxa"/>
          </w:tcPr>
          <w:p w14:paraId="21C0C5B2" w14:textId="77777777" w:rsidR="00AF4326" w:rsidRPr="00533703" w:rsidRDefault="00AF4326">
            <w:pPr>
              <w:rPr>
                <w:rFonts w:ascii="Arial" w:hAnsi="Arial" w:cs="Arial"/>
                <w:sz w:val="22"/>
                <w:szCs w:val="22"/>
              </w:rPr>
            </w:pPr>
            <w:r w:rsidRPr="00533703">
              <w:rPr>
                <w:rFonts w:ascii="Arial" w:hAnsi="Arial" w:cs="Arial"/>
                <w:sz w:val="22"/>
                <w:szCs w:val="22"/>
              </w:rPr>
              <w:t>Is Application Shield In Effect</w:t>
            </w:r>
            <w:r w:rsidR="00345D9F" w:rsidRPr="00533703">
              <w:rPr>
                <w:rFonts w:ascii="Arial" w:hAnsi="Arial" w:cs="Arial"/>
                <w:sz w:val="22"/>
                <w:szCs w:val="22"/>
              </w:rPr>
              <w:t>?</w:t>
            </w:r>
          </w:p>
        </w:tc>
        <w:tc>
          <w:tcPr>
            <w:tcW w:w="5220" w:type="dxa"/>
          </w:tcPr>
          <w:p w14:paraId="7B6D0B36" w14:textId="77777777" w:rsidR="00AF4326" w:rsidRPr="00533703" w:rsidRDefault="00AF4326">
            <w:pPr>
              <w:rPr>
                <w:rFonts w:ascii="Arial" w:hAnsi="Arial" w:cs="Arial"/>
                <w:sz w:val="22"/>
                <w:szCs w:val="22"/>
              </w:rPr>
            </w:pPr>
            <w:r w:rsidRPr="00533703">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2" w:name="YesNo"/>
            <w:r w:rsidRPr="00533703">
              <w:rPr>
                <w:rFonts w:ascii="Arial" w:hAnsi="Arial" w:cs="Arial"/>
                <w:sz w:val="22"/>
                <w:szCs w:val="22"/>
              </w:rPr>
              <w:instrText xml:space="preserve"> FORMDROPDOWN </w:instrText>
            </w:r>
            <w:r w:rsidR="004A33DF">
              <w:rPr>
                <w:rFonts w:ascii="Arial" w:hAnsi="Arial" w:cs="Arial"/>
                <w:sz w:val="22"/>
                <w:szCs w:val="22"/>
              </w:rPr>
            </w:r>
            <w:r w:rsidR="004A33DF">
              <w:rPr>
                <w:rFonts w:ascii="Arial" w:hAnsi="Arial" w:cs="Arial"/>
                <w:sz w:val="22"/>
                <w:szCs w:val="22"/>
              </w:rPr>
              <w:fldChar w:fldCharType="separate"/>
            </w:r>
            <w:r w:rsidRPr="00533703">
              <w:rPr>
                <w:rFonts w:ascii="Arial" w:hAnsi="Arial" w:cs="Arial"/>
                <w:sz w:val="22"/>
                <w:szCs w:val="22"/>
              </w:rPr>
              <w:fldChar w:fldCharType="end"/>
            </w:r>
            <w:bookmarkEnd w:id="32"/>
          </w:p>
        </w:tc>
      </w:tr>
      <w:tr w:rsidR="00AF4326" w:rsidRPr="00533703" w14:paraId="2EFC4148" w14:textId="77777777">
        <w:trPr>
          <w:trHeight w:val="165"/>
        </w:trPr>
        <w:tc>
          <w:tcPr>
            <w:tcW w:w="5040" w:type="dxa"/>
          </w:tcPr>
          <w:p w14:paraId="31F9683E" w14:textId="77777777" w:rsidR="00AF4326" w:rsidRPr="00533703" w:rsidRDefault="00AF4326">
            <w:pPr>
              <w:rPr>
                <w:rFonts w:ascii="Arial" w:hAnsi="Arial" w:cs="Arial"/>
                <w:sz w:val="22"/>
                <w:szCs w:val="22"/>
              </w:rPr>
            </w:pPr>
            <w:r w:rsidRPr="00533703">
              <w:rPr>
                <w:rFonts w:ascii="Arial" w:hAnsi="Arial" w:cs="Arial"/>
                <w:sz w:val="22"/>
                <w:szCs w:val="22"/>
              </w:rPr>
              <w:t>Date Public Comment Begins:</w:t>
            </w:r>
          </w:p>
        </w:tc>
        <w:tc>
          <w:tcPr>
            <w:tcW w:w="5220" w:type="dxa"/>
          </w:tcPr>
          <w:p w14:paraId="4820D79B" w14:textId="77777777" w:rsidR="00AF4326" w:rsidRPr="00533703" w:rsidRDefault="00877D6D">
            <w:pPr>
              <w:rPr>
                <w:rFonts w:ascii="Arial" w:hAnsi="Arial" w:cs="Arial"/>
                <w:sz w:val="22"/>
                <w:szCs w:val="22"/>
              </w:rPr>
            </w:pPr>
            <w:r>
              <w:rPr>
                <w:rFonts w:ascii="Arial" w:hAnsi="Arial" w:cs="Arial"/>
                <w:sz w:val="22"/>
                <w:szCs w:val="22"/>
              </w:rPr>
              <w:t>August 7, 2017</w:t>
            </w:r>
          </w:p>
        </w:tc>
      </w:tr>
      <w:tr w:rsidR="00AF4326" w:rsidRPr="00533703" w14:paraId="0865A86A" w14:textId="77777777">
        <w:tc>
          <w:tcPr>
            <w:tcW w:w="5040" w:type="dxa"/>
          </w:tcPr>
          <w:p w14:paraId="1E61372F" w14:textId="77777777" w:rsidR="00AF4326" w:rsidRPr="00533703" w:rsidRDefault="00AF4326">
            <w:pPr>
              <w:rPr>
                <w:rFonts w:ascii="Arial" w:hAnsi="Arial" w:cs="Arial"/>
                <w:sz w:val="22"/>
                <w:szCs w:val="22"/>
              </w:rPr>
            </w:pPr>
            <w:r w:rsidRPr="00533703">
              <w:rPr>
                <w:rFonts w:ascii="Arial" w:hAnsi="Arial" w:cs="Arial"/>
                <w:sz w:val="22"/>
                <w:szCs w:val="22"/>
              </w:rPr>
              <w:t>Deadline for Public Comment:</w:t>
            </w:r>
          </w:p>
        </w:tc>
        <w:tc>
          <w:tcPr>
            <w:tcW w:w="5220" w:type="dxa"/>
          </w:tcPr>
          <w:p w14:paraId="128EB941" w14:textId="77777777" w:rsidR="00AF4326" w:rsidRPr="00533703" w:rsidRDefault="00877D6D">
            <w:pPr>
              <w:rPr>
                <w:rFonts w:ascii="Arial" w:hAnsi="Arial" w:cs="Arial"/>
                <w:sz w:val="22"/>
                <w:szCs w:val="22"/>
              </w:rPr>
            </w:pPr>
            <w:r>
              <w:rPr>
                <w:rFonts w:ascii="Arial" w:hAnsi="Arial" w:cs="Arial"/>
                <w:sz w:val="22"/>
                <w:szCs w:val="22"/>
              </w:rPr>
              <w:fldChar w:fldCharType="begin">
                <w:ffData>
                  <w:name w:val="PC_End_Date_Initial"/>
                  <w:enabled/>
                  <w:calcOnExit/>
                  <w:statusText w:type="text" w:val="Enter the deadline for public comment.  This should be 30 days after the date on which the public comment period commenced."/>
                  <w:textInput>
                    <w:default w:val="September 9, 2017"/>
                  </w:textInput>
                </w:ffData>
              </w:fldChar>
            </w:r>
            <w:bookmarkStart w:id="33" w:name="PC_End_Date_Initia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A5C18">
              <w:rPr>
                <w:rFonts w:ascii="Arial" w:hAnsi="Arial" w:cs="Arial"/>
                <w:noProof/>
                <w:sz w:val="22"/>
                <w:szCs w:val="22"/>
              </w:rPr>
              <w:t>September 9, 2017</w:t>
            </w:r>
            <w:r>
              <w:rPr>
                <w:rFonts w:ascii="Arial" w:hAnsi="Arial" w:cs="Arial"/>
                <w:sz w:val="22"/>
                <w:szCs w:val="22"/>
              </w:rPr>
              <w:fldChar w:fldCharType="end"/>
            </w:r>
            <w:bookmarkEnd w:id="33"/>
          </w:p>
        </w:tc>
      </w:tr>
    </w:tbl>
    <w:p w14:paraId="3EFAAE05" w14:textId="77777777" w:rsidR="00AF4326" w:rsidRPr="00533703" w:rsidRDefault="00AF4326">
      <w:pPr>
        <w:rPr>
          <w:rFonts w:ascii="Arial" w:hAnsi="Arial" w:cs="Arial"/>
          <w:b/>
          <w:sz w:val="22"/>
          <w:szCs w:val="22"/>
          <w:u w:val="single"/>
        </w:rPr>
      </w:pPr>
    </w:p>
    <w:p w14:paraId="31F2C28B" w14:textId="77777777" w:rsidR="00AF4326" w:rsidRPr="00533703" w:rsidRDefault="00AF4326">
      <w:pPr>
        <w:rPr>
          <w:rFonts w:ascii="Arial" w:hAnsi="Arial" w:cs="Arial"/>
          <w:b/>
          <w:sz w:val="22"/>
          <w:szCs w:val="22"/>
          <w:u w:val="single"/>
        </w:rPr>
      </w:pPr>
      <w:bookmarkStart w:id="34" w:name="_Toc480946818"/>
      <w:bookmarkStart w:id="35" w:name="_Toc482691113"/>
      <w:r w:rsidRPr="00533703">
        <w:rPr>
          <w:rFonts w:ascii="Arial" w:hAnsi="Arial" w:cs="Arial"/>
          <w:b/>
          <w:sz w:val="22"/>
          <w:szCs w:val="22"/>
          <w:u w:val="single"/>
        </w:rPr>
        <w:br w:type="page"/>
      </w:r>
      <w:r w:rsidRPr="00533703">
        <w:rPr>
          <w:rFonts w:ascii="Arial" w:hAnsi="Arial" w:cs="Arial"/>
          <w:b/>
          <w:sz w:val="22"/>
          <w:szCs w:val="22"/>
          <w:u w:val="single"/>
        </w:rPr>
        <w:lastRenderedPageBreak/>
        <w:t>Source Description</w:t>
      </w:r>
      <w:bookmarkEnd w:id="34"/>
      <w:bookmarkEnd w:id="35"/>
    </w:p>
    <w:p w14:paraId="491E2856" w14:textId="77777777" w:rsidR="00AF4326" w:rsidRPr="00533703" w:rsidRDefault="00AF4326">
      <w:pPr>
        <w:rPr>
          <w:rFonts w:ascii="Arial" w:hAnsi="Arial" w:cs="Arial"/>
          <w:sz w:val="22"/>
          <w:szCs w:val="22"/>
        </w:rPr>
      </w:pPr>
    </w:p>
    <w:p w14:paraId="24FE3CEA" w14:textId="467885DA" w:rsidR="00A674B9" w:rsidRPr="00533703" w:rsidRDefault="00704DC1" w:rsidP="004551A7">
      <w:pPr>
        <w:jc w:val="both"/>
        <w:rPr>
          <w:rFonts w:ascii="Arial" w:hAnsi="Arial" w:cs="Arial"/>
          <w:sz w:val="22"/>
          <w:szCs w:val="22"/>
        </w:rPr>
      </w:pPr>
      <w:r w:rsidRPr="00C00354">
        <w:rPr>
          <w:rFonts w:ascii="Arial" w:hAnsi="Arial" w:cs="Arial"/>
          <w:sz w:val="22"/>
          <w:szCs w:val="22"/>
        </w:rPr>
        <w:t xml:space="preserve">DTE Electric </w:t>
      </w:r>
      <w:r w:rsidR="004551A7" w:rsidRPr="00C00354">
        <w:rPr>
          <w:rFonts w:ascii="Arial" w:hAnsi="Arial" w:cs="Arial"/>
          <w:sz w:val="22"/>
          <w:szCs w:val="22"/>
        </w:rPr>
        <w:t>Company</w:t>
      </w:r>
      <w:r w:rsidR="004551A7" w:rsidRPr="002C02F8">
        <w:rPr>
          <w:rFonts w:ascii="Arial" w:hAnsi="Arial" w:cs="Arial"/>
          <w:sz w:val="22"/>
          <w:szCs w:val="22"/>
        </w:rPr>
        <w:t xml:space="preserve"> is engaged in the generation of electricity for sale. Greenwood Energy Center,</w:t>
      </w:r>
      <w:r w:rsidR="004551A7" w:rsidRPr="00533703">
        <w:rPr>
          <w:rFonts w:ascii="Arial" w:hAnsi="Arial" w:cs="Arial"/>
          <w:sz w:val="22"/>
          <w:szCs w:val="22"/>
        </w:rPr>
        <w:t xml:space="preserve"> located at 7000 Kilgore Road</w:t>
      </w:r>
      <w:r w:rsidR="00972022">
        <w:rPr>
          <w:rFonts w:ascii="Arial" w:hAnsi="Arial" w:cs="Arial"/>
          <w:sz w:val="22"/>
          <w:szCs w:val="22"/>
        </w:rPr>
        <w:t>,</w:t>
      </w:r>
      <w:r w:rsidR="004551A7" w:rsidRPr="00533703">
        <w:rPr>
          <w:rFonts w:ascii="Arial" w:hAnsi="Arial" w:cs="Arial"/>
          <w:sz w:val="22"/>
          <w:szCs w:val="22"/>
        </w:rPr>
        <w:t xml:space="preserve"> is an electric generating facility which operates</w:t>
      </w:r>
      <w:r w:rsidR="00A674B9" w:rsidRPr="00533703">
        <w:rPr>
          <w:rFonts w:ascii="Arial" w:hAnsi="Arial" w:cs="Arial"/>
          <w:sz w:val="22"/>
          <w:szCs w:val="22"/>
        </w:rPr>
        <w:t xml:space="preserve"> the following emission units:</w:t>
      </w:r>
    </w:p>
    <w:p w14:paraId="4873B666" w14:textId="77777777" w:rsidR="00A674B9" w:rsidRPr="00533703" w:rsidRDefault="008A26B0" w:rsidP="008A26B0">
      <w:pPr>
        <w:pStyle w:val="ListParagraph"/>
        <w:numPr>
          <w:ilvl w:val="0"/>
          <w:numId w:val="12"/>
        </w:numPr>
        <w:jc w:val="both"/>
        <w:rPr>
          <w:rFonts w:ascii="Arial" w:hAnsi="Arial" w:cs="Arial"/>
          <w:sz w:val="22"/>
          <w:szCs w:val="22"/>
        </w:rPr>
      </w:pPr>
      <w:r w:rsidRPr="00533703">
        <w:rPr>
          <w:rFonts w:ascii="Arial" w:hAnsi="Arial" w:cs="Arial"/>
          <w:sz w:val="22"/>
          <w:szCs w:val="22"/>
        </w:rPr>
        <w:t xml:space="preserve">EUBOILER1: </w:t>
      </w:r>
      <w:r w:rsidR="00972022">
        <w:rPr>
          <w:rFonts w:ascii="Arial" w:hAnsi="Arial" w:cs="Arial"/>
          <w:sz w:val="22"/>
          <w:szCs w:val="22"/>
        </w:rPr>
        <w:t xml:space="preserve"> </w:t>
      </w:r>
      <w:r w:rsidRPr="00533703">
        <w:rPr>
          <w:rFonts w:ascii="Arial" w:hAnsi="Arial" w:cs="Arial"/>
          <w:sz w:val="22"/>
          <w:szCs w:val="22"/>
        </w:rPr>
        <w:t>o</w:t>
      </w:r>
      <w:r w:rsidR="00A674B9" w:rsidRPr="00533703">
        <w:rPr>
          <w:rFonts w:ascii="Arial" w:hAnsi="Arial" w:cs="Arial"/>
          <w:sz w:val="22"/>
          <w:szCs w:val="22"/>
        </w:rPr>
        <w:t xml:space="preserve">ne </w:t>
      </w:r>
      <w:r w:rsidR="004551A7" w:rsidRPr="00533703">
        <w:rPr>
          <w:rFonts w:ascii="Arial" w:hAnsi="Arial" w:cs="Arial"/>
          <w:sz w:val="22"/>
          <w:szCs w:val="22"/>
        </w:rPr>
        <w:t>785-Megawatt gross output boiler-electric generator</w:t>
      </w:r>
      <w:r w:rsidR="00F1640E" w:rsidRPr="00533703">
        <w:rPr>
          <w:rFonts w:ascii="Arial" w:hAnsi="Arial" w:cs="Arial"/>
          <w:sz w:val="22"/>
          <w:szCs w:val="22"/>
        </w:rPr>
        <w:t>.</w:t>
      </w:r>
      <w:r w:rsidR="00972022">
        <w:rPr>
          <w:rFonts w:ascii="Arial" w:hAnsi="Arial" w:cs="Arial"/>
          <w:sz w:val="22"/>
          <w:szCs w:val="22"/>
        </w:rPr>
        <w:t xml:space="preserve"> </w:t>
      </w:r>
      <w:r w:rsidR="004551A7" w:rsidRPr="00533703">
        <w:rPr>
          <w:rFonts w:ascii="Arial" w:hAnsi="Arial" w:cs="Arial"/>
          <w:sz w:val="22"/>
          <w:szCs w:val="22"/>
        </w:rPr>
        <w:t xml:space="preserve"> </w:t>
      </w:r>
      <w:r w:rsidR="00F1640E" w:rsidRPr="00533703">
        <w:rPr>
          <w:rFonts w:ascii="Arial" w:hAnsi="Arial" w:cs="Arial"/>
          <w:sz w:val="22"/>
          <w:szCs w:val="22"/>
        </w:rPr>
        <w:t xml:space="preserve">The main boiler can be fired on any combination of natural gas, residual oil, distillate oil, and recycled used oil. </w:t>
      </w:r>
    </w:p>
    <w:p w14:paraId="1A293548" w14:textId="782B199B" w:rsidR="00A674B9" w:rsidRPr="00533703" w:rsidRDefault="008A26B0" w:rsidP="008A26B0">
      <w:pPr>
        <w:pStyle w:val="ListParagraph"/>
        <w:numPr>
          <w:ilvl w:val="0"/>
          <w:numId w:val="12"/>
        </w:numPr>
        <w:jc w:val="both"/>
        <w:rPr>
          <w:rFonts w:ascii="Arial" w:hAnsi="Arial" w:cs="Arial"/>
          <w:sz w:val="22"/>
          <w:szCs w:val="22"/>
        </w:rPr>
      </w:pPr>
      <w:r w:rsidRPr="00533703">
        <w:rPr>
          <w:rFonts w:ascii="Arial" w:hAnsi="Arial" w:cs="Arial"/>
          <w:sz w:val="22"/>
          <w:szCs w:val="22"/>
        </w:rPr>
        <w:t xml:space="preserve">EUEASTAUXBOILER: </w:t>
      </w:r>
      <w:r w:rsidR="00972022">
        <w:rPr>
          <w:rFonts w:ascii="Arial" w:hAnsi="Arial" w:cs="Arial"/>
          <w:sz w:val="22"/>
          <w:szCs w:val="22"/>
        </w:rPr>
        <w:t xml:space="preserve"> </w:t>
      </w:r>
      <w:r w:rsidRPr="00533703">
        <w:rPr>
          <w:rFonts w:ascii="Arial" w:hAnsi="Arial" w:cs="Arial"/>
          <w:sz w:val="22"/>
          <w:szCs w:val="22"/>
        </w:rPr>
        <w:t>o</w:t>
      </w:r>
      <w:r w:rsidR="00A674B9" w:rsidRPr="00533703">
        <w:rPr>
          <w:rFonts w:ascii="Arial" w:hAnsi="Arial" w:cs="Arial"/>
          <w:sz w:val="22"/>
          <w:szCs w:val="22"/>
        </w:rPr>
        <w:t>ne</w:t>
      </w:r>
      <w:r w:rsidR="004551A7" w:rsidRPr="00533703">
        <w:rPr>
          <w:rFonts w:ascii="Arial" w:hAnsi="Arial" w:cs="Arial"/>
          <w:sz w:val="22"/>
          <w:szCs w:val="22"/>
        </w:rPr>
        <w:t xml:space="preserve"> auxiliary boiler</w:t>
      </w:r>
      <w:r w:rsidR="00A674B9" w:rsidRPr="00533703">
        <w:rPr>
          <w:rFonts w:ascii="Arial" w:hAnsi="Arial" w:cs="Arial"/>
          <w:sz w:val="22"/>
          <w:szCs w:val="22"/>
        </w:rPr>
        <w:t xml:space="preserve"> rated at 181.4 MMBtu per hour heat input, which is fired with pipeline natural gas</w:t>
      </w:r>
      <w:r w:rsidR="009D0FA7">
        <w:rPr>
          <w:rFonts w:ascii="Arial" w:hAnsi="Arial" w:cs="Arial"/>
          <w:sz w:val="22"/>
          <w:szCs w:val="22"/>
        </w:rPr>
        <w:t>.</w:t>
      </w:r>
    </w:p>
    <w:p w14:paraId="39EDD6E9" w14:textId="77777777" w:rsidR="00A674B9" w:rsidRPr="00533703" w:rsidRDefault="008A26B0" w:rsidP="008A26B0">
      <w:pPr>
        <w:pStyle w:val="ListParagraph"/>
        <w:numPr>
          <w:ilvl w:val="0"/>
          <w:numId w:val="12"/>
        </w:numPr>
        <w:jc w:val="both"/>
        <w:rPr>
          <w:rFonts w:ascii="Arial" w:hAnsi="Arial" w:cs="Arial"/>
          <w:sz w:val="22"/>
          <w:szCs w:val="22"/>
        </w:rPr>
      </w:pPr>
      <w:r w:rsidRPr="00533703">
        <w:rPr>
          <w:rFonts w:ascii="Arial" w:hAnsi="Arial" w:cs="Arial"/>
          <w:sz w:val="22"/>
          <w:szCs w:val="22"/>
        </w:rPr>
        <w:t xml:space="preserve">EUWESTAUXBOILER: </w:t>
      </w:r>
      <w:r w:rsidR="00972022">
        <w:rPr>
          <w:rFonts w:ascii="Arial" w:hAnsi="Arial" w:cs="Arial"/>
          <w:sz w:val="22"/>
          <w:szCs w:val="22"/>
        </w:rPr>
        <w:t xml:space="preserve"> </w:t>
      </w:r>
      <w:r w:rsidRPr="00533703">
        <w:rPr>
          <w:rFonts w:ascii="Arial" w:hAnsi="Arial" w:cs="Arial"/>
          <w:sz w:val="22"/>
          <w:szCs w:val="22"/>
        </w:rPr>
        <w:t>o</w:t>
      </w:r>
      <w:r w:rsidR="00A674B9" w:rsidRPr="00533703">
        <w:rPr>
          <w:rFonts w:ascii="Arial" w:hAnsi="Arial" w:cs="Arial"/>
          <w:sz w:val="22"/>
          <w:szCs w:val="22"/>
        </w:rPr>
        <w:t>ne auxiliary boiler rated at 173 MMBtu per hour heat input, which is fired with No. 2, No. 6 fuel oil or blends thereof</w:t>
      </w:r>
      <w:r w:rsidR="00972022">
        <w:rPr>
          <w:rFonts w:ascii="Arial" w:hAnsi="Arial" w:cs="Arial"/>
          <w:sz w:val="22"/>
          <w:szCs w:val="22"/>
        </w:rPr>
        <w:t>.</w:t>
      </w:r>
      <w:r w:rsidRPr="00533703">
        <w:rPr>
          <w:rFonts w:ascii="Arial" w:hAnsi="Arial" w:cs="Arial"/>
          <w:sz w:val="22"/>
          <w:szCs w:val="22"/>
        </w:rPr>
        <w:t xml:space="preserve">  This is an existing major source boiler as defined in 40 CFR 63.7575.</w:t>
      </w:r>
    </w:p>
    <w:p w14:paraId="745A749E" w14:textId="5E0BBDD1" w:rsidR="00A674B9" w:rsidRPr="00533703" w:rsidRDefault="008A26B0" w:rsidP="00431B01">
      <w:pPr>
        <w:pStyle w:val="ListParagraph"/>
        <w:numPr>
          <w:ilvl w:val="0"/>
          <w:numId w:val="12"/>
        </w:numPr>
        <w:jc w:val="both"/>
        <w:rPr>
          <w:rFonts w:ascii="Arial" w:hAnsi="Arial" w:cs="Arial"/>
          <w:sz w:val="22"/>
          <w:szCs w:val="22"/>
        </w:rPr>
      </w:pPr>
      <w:r w:rsidRPr="00533703">
        <w:rPr>
          <w:rFonts w:ascii="Arial" w:hAnsi="Arial" w:cs="Arial"/>
          <w:sz w:val="22"/>
          <w:szCs w:val="22"/>
        </w:rPr>
        <w:t>EUCOLDCLEANER:</w:t>
      </w:r>
      <w:r w:rsidR="00972022">
        <w:rPr>
          <w:rFonts w:ascii="Arial" w:hAnsi="Arial" w:cs="Arial"/>
          <w:sz w:val="22"/>
          <w:szCs w:val="22"/>
        </w:rPr>
        <w:t xml:space="preserve"> </w:t>
      </w:r>
      <w:r w:rsidRPr="00533703">
        <w:rPr>
          <w:rFonts w:ascii="Arial" w:hAnsi="Arial" w:cs="Arial"/>
          <w:sz w:val="22"/>
          <w:szCs w:val="22"/>
        </w:rPr>
        <w:t xml:space="preserve"> Any new cold cleaner exempt from NSR (new source review) permitting</w:t>
      </w:r>
      <w:r w:rsidR="009D0FA7">
        <w:rPr>
          <w:rFonts w:ascii="Arial" w:hAnsi="Arial" w:cs="Arial"/>
          <w:sz w:val="22"/>
          <w:szCs w:val="22"/>
        </w:rPr>
        <w:t>.</w:t>
      </w:r>
    </w:p>
    <w:p w14:paraId="4D38D8A5" w14:textId="2DBA1C11" w:rsidR="00431B01" w:rsidRPr="00533703" w:rsidRDefault="00431B01" w:rsidP="00431B01">
      <w:pPr>
        <w:pStyle w:val="ListParagraph"/>
        <w:numPr>
          <w:ilvl w:val="0"/>
          <w:numId w:val="12"/>
        </w:numPr>
        <w:jc w:val="both"/>
        <w:rPr>
          <w:rFonts w:ascii="Arial" w:hAnsi="Arial" w:cs="Arial"/>
          <w:sz w:val="22"/>
          <w:szCs w:val="22"/>
        </w:rPr>
      </w:pPr>
      <w:r w:rsidRPr="00533703">
        <w:rPr>
          <w:rFonts w:ascii="Arial" w:hAnsi="Arial" w:cs="Arial"/>
          <w:sz w:val="22"/>
          <w:szCs w:val="22"/>
        </w:rPr>
        <w:t xml:space="preserve">FGCOLDCLEANERS: </w:t>
      </w:r>
      <w:r w:rsidR="00972022">
        <w:rPr>
          <w:rFonts w:ascii="Arial" w:hAnsi="Arial" w:cs="Arial"/>
          <w:sz w:val="22"/>
          <w:szCs w:val="22"/>
        </w:rPr>
        <w:t xml:space="preserve"> </w:t>
      </w:r>
      <w:r w:rsidRPr="00533703">
        <w:rPr>
          <w:rFonts w:ascii="Arial" w:hAnsi="Arial" w:cs="Arial"/>
          <w:sz w:val="22"/>
          <w:szCs w:val="22"/>
        </w:rPr>
        <w:t xml:space="preserve">Any new cold cleaner (placed into operation after 7/1/79) that is exempt </w:t>
      </w:r>
      <w:r w:rsidRPr="002C02F8">
        <w:rPr>
          <w:rFonts w:ascii="Arial" w:hAnsi="Arial" w:cs="Arial"/>
          <w:sz w:val="22"/>
          <w:szCs w:val="22"/>
        </w:rPr>
        <w:t xml:space="preserve">from NSR permitting by </w:t>
      </w:r>
      <w:r w:rsidRPr="00C00354">
        <w:rPr>
          <w:rFonts w:ascii="Arial" w:hAnsi="Arial" w:cs="Arial"/>
          <w:sz w:val="22"/>
          <w:szCs w:val="22"/>
        </w:rPr>
        <w:t>R 336.1281</w:t>
      </w:r>
      <w:r w:rsidR="00804B39" w:rsidRPr="00C00354">
        <w:rPr>
          <w:rFonts w:ascii="Arial" w:hAnsi="Arial" w:cs="Arial"/>
          <w:sz w:val="22"/>
          <w:szCs w:val="22"/>
        </w:rPr>
        <w:t>(2)</w:t>
      </w:r>
      <w:r w:rsidRPr="00C00354">
        <w:rPr>
          <w:rFonts w:ascii="Arial" w:hAnsi="Arial" w:cs="Arial"/>
          <w:sz w:val="22"/>
          <w:szCs w:val="22"/>
        </w:rPr>
        <w:t>(h)</w:t>
      </w:r>
      <w:r w:rsidRPr="002C02F8">
        <w:rPr>
          <w:rFonts w:ascii="Arial" w:hAnsi="Arial" w:cs="Arial"/>
          <w:sz w:val="22"/>
          <w:szCs w:val="22"/>
        </w:rPr>
        <w:t xml:space="preserve"> or R</w:t>
      </w:r>
      <w:r w:rsidRPr="00533703">
        <w:rPr>
          <w:rFonts w:ascii="Arial" w:hAnsi="Arial" w:cs="Arial"/>
          <w:sz w:val="22"/>
          <w:szCs w:val="22"/>
        </w:rPr>
        <w:t xml:space="preserve"> 336.1285</w:t>
      </w:r>
      <w:r w:rsidR="00804B39">
        <w:rPr>
          <w:rFonts w:ascii="Arial" w:hAnsi="Arial" w:cs="Arial"/>
          <w:sz w:val="22"/>
          <w:szCs w:val="22"/>
        </w:rPr>
        <w:t>(2)</w:t>
      </w:r>
      <w:r w:rsidRPr="00533703">
        <w:rPr>
          <w:rFonts w:ascii="Arial" w:hAnsi="Arial" w:cs="Arial"/>
          <w:sz w:val="22"/>
          <w:szCs w:val="22"/>
        </w:rPr>
        <w:t>(r)(iv).</w:t>
      </w:r>
    </w:p>
    <w:p w14:paraId="4BF39261" w14:textId="758FA3AF" w:rsidR="00C432FE" w:rsidRPr="00533703" w:rsidRDefault="007939DE" w:rsidP="00C432FE">
      <w:pPr>
        <w:pStyle w:val="ListParagraph"/>
        <w:numPr>
          <w:ilvl w:val="0"/>
          <w:numId w:val="12"/>
        </w:numPr>
        <w:jc w:val="both"/>
        <w:rPr>
          <w:rFonts w:ascii="Arial" w:hAnsi="Arial" w:cs="Arial"/>
          <w:sz w:val="22"/>
          <w:szCs w:val="22"/>
        </w:rPr>
      </w:pPr>
      <w:r w:rsidRPr="00C00354">
        <w:rPr>
          <w:rFonts w:ascii="Arial" w:hAnsi="Arial" w:cs="Arial"/>
          <w:sz w:val="22"/>
          <w:szCs w:val="22"/>
        </w:rPr>
        <w:t>EU-</w:t>
      </w:r>
      <w:r w:rsidR="00C432FE" w:rsidRPr="00C00354">
        <w:rPr>
          <w:rFonts w:ascii="Arial" w:hAnsi="Arial" w:cs="Arial"/>
          <w:sz w:val="22"/>
          <w:szCs w:val="22"/>
        </w:rPr>
        <w:t>GDF</w:t>
      </w:r>
      <w:r w:rsidR="00C432FE" w:rsidRPr="00533703">
        <w:rPr>
          <w:rFonts w:ascii="Arial" w:hAnsi="Arial" w:cs="Arial"/>
          <w:sz w:val="22"/>
          <w:szCs w:val="22"/>
        </w:rPr>
        <w:t>: Existing and new/reconstructed stationary gasoline dispensing facilities that have a maximum monthly gasoline throughput of 10,000 gallons and located at an area source of hazardous air pollutants (HAPs).</w:t>
      </w:r>
    </w:p>
    <w:p w14:paraId="63834C48" w14:textId="77777777" w:rsidR="004013EF" w:rsidRDefault="00431B01" w:rsidP="009D3660">
      <w:pPr>
        <w:pStyle w:val="ListParagraph"/>
        <w:numPr>
          <w:ilvl w:val="0"/>
          <w:numId w:val="12"/>
        </w:numPr>
        <w:jc w:val="both"/>
        <w:rPr>
          <w:rFonts w:ascii="Arial" w:hAnsi="Arial" w:cs="Arial"/>
          <w:sz w:val="22"/>
          <w:szCs w:val="22"/>
        </w:rPr>
      </w:pPr>
      <w:r w:rsidRPr="004013EF">
        <w:rPr>
          <w:rFonts w:ascii="Arial" w:hAnsi="Arial" w:cs="Arial"/>
          <w:sz w:val="22"/>
          <w:szCs w:val="22"/>
        </w:rPr>
        <w:t xml:space="preserve">FGRULE290: </w:t>
      </w:r>
      <w:r w:rsidR="00972022" w:rsidRPr="004013EF">
        <w:rPr>
          <w:rFonts w:ascii="Arial" w:hAnsi="Arial" w:cs="Arial"/>
          <w:sz w:val="22"/>
          <w:szCs w:val="22"/>
        </w:rPr>
        <w:t xml:space="preserve"> </w:t>
      </w:r>
      <w:r w:rsidR="004013EF" w:rsidRPr="004013EF">
        <w:rPr>
          <w:rFonts w:ascii="Arial" w:hAnsi="Arial" w:cs="Arial"/>
          <w:sz w:val="22"/>
          <w:szCs w:val="22"/>
        </w:rPr>
        <w:t>Any emission unit that emits air contaminants and is exempt from the requirements of Rule 201; pursuant to Rules 278, 278a and 290.</w:t>
      </w:r>
    </w:p>
    <w:p w14:paraId="6AA7C84F" w14:textId="6E08D293" w:rsidR="004551A7" w:rsidRPr="004013EF" w:rsidRDefault="00F1640E" w:rsidP="009D3660">
      <w:pPr>
        <w:pStyle w:val="ListParagraph"/>
        <w:numPr>
          <w:ilvl w:val="0"/>
          <w:numId w:val="12"/>
        </w:numPr>
        <w:jc w:val="both"/>
        <w:rPr>
          <w:rFonts w:ascii="Arial" w:hAnsi="Arial" w:cs="Arial"/>
          <w:sz w:val="22"/>
          <w:szCs w:val="22"/>
        </w:rPr>
      </w:pPr>
      <w:r w:rsidRPr="004013EF">
        <w:rPr>
          <w:rFonts w:ascii="Arial" w:hAnsi="Arial" w:cs="Arial"/>
          <w:sz w:val="22"/>
          <w:szCs w:val="22"/>
        </w:rPr>
        <w:t>EUCTG11-1, EUCTG11-2 and EUCTG12-1:</w:t>
      </w:r>
      <w:r w:rsidR="00972022" w:rsidRPr="004013EF">
        <w:rPr>
          <w:rFonts w:ascii="Arial" w:hAnsi="Arial" w:cs="Arial"/>
          <w:sz w:val="22"/>
          <w:szCs w:val="22"/>
        </w:rPr>
        <w:t xml:space="preserve"> </w:t>
      </w:r>
      <w:r w:rsidRPr="004013EF">
        <w:rPr>
          <w:rFonts w:ascii="Arial" w:hAnsi="Arial" w:cs="Arial"/>
          <w:sz w:val="22"/>
          <w:szCs w:val="22"/>
        </w:rPr>
        <w:t xml:space="preserve"> </w:t>
      </w:r>
      <w:r w:rsidR="004551A7" w:rsidRPr="004013EF">
        <w:rPr>
          <w:rFonts w:ascii="Arial" w:hAnsi="Arial" w:cs="Arial"/>
          <w:sz w:val="22"/>
          <w:szCs w:val="22"/>
        </w:rPr>
        <w:t xml:space="preserve">three </w:t>
      </w:r>
      <w:r w:rsidR="00D950FD" w:rsidRPr="004013EF">
        <w:rPr>
          <w:rFonts w:ascii="Arial" w:hAnsi="Arial" w:cs="Arial"/>
          <w:sz w:val="22"/>
          <w:szCs w:val="22"/>
        </w:rPr>
        <w:t>combustion turbine generator peaking units.  Each unit is rated at 82.4 MW (megawatts).</w:t>
      </w:r>
      <w:r w:rsidR="00972022" w:rsidRPr="004013EF">
        <w:rPr>
          <w:rFonts w:ascii="Arial" w:hAnsi="Arial" w:cs="Arial"/>
          <w:sz w:val="22"/>
          <w:szCs w:val="22"/>
        </w:rPr>
        <w:t xml:space="preserve"> </w:t>
      </w:r>
      <w:r w:rsidR="00D950FD" w:rsidRPr="004013EF">
        <w:rPr>
          <w:rFonts w:ascii="Arial" w:hAnsi="Arial" w:cs="Arial"/>
          <w:sz w:val="22"/>
          <w:szCs w:val="22"/>
        </w:rPr>
        <w:t xml:space="preserve"> These units are natural gas-fired, simple-cycle turbines each with a dry low-NOx combustor.</w:t>
      </w:r>
    </w:p>
    <w:p w14:paraId="41BC8126" w14:textId="00602F10" w:rsidR="00B702C5" w:rsidRPr="00533703" w:rsidRDefault="00B702C5" w:rsidP="00B702C5">
      <w:pPr>
        <w:pStyle w:val="ListParagraph"/>
        <w:numPr>
          <w:ilvl w:val="0"/>
          <w:numId w:val="12"/>
        </w:numPr>
        <w:jc w:val="both"/>
        <w:rPr>
          <w:rFonts w:ascii="Arial" w:hAnsi="Arial" w:cs="Arial"/>
          <w:sz w:val="22"/>
          <w:szCs w:val="22"/>
        </w:rPr>
      </w:pPr>
      <w:r w:rsidRPr="00B702C5">
        <w:rPr>
          <w:rFonts w:ascii="Arial" w:hAnsi="Arial" w:cs="Arial"/>
          <w:sz w:val="22"/>
          <w:szCs w:val="22"/>
        </w:rPr>
        <w:t>EUEMGFIREPUMP</w:t>
      </w:r>
      <w:r>
        <w:rPr>
          <w:rFonts w:ascii="Arial" w:hAnsi="Arial" w:cs="Arial"/>
          <w:sz w:val="22"/>
          <w:szCs w:val="22"/>
        </w:rPr>
        <w:t xml:space="preserve">: </w:t>
      </w:r>
      <w:r w:rsidR="00972022">
        <w:rPr>
          <w:rFonts w:ascii="Arial" w:hAnsi="Arial" w:cs="Arial"/>
          <w:sz w:val="22"/>
          <w:szCs w:val="22"/>
        </w:rPr>
        <w:t xml:space="preserve"> </w:t>
      </w:r>
      <w:r w:rsidRPr="00B702C5">
        <w:rPr>
          <w:rFonts w:ascii="Arial" w:hAnsi="Arial" w:cs="Arial"/>
          <w:sz w:val="22"/>
          <w:szCs w:val="22"/>
        </w:rPr>
        <w:t xml:space="preserve">Emergency fire pump exempt from R 336.1201 per </w:t>
      </w:r>
      <w:r w:rsidRPr="00CB0D8B">
        <w:rPr>
          <w:rFonts w:ascii="Arial" w:hAnsi="Arial" w:cs="Arial"/>
          <w:sz w:val="22"/>
          <w:szCs w:val="22"/>
        </w:rPr>
        <w:t>R 336.1285</w:t>
      </w:r>
      <w:r w:rsidR="00804B39" w:rsidRPr="00CB0D8B">
        <w:rPr>
          <w:rFonts w:ascii="Arial" w:hAnsi="Arial" w:cs="Arial"/>
          <w:sz w:val="22"/>
          <w:szCs w:val="22"/>
        </w:rPr>
        <w:t>(2)</w:t>
      </w:r>
      <w:r w:rsidRPr="00CB0D8B">
        <w:rPr>
          <w:rFonts w:ascii="Arial" w:hAnsi="Arial" w:cs="Arial"/>
          <w:sz w:val="22"/>
          <w:szCs w:val="22"/>
        </w:rPr>
        <w:t>(g</w:t>
      </w:r>
      <w:r w:rsidRPr="00B702C5">
        <w:rPr>
          <w:rFonts w:ascii="Arial" w:hAnsi="Arial" w:cs="Arial"/>
          <w:sz w:val="22"/>
          <w:szCs w:val="22"/>
        </w:rPr>
        <w:t xml:space="preserve">) for internal combustion engines that have less than 10,000,000 Btu/hour maximum heat input.  This engine is subject to 40 CFR Part 60 Subpart IIII Standards of Performance for Stationary Compression Ignition Internal Combustion Engines.  This engine was manufactured on </w:t>
      </w:r>
      <w:r w:rsidR="00972022">
        <w:rPr>
          <w:rFonts w:ascii="Arial" w:hAnsi="Arial" w:cs="Arial"/>
          <w:sz w:val="22"/>
          <w:szCs w:val="22"/>
        </w:rPr>
        <w:t xml:space="preserve">April 14, </w:t>
      </w:r>
      <w:r w:rsidRPr="00B702C5">
        <w:rPr>
          <w:rFonts w:ascii="Arial" w:hAnsi="Arial" w:cs="Arial"/>
          <w:sz w:val="22"/>
          <w:szCs w:val="22"/>
        </w:rPr>
        <w:t>2016.</w:t>
      </w:r>
      <w:r w:rsidR="00972022">
        <w:rPr>
          <w:rFonts w:ascii="Arial" w:hAnsi="Arial" w:cs="Arial"/>
          <w:sz w:val="22"/>
          <w:szCs w:val="22"/>
        </w:rPr>
        <w:t xml:space="preserve"> </w:t>
      </w:r>
      <w:r w:rsidRPr="00B702C5">
        <w:rPr>
          <w:rFonts w:ascii="Arial" w:hAnsi="Arial" w:cs="Arial"/>
          <w:sz w:val="22"/>
          <w:szCs w:val="22"/>
        </w:rPr>
        <w:t xml:space="preserve"> Non-road diesel fueled compression ignition, 4-cycle, and in-line 6-cylinder engine with 8.9 liter total cylinder displacement. </w:t>
      </w:r>
      <w:r w:rsidR="00972022">
        <w:rPr>
          <w:rFonts w:ascii="Arial" w:hAnsi="Arial" w:cs="Arial"/>
          <w:sz w:val="22"/>
          <w:szCs w:val="22"/>
        </w:rPr>
        <w:t xml:space="preserve"> </w:t>
      </w:r>
      <w:r w:rsidRPr="00B702C5">
        <w:rPr>
          <w:rFonts w:ascii="Arial" w:hAnsi="Arial" w:cs="Arial"/>
          <w:sz w:val="22"/>
          <w:szCs w:val="22"/>
        </w:rPr>
        <w:t xml:space="preserve">Maximum heat input of 1.98 MMBtu/hr. </w:t>
      </w:r>
      <w:r w:rsidR="00972022">
        <w:rPr>
          <w:rFonts w:ascii="Arial" w:hAnsi="Arial" w:cs="Arial"/>
          <w:sz w:val="22"/>
          <w:szCs w:val="22"/>
        </w:rPr>
        <w:t xml:space="preserve"> </w:t>
      </w:r>
      <w:r w:rsidRPr="00B702C5">
        <w:rPr>
          <w:rFonts w:ascii="Arial" w:hAnsi="Arial" w:cs="Arial"/>
          <w:sz w:val="22"/>
          <w:szCs w:val="22"/>
        </w:rPr>
        <w:t xml:space="preserve">The maximum engine rated operating speed is less than or equal to 2300 RPM.  In accordance with 40 CFR 60.4200, construction commenced on </w:t>
      </w:r>
      <w:r w:rsidR="00972022">
        <w:rPr>
          <w:rFonts w:ascii="Arial" w:hAnsi="Arial" w:cs="Arial"/>
          <w:sz w:val="22"/>
          <w:szCs w:val="22"/>
        </w:rPr>
        <w:t xml:space="preserve">April 18, </w:t>
      </w:r>
      <w:r w:rsidRPr="00B702C5">
        <w:rPr>
          <w:rFonts w:ascii="Arial" w:hAnsi="Arial" w:cs="Arial"/>
          <w:sz w:val="22"/>
          <w:szCs w:val="22"/>
        </w:rPr>
        <w:t>2016.</w:t>
      </w:r>
    </w:p>
    <w:p w14:paraId="77B371B5" w14:textId="77777777" w:rsidR="009C64CC" w:rsidRPr="00533703" w:rsidRDefault="009C64CC" w:rsidP="009C64CC">
      <w:pPr>
        <w:jc w:val="both"/>
        <w:rPr>
          <w:rFonts w:ascii="Arial" w:hAnsi="Arial" w:cs="Arial"/>
          <w:sz w:val="22"/>
          <w:szCs w:val="22"/>
        </w:rPr>
      </w:pPr>
    </w:p>
    <w:p w14:paraId="3A1E23F7" w14:textId="77777777" w:rsidR="0073629D" w:rsidRPr="00533703" w:rsidRDefault="0073629D" w:rsidP="0073629D">
      <w:pPr>
        <w:ind w:left="60"/>
        <w:jc w:val="both"/>
        <w:rPr>
          <w:rFonts w:ascii="Arial" w:hAnsi="Arial" w:cs="Arial"/>
          <w:sz w:val="22"/>
          <w:szCs w:val="22"/>
        </w:rPr>
      </w:pPr>
      <w:r w:rsidRPr="00533703">
        <w:rPr>
          <w:rFonts w:ascii="Arial" w:hAnsi="Arial" w:cs="Arial"/>
          <w:sz w:val="22"/>
          <w:szCs w:val="22"/>
        </w:rPr>
        <w:t xml:space="preserve">NOTE: </w:t>
      </w:r>
      <w:r w:rsidR="00972022">
        <w:rPr>
          <w:rFonts w:ascii="Arial" w:hAnsi="Arial" w:cs="Arial"/>
          <w:sz w:val="22"/>
          <w:szCs w:val="22"/>
        </w:rPr>
        <w:t xml:space="preserve"> </w:t>
      </w:r>
      <w:r w:rsidRPr="00533703">
        <w:rPr>
          <w:rFonts w:ascii="Arial" w:hAnsi="Arial" w:cs="Arial"/>
          <w:sz w:val="22"/>
          <w:szCs w:val="22"/>
        </w:rPr>
        <w:t xml:space="preserve">The EU prefix designates an emission unit, which is any part of a stationary source that emits or has the potential to emit an air contaminant (per R 336.1105 Definitions; E of the Michigan Air Pollution Control Rules).  The FG prefix designates a flexible group, which is a grouping of emission units. </w:t>
      </w:r>
    </w:p>
    <w:p w14:paraId="31569445" w14:textId="77777777" w:rsidR="0073629D" w:rsidRPr="00533703" w:rsidRDefault="0073629D" w:rsidP="0073629D">
      <w:pPr>
        <w:ind w:left="60"/>
        <w:jc w:val="both"/>
        <w:rPr>
          <w:rFonts w:ascii="Arial" w:hAnsi="Arial" w:cs="Arial"/>
          <w:sz w:val="22"/>
          <w:szCs w:val="22"/>
        </w:rPr>
      </w:pPr>
    </w:p>
    <w:p w14:paraId="6182F73A" w14:textId="77777777" w:rsidR="009C64CC" w:rsidRPr="00533703" w:rsidRDefault="009C64CC" w:rsidP="009C64CC">
      <w:pPr>
        <w:ind w:left="60"/>
        <w:jc w:val="both"/>
        <w:rPr>
          <w:rFonts w:ascii="Arial" w:hAnsi="Arial" w:cs="Arial"/>
          <w:sz w:val="22"/>
          <w:szCs w:val="22"/>
        </w:rPr>
      </w:pPr>
      <w:r w:rsidRPr="00533703">
        <w:rPr>
          <w:rFonts w:ascii="Arial" w:hAnsi="Arial" w:cs="Arial"/>
          <w:sz w:val="22"/>
          <w:szCs w:val="22"/>
        </w:rPr>
        <w:t>This facility operates in a cyclic mode to meet peak system load demands.</w:t>
      </w:r>
    </w:p>
    <w:p w14:paraId="785355F1" w14:textId="77777777" w:rsidR="009C64CC" w:rsidRPr="00533703" w:rsidRDefault="009C64CC" w:rsidP="009C64CC">
      <w:pPr>
        <w:ind w:left="60"/>
        <w:jc w:val="both"/>
        <w:rPr>
          <w:rFonts w:ascii="Arial" w:hAnsi="Arial" w:cs="Arial"/>
          <w:sz w:val="22"/>
          <w:szCs w:val="22"/>
        </w:rPr>
      </w:pPr>
    </w:p>
    <w:p w14:paraId="3014F1A4" w14:textId="697D9C42" w:rsidR="009C64CC" w:rsidRPr="00533703" w:rsidRDefault="004551A7" w:rsidP="004551A7">
      <w:pPr>
        <w:jc w:val="both"/>
        <w:rPr>
          <w:rFonts w:ascii="Arial" w:hAnsi="Arial" w:cs="Arial"/>
          <w:sz w:val="22"/>
          <w:szCs w:val="22"/>
        </w:rPr>
      </w:pPr>
      <w:r w:rsidRPr="00533703">
        <w:rPr>
          <w:rFonts w:ascii="Arial" w:hAnsi="Arial" w:cs="Arial"/>
          <w:sz w:val="22"/>
          <w:szCs w:val="22"/>
        </w:rPr>
        <w:t xml:space="preserve">Section 1 of the ROP contains permit conditions regarding the operations and equipment associated with the electrical generation of the 785-MW main unit. </w:t>
      </w:r>
      <w:r w:rsidR="00972022">
        <w:rPr>
          <w:rFonts w:ascii="Arial" w:hAnsi="Arial" w:cs="Arial"/>
          <w:sz w:val="22"/>
          <w:szCs w:val="22"/>
        </w:rPr>
        <w:t xml:space="preserve"> </w:t>
      </w:r>
      <w:r w:rsidRPr="00533703">
        <w:rPr>
          <w:rFonts w:ascii="Arial" w:hAnsi="Arial" w:cs="Arial"/>
          <w:sz w:val="22"/>
          <w:szCs w:val="22"/>
        </w:rPr>
        <w:t>This includes the main boiler</w:t>
      </w:r>
      <w:r w:rsidR="009C64CC" w:rsidRPr="00533703">
        <w:rPr>
          <w:rFonts w:ascii="Arial" w:hAnsi="Arial" w:cs="Arial"/>
          <w:sz w:val="22"/>
          <w:szCs w:val="22"/>
        </w:rPr>
        <w:t xml:space="preserve"> (EUBOILER1)</w:t>
      </w:r>
      <w:r w:rsidRPr="00533703">
        <w:rPr>
          <w:rFonts w:ascii="Arial" w:hAnsi="Arial" w:cs="Arial"/>
          <w:sz w:val="22"/>
          <w:szCs w:val="22"/>
        </w:rPr>
        <w:t>, auxiliary boilers</w:t>
      </w:r>
      <w:r w:rsidR="009C64CC" w:rsidRPr="00533703">
        <w:rPr>
          <w:rFonts w:ascii="Arial" w:hAnsi="Arial" w:cs="Arial"/>
          <w:sz w:val="22"/>
          <w:szCs w:val="22"/>
        </w:rPr>
        <w:t xml:space="preserve"> (EUEASTAUXBOILER and EUWESTAUXBOILER)</w:t>
      </w:r>
      <w:r w:rsidRPr="00533703">
        <w:rPr>
          <w:rFonts w:ascii="Arial" w:hAnsi="Arial" w:cs="Arial"/>
          <w:sz w:val="22"/>
          <w:szCs w:val="22"/>
        </w:rPr>
        <w:t>,</w:t>
      </w:r>
      <w:r w:rsidR="00B702C5">
        <w:rPr>
          <w:rFonts w:ascii="Arial" w:hAnsi="Arial" w:cs="Arial"/>
          <w:sz w:val="22"/>
          <w:szCs w:val="22"/>
        </w:rPr>
        <w:t xml:space="preserve"> an emergency fire pump (</w:t>
      </w:r>
      <w:r w:rsidR="00B702C5" w:rsidRPr="00B702C5">
        <w:rPr>
          <w:rFonts w:ascii="Arial" w:hAnsi="Arial" w:cs="Arial"/>
          <w:sz w:val="22"/>
          <w:szCs w:val="22"/>
        </w:rPr>
        <w:t>EUEMGFIREPUMP</w:t>
      </w:r>
      <w:r w:rsidR="00B702C5">
        <w:rPr>
          <w:rFonts w:ascii="Arial" w:hAnsi="Arial" w:cs="Arial"/>
          <w:sz w:val="22"/>
          <w:szCs w:val="22"/>
        </w:rPr>
        <w:t>),</w:t>
      </w:r>
      <w:r w:rsidRPr="00533703">
        <w:rPr>
          <w:rFonts w:ascii="Arial" w:hAnsi="Arial" w:cs="Arial"/>
          <w:sz w:val="22"/>
          <w:szCs w:val="22"/>
        </w:rPr>
        <w:t xml:space="preserve"> cold cleaners</w:t>
      </w:r>
      <w:r w:rsidR="009C64CC" w:rsidRPr="00533703">
        <w:rPr>
          <w:rFonts w:ascii="Arial" w:hAnsi="Arial" w:cs="Arial"/>
          <w:sz w:val="22"/>
          <w:szCs w:val="22"/>
        </w:rPr>
        <w:t xml:space="preserve"> (EUCOLDCLEANER and FGCOLDCLEANERS)</w:t>
      </w:r>
      <w:r w:rsidRPr="00533703">
        <w:rPr>
          <w:rFonts w:ascii="Arial" w:hAnsi="Arial" w:cs="Arial"/>
          <w:sz w:val="22"/>
          <w:szCs w:val="22"/>
        </w:rPr>
        <w:t>, gasoline dispensing tanks</w:t>
      </w:r>
      <w:r w:rsidR="009C64CC" w:rsidRPr="00533703">
        <w:rPr>
          <w:rFonts w:ascii="Arial" w:hAnsi="Arial" w:cs="Arial"/>
          <w:sz w:val="22"/>
          <w:szCs w:val="22"/>
        </w:rPr>
        <w:t xml:space="preserve"> (EU</w:t>
      </w:r>
      <w:r w:rsidR="00C80D8D">
        <w:rPr>
          <w:rFonts w:ascii="Arial" w:hAnsi="Arial" w:cs="Arial"/>
          <w:sz w:val="22"/>
          <w:szCs w:val="22"/>
        </w:rPr>
        <w:t>-</w:t>
      </w:r>
      <w:r w:rsidR="009C64CC" w:rsidRPr="00533703">
        <w:rPr>
          <w:rFonts w:ascii="Arial" w:hAnsi="Arial" w:cs="Arial"/>
          <w:sz w:val="22"/>
          <w:szCs w:val="22"/>
        </w:rPr>
        <w:t>GDF), and emission units exempt from the requirements of R 336.1201 pursuant to R 336.1290 (FGRULE290)</w:t>
      </w:r>
      <w:r w:rsidRPr="00533703">
        <w:rPr>
          <w:rFonts w:ascii="Arial" w:hAnsi="Arial" w:cs="Arial"/>
          <w:sz w:val="22"/>
          <w:szCs w:val="22"/>
        </w:rPr>
        <w:t xml:space="preserve">. </w:t>
      </w:r>
      <w:r w:rsidR="00704DC1">
        <w:rPr>
          <w:rFonts w:ascii="Arial" w:hAnsi="Arial" w:cs="Arial"/>
          <w:sz w:val="22"/>
          <w:szCs w:val="22"/>
        </w:rPr>
        <w:t xml:space="preserve">  </w:t>
      </w:r>
      <w:bookmarkStart w:id="36" w:name="_Hlk506211800"/>
      <w:r w:rsidR="00704DC1" w:rsidRPr="00300FD7">
        <w:rPr>
          <w:rFonts w:ascii="Arial" w:hAnsi="Arial" w:cs="Arial"/>
          <w:sz w:val="22"/>
          <w:szCs w:val="22"/>
        </w:rPr>
        <w:t>Continuous emissions monitors (CEMS) are installed to measure emissions of NOx, SO2 and opacity for the main boiler.</w:t>
      </w:r>
      <w:r w:rsidR="00704DC1">
        <w:rPr>
          <w:rFonts w:ascii="Arial" w:hAnsi="Arial" w:cs="Arial"/>
          <w:sz w:val="22"/>
          <w:szCs w:val="22"/>
        </w:rPr>
        <w:t xml:space="preserve"> </w:t>
      </w:r>
      <w:r w:rsidR="00704DC1" w:rsidRPr="00533703">
        <w:rPr>
          <w:rFonts w:ascii="Arial" w:hAnsi="Arial" w:cs="Arial"/>
          <w:sz w:val="22"/>
          <w:szCs w:val="22"/>
        </w:rPr>
        <w:t xml:space="preserve"> </w:t>
      </w:r>
      <w:bookmarkEnd w:id="36"/>
    </w:p>
    <w:p w14:paraId="2E86FA6B" w14:textId="77777777" w:rsidR="009C64CC" w:rsidRPr="00533703" w:rsidRDefault="009C64CC" w:rsidP="004551A7">
      <w:pPr>
        <w:jc w:val="both"/>
        <w:rPr>
          <w:rFonts w:ascii="Arial" w:hAnsi="Arial" w:cs="Arial"/>
          <w:sz w:val="22"/>
          <w:szCs w:val="22"/>
        </w:rPr>
      </w:pPr>
    </w:p>
    <w:p w14:paraId="0B41AC8C" w14:textId="2DD10AEC" w:rsidR="00AF4326" w:rsidRPr="00533703" w:rsidRDefault="004551A7" w:rsidP="004551A7">
      <w:pPr>
        <w:jc w:val="both"/>
        <w:rPr>
          <w:rFonts w:ascii="Arial" w:hAnsi="Arial" w:cs="Arial"/>
          <w:sz w:val="22"/>
          <w:szCs w:val="22"/>
        </w:rPr>
      </w:pPr>
      <w:r w:rsidRPr="00533703">
        <w:rPr>
          <w:rFonts w:ascii="Arial" w:hAnsi="Arial" w:cs="Arial"/>
          <w:sz w:val="22"/>
          <w:szCs w:val="22"/>
        </w:rPr>
        <w:t xml:space="preserve">Section 2 deals with the operation of the three (3) natural gas-fired combustion turbine generators. Predictive emissions monitoring system (PEMS) are installed to measure NOx </w:t>
      </w:r>
      <w:r w:rsidR="00E632AB" w:rsidRPr="00533703">
        <w:rPr>
          <w:rFonts w:ascii="Arial" w:hAnsi="Arial" w:cs="Arial"/>
          <w:sz w:val="22"/>
          <w:szCs w:val="22"/>
        </w:rPr>
        <w:t>emissions from</w:t>
      </w:r>
      <w:r w:rsidRPr="00533703">
        <w:rPr>
          <w:rFonts w:ascii="Arial" w:hAnsi="Arial" w:cs="Arial"/>
          <w:sz w:val="22"/>
          <w:szCs w:val="22"/>
        </w:rPr>
        <w:t xml:space="preserve"> the combustion turbines.</w:t>
      </w:r>
    </w:p>
    <w:p w14:paraId="718529E2" w14:textId="77777777" w:rsidR="00AF4326" w:rsidRPr="00533703" w:rsidRDefault="00AF4326">
      <w:pPr>
        <w:rPr>
          <w:rFonts w:ascii="Arial" w:hAnsi="Arial" w:cs="Arial"/>
          <w:sz w:val="22"/>
          <w:szCs w:val="22"/>
        </w:rPr>
      </w:pPr>
    </w:p>
    <w:p w14:paraId="1CA4B7B1" w14:textId="77777777" w:rsidR="00AF4326" w:rsidRPr="00533703" w:rsidRDefault="00DB5924" w:rsidP="00167B85">
      <w:pPr>
        <w:jc w:val="both"/>
        <w:outlineLvl w:val="0"/>
        <w:rPr>
          <w:rFonts w:ascii="Arial" w:hAnsi="Arial" w:cs="Arial"/>
          <w:b/>
          <w:sz w:val="22"/>
          <w:szCs w:val="22"/>
        </w:rPr>
      </w:pPr>
      <w:r w:rsidRPr="00533703">
        <w:rPr>
          <w:rFonts w:ascii="Arial" w:hAnsi="Arial" w:cs="Arial"/>
          <w:sz w:val="22"/>
          <w:szCs w:val="22"/>
        </w:rPr>
        <w:t xml:space="preserve">The following table lists stationary source emission information as reported </w:t>
      </w:r>
      <w:r w:rsidR="000E43A8" w:rsidRPr="00533703">
        <w:rPr>
          <w:rFonts w:ascii="Arial" w:hAnsi="Arial" w:cs="Arial"/>
          <w:sz w:val="22"/>
          <w:szCs w:val="22"/>
        </w:rPr>
        <w:t xml:space="preserve">to the </w:t>
      </w:r>
      <w:r w:rsidRPr="00533703">
        <w:rPr>
          <w:rFonts w:ascii="Arial" w:hAnsi="Arial" w:cs="Arial"/>
          <w:sz w:val="22"/>
          <w:szCs w:val="22"/>
        </w:rPr>
        <w:t>Michigan Air Emissions Reporting System</w:t>
      </w:r>
      <w:r w:rsidR="0002430E" w:rsidRPr="00533703">
        <w:rPr>
          <w:rFonts w:ascii="Arial" w:hAnsi="Arial" w:cs="Arial"/>
          <w:sz w:val="22"/>
          <w:szCs w:val="22"/>
        </w:rPr>
        <w:t xml:space="preserve"> (MAERS</w:t>
      </w:r>
      <w:r w:rsidR="00FE6510" w:rsidRPr="00533703">
        <w:rPr>
          <w:rFonts w:ascii="Arial" w:hAnsi="Arial" w:cs="Arial"/>
          <w:sz w:val="22"/>
          <w:szCs w:val="22"/>
        </w:rPr>
        <w:t xml:space="preserve">) for </w:t>
      </w:r>
      <w:r w:rsidR="000E43A8" w:rsidRPr="00533703">
        <w:rPr>
          <w:rFonts w:ascii="Arial" w:hAnsi="Arial" w:cs="Arial"/>
          <w:sz w:val="22"/>
          <w:szCs w:val="22"/>
        </w:rPr>
        <w:t>the</w:t>
      </w:r>
      <w:r w:rsidR="00FE6510" w:rsidRPr="00533703">
        <w:rPr>
          <w:rFonts w:ascii="Arial" w:hAnsi="Arial" w:cs="Arial"/>
          <w:sz w:val="22"/>
          <w:szCs w:val="22"/>
        </w:rPr>
        <w:t xml:space="preserve"> year</w:t>
      </w:r>
      <w:r w:rsidR="000E43A8" w:rsidRPr="00533703">
        <w:rPr>
          <w:rFonts w:ascii="Arial" w:hAnsi="Arial" w:cs="Arial"/>
          <w:sz w:val="22"/>
          <w:szCs w:val="22"/>
        </w:rPr>
        <w:t xml:space="preserve"> </w:t>
      </w:r>
      <w:r w:rsidR="00E632AB" w:rsidRPr="00533703">
        <w:rPr>
          <w:rFonts w:ascii="Arial" w:hAnsi="Arial" w:cs="Arial"/>
          <w:b/>
          <w:sz w:val="22"/>
          <w:szCs w:val="22"/>
        </w:rPr>
        <w:t>2015</w:t>
      </w:r>
      <w:r w:rsidR="00AF4326" w:rsidRPr="00533703">
        <w:rPr>
          <w:rFonts w:ascii="Arial" w:hAnsi="Arial" w:cs="Arial"/>
          <w:sz w:val="22"/>
          <w:szCs w:val="22"/>
        </w:rPr>
        <w:t>.</w:t>
      </w:r>
      <w:r w:rsidR="00AF4326" w:rsidRPr="00533703">
        <w:rPr>
          <w:rFonts w:ascii="Arial" w:hAnsi="Arial" w:cs="Arial"/>
          <w:b/>
          <w:sz w:val="22"/>
          <w:szCs w:val="22"/>
        </w:rPr>
        <w:t xml:space="preserve">  </w:t>
      </w:r>
    </w:p>
    <w:p w14:paraId="7627CD0D" w14:textId="00831268" w:rsidR="00113B82" w:rsidRDefault="00113B82" w:rsidP="00113B82">
      <w:pPr>
        <w:jc w:val="both"/>
        <w:outlineLvl w:val="0"/>
        <w:rPr>
          <w:rFonts w:ascii="Arial" w:hAnsi="Arial" w:cs="Arial"/>
          <w:sz w:val="22"/>
          <w:szCs w:val="22"/>
        </w:rPr>
      </w:pPr>
    </w:p>
    <w:p w14:paraId="3F65C745" w14:textId="77777777" w:rsidR="0096151F" w:rsidRPr="00533703" w:rsidRDefault="0096151F" w:rsidP="00113B82">
      <w:pPr>
        <w:jc w:val="both"/>
        <w:outlineLvl w:val="0"/>
        <w:rPr>
          <w:rFonts w:ascii="Arial" w:hAnsi="Arial" w:cs="Arial"/>
          <w:sz w:val="22"/>
          <w:szCs w:val="22"/>
        </w:rPr>
      </w:pPr>
    </w:p>
    <w:p w14:paraId="6FF25E10" w14:textId="77777777" w:rsidR="00AF4326" w:rsidRPr="00533703" w:rsidRDefault="00AF4326">
      <w:pPr>
        <w:rPr>
          <w:rFonts w:ascii="Arial" w:hAnsi="Arial" w:cs="Arial"/>
          <w:sz w:val="22"/>
          <w:szCs w:val="22"/>
        </w:rPr>
      </w:pPr>
    </w:p>
    <w:p w14:paraId="400F6CD8" w14:textId="77777777" w:rsidR="00F734C6" w:rsidRPr="00533703" w:rsidRDefault="00F734C6" w:rsidP="00F734C6">
      <w:pPr>
        <w:jc w:val="center"/>
        <w:rPr>
          <w:rFonts w:ascii="Arial" w:hAnsi="Arial" w:cs="Arial"/>
          <w:b/>
          <w:sz w:val="22"/>
          <w:szCs w:val="22"/>
        </w:rPr>
      </w:pPr>
      <w:r w:rsidRPr="00533703">
        <w:rPr>
          <w:rFonts w:ascii="Arial" w:hAnsi="Arial" w:cs="Arial"/>
          <w:b/>
          <w:sz w:val="22"/>
          <w:szCs w:val="22"/>
        </w:rPr>
        <w:lastRenderedPageBreak/>
        <w:t>TOTAL STATIONARY SOURCE EMISSIONS</w:t>
      </w:r>
    </w:p>
    <w:p w14:paraId="2ACF7D00" w14:textId="77777777" w:rsidR="00F734C6" w:rsidRPr="00533703"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533703" w14:paraId="4EC990BD" w14:textId="77777777" w:rsidTr="00551C6E">
        <w:trPr>
          <w:tblHeader/>
        </w:trPr>
        <w:tc>
          <w:tcPr>
            <w:tcW w:w="5130" w:type="dxa"/>
            <w:tcBorders>
              <w:top w:val="double" w:sz="6" w:space="0" w:color="auto"/>
              <w:bottom w:val="double" w:sz="6" w:space="0" w:color="auto"/>
              <w:right w:val="single" w:sz="6" w:space="0" w:color="auto"/>
            </w:tcBorders>
            <w:shd w:val="pct10" w:color="auto" w:fill="auto"/>
          </w:tcPr>
          <w:p w14:paraId="74FB3D5E" w14:textId="77777777" w:rsidR="00F734C6" w:rsidRPr="00533703" w:rsidRDefault="00F734C6" w:rsidP="00E63937">
            <w:pPr>
              <w:jc w:val="center"/>
              <w:rPr>
                <w:rFonts w:ascii="Arial" w:hAnsi="Arial" w:cs="Arial"/>
                <w:b/>
                <w:sz w:val="22"/>
                <w:szCs w:val="22"/>
              </w:rPr>
            </w:pPr>
            <w:r w:rsidRPr="00533703">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656E2D37" w14:textId="77777777" w:rsidR="00F734C6" w:rsidRPr="00533703" w:rsidRDefault="00F734C6" w:rsidP="00E63937">
            <w:pPr>
              <w:jc w:val="center"/>
              <w:rPr>
                <w:rFonts w:ascii="Arial" w:hAnsi="Arial" w:cs="Arial"/>
                <w:b/>
                <w:sz w:val="22"/>
                <w:szCs w:val="22"/>
              </w:rPr>
            </w:pPr>
            <w:r w:rsidRPr="00533703">
              <w:rPr>
                <w:rFonts w:ascii="Arial" w:hAnsi="Arial" w:cs="Arial"/>
                <w:b/>
                <w:sz w:val="22"/>
                <w:szCs w:val="22"/>
              </w:rPr>
              <w:t>Tons per Year</w:t>
            </w:r>
          </w:p>
        </w:tc>
      </w:tr>
      <w:tr w:rsidR="00F734C6" w:rsidRPr="00533703" w14:paraId="1253F615" w14:textId="77777777" w:rsidTr="00551C6E">
        <w:tc>
          <w:tcPr>
            <w:tcW w:w="5130" w:type="dxa"/>
          </w:tcPr>
          <w:p w14:paraId="25C282DF" w14:textId="77777777" w:rsidR="00F734C6" w:rsidRPr="00533703" w:rsidRDefault="00F734C6" w:rsidP="00E63937">
            <w:pPr>
              <w:rPr>
                <w:rFonts w:ascii="Arial" w:hAnsi="Arial" w:cs="Arial"/>
                <w:sz w:val="22"/>
                <w:szCs w:val="22"/>
              </w:rPr>
            </w:pPr>
            <w:r w:rsidRPr="00533703">
              <w:rPr>
                <w:rFonts w:ascii="Arial" w:hAnsi="Arial" w:cs="Arial"/>
                <w:sz w:val="22"/>
                <w:szCs w:val="22"/>
              </w:rPr>
              <w:t>Carbon Monoxide (CO)</w:t>
            </w:r>
          </w:p>
        </w:tc>
        <w:tc>
          <w:tcPr>
            <w:tcW w:w="5130" w:type="dxa"/>
          </w:tcPr>
          <w:p w14:paraId="3223612E" w14:textId="77777777" w:rsidR="0053241C" w:rsidRPr="00533703" w:rsidRDefault="0053241C" w:rsidP="0053241C">
            <w:pPr>
              <w:jc w:val="center"/>
              <w:rPr>
                <w:rFonts w:ascii="Arial" w:hAnsi="Arial" w:cs="Arial"/>
                <w:sz w:val="22"/>
                <w:szCs w:val="22"/>
              </w:rPr>
            </w:pPr>
            <w:r w:rsidRPr="00533703">
              <w:rPr>
                <w:rFonts w:ascii="Arial" w:hAnsi="Arial" w:cs="Arial"/>
                <w:sz w:val="22"/>
                <w:szCs w:val="22"/>
              </w:rPr>
              <w:t>77.72</w:t>
            </w:r>
          </w:p>
        </w:tc>
      </w:tr>
      <w:tr w:rsidR="00F734C6" w:rsidRPr="00533703" w14:paraId="4ECB6E8D" w14:textId="77777777" w:rsidTr="00551C6E">
        <w:tc>
          <w:tcPr>
            <w:tcW w:w="5130" w:type="dxa"/>
          </w:tcPr>
          <w:p w14:paraId="3A144B56" w14:textId="77777777" w:rsidR="00F734C6" w:rsidRPr="00533703" w:rsidRDefault="00F734C6" w:rsidP="00E63937">
            <w:pPr>
              <w:rPr>
                <w:rFonts w:ascii="Arial" w:hAnsi="Arial" w:cs="Arial"/>
                <w:sz w:val="22"/>
                <w:szCs w:val="22"/>
              </w:rPr>
            </w:pPr>
            <w:r w:rsidRPr="00533703">
              <w:rPr>
                <w:rFonts w:ascii="Arial" w:hAnsi="Arial" w:cs="Arial"/>
                <w:sz w:val="22"/>
                <w:szCs w:val="22"/>
              </w:rPr>
              <w:t>Lead (Pb)</w:t>
            </w:r>
          </w:p>
        </w:tc>
        <w:tc>
          <w:tcPr>
            <w:tcW w:w="5130" w:type="dxa"/>
          </w:tcPr>
          <w:p w14:paraId="379AF590" w14:textId="77777777" w:rsidR="00F734C6" w:rsidRPr="00533703" w:rsidRDefault="0053241C" w:rsidP="00E63937">
            <w:pPr>
              <w:jc w:val="center"/>
              <w:rPr>
                <w:rFonts w:ascii="Arial" w:hAnsi="Arial" w:cs="Arial"/>
                <w:sz w:val="22"/>
                <w:szCs w:val="22"/>
              </w:rPr>
            </w:pPr>
            <w:r w:rsidRPr="00533703">
              <w:rPr>
                <w:rFonts w:ascii="Arial" w:hAnsi="Arial" w:cs="Arial"/>
                <w:sz w:val="22"/>
                <w:szCs w:val="22"/>
              </w:rPr>
              <w:t>0.00</w:t>
            </w:r>
          </w:p>
        </w:tc>
      </w:tr>
      <w:tr w:rsidR="00F734C6" w:rsidRPr="00533703" w14:paraId="25BF5DD1" w14:textId="77777777" w:rsidTr="00551C6E">
        <w:tc>
          <w:tcPr>
            <w:tcW w:w="5130" w:type="dxa"/>
          </w:tcPr>
          <w:p w14:paraId="6D5CFDDF" w14:textId="77777777" w:rsidR="00F734C6" w:rsidRPr="00533703" w:rsidRDefault="00551C6E" w:rsidP="00E63937">
            <w:pPr>
              <w:rPr>
                <w:rFonts w:ascii="Arial" w:hAnsi="Arial" w:cs="Arial"/>
                <w:sz w:val="22"/>
                <w:szCs w:val="22"/>
              </w:rPr>
            </w:pPr>
            <w:r>
              <w:rPr>
                <w:rFonts w:ascii="Arial" w:hAnsi="Arial" w:cs="Arial"/>
                <w:sz w:val="22"/>
                <w:szCs w:val="22"/>
              </w:rPr>
              <w:t xml:space="preserve">Nitrogen Oxides </w:t>
            </w:r>
            <w:r w:rsidR="00F734C6" w:rsidRPr="00533703">
              <w:rPr>
                <w:rFonts w:ascii="Arial" w:hAnsi="Arial" w:cs="Arial"/>
                <w:sz w:val="22"/>
                <w:szCs w:val="22"/>
              </w:rPr>
              <w:t>(NO</w:t>
            </w:r>
            <w:r w:rsidR="00F734C6" w:rsidRPr="00533703">
              <w:rPr>
                <w:rFonts w:ascii="Arial" w:hAnsi="Arial" w:cs="Arial"/>
                <w:sz w:val="22"/>
                <w:szCs w:val="22"/>
                <w:vertAlign w:val="subscript"/>
              </w:rPr>
              <w:t>x</w:t>
            </w:r>
            <w:r w:rsidR="00F734C6" w:rsidRPr="00533703">
              <w:rPr>
                <w:rFonts w:ascii="Arial" w:hAnsi="Arial" w:cs="Arial"/>
                <w:sz w:val="22"/>
                <w:szCs w:val="22"/>
              </w:rPr>
              <w:t>)</w:t>
            </w:r>
          </w:p>
        </w:tc>
        <w:tc>
          <w:tcPr>
            <w:tcW w:w="5130" w:type="dxa"/>
          </w:tcPr>
          <w:p w14:paraId="23844E5F" w14:textId="77777777" w:rsidR="00F734C6" w:rsidRPr="00533703" w:rsidRDefault="0053241C" w:rsidP="00E63937">
            <w:pPr>
              <w:jc w:val="center"/>
              <w:rPr>
                <w:rFonts w:ascii="Arial" w:hAnsi="Arial" w:cs="Arial"/>
                <w:sz w:val="22"/>
                <w:szCs w:val="22"/>
              </w:rPr>
            </w:pPr>
            <w:r w:rsidRPr="00533703">
              <w:rPr>
                <w:rFonts w:ascii="Arial" w:hAnsi="Arial" w:cs="Arial"/>
                <w:sz w:val="22"/>
                <w:szCs w:val="22"/>
              </w:rPr>
              <w:t>128.23</w:t>
            </w:r>
          </w:p>
        </w:tc>
      </w:tr>
      <w:tr w:rsidR="00F734C6" w:rsidRPr="00533703" w14:paraId="25E9E206" w14:textId="77777777" w:rsidTr="00551C6E">
        <w:tc>
          <w:tcPr>
            <w:tcW w:w="5130" w:type="dxa"/>
          </w:tcPr>
          <w:p w14:paraId="397EE375" w14:textId="77777777" w:rsidR="00F734C6" w:rsidRPr="00533703" w:rsidRDefault="00551C6E" w:rsidP="00E63937">
            <w:pPr>
              <w:rPr>
                <w:rFonts w:ascii="Arial" w:hAnsi="Arial" w:cs="Arial"/>
                <w:sz w:val="22"/>
                <w:szCs w:val="22"/>
              </w:rPr>
            </w:pPr>
            <w:r>
              <w:rPr>
                <w:rFonts w:ascii="Arial" w:hAnsi="Arial" w:cs="Arial"/>
                <w:sz w:val="22"/>
                <w:szCs w:val="22"/>
              </w:rPr>
              <w:t>Particulate Matter</w:t>
            </w:r>
            <w:r w:rsidR="00F734C6" w:rsidRPr="00533703">
              <w:rPr>
                <w:rFonts w:ascii="Arial" w:hAnsi="Arial" w:cs="Arial"/>
                <w:sz w:val="22"/>
                <w:szCs w:val="22"/>
              </w:rPr>
              <w:t xml:space="preserve"> (PM)</w:t>
            </w:r>
          </w:p>
        </w:tc>
        <w:tc>
          <w:tcPr>
            <w:tcW w:w="5130" w:type="dxa"/>
          </w:tcPr>
          <w:p w14:paraId="53E8D2C0" w14:textId="77777777" w:rsidR="00F734C6" w:rsidRPr="00533703" w:rsidRDefault="0053241C" w:rsidP="0053241C">
            <w:pPr>
              <w:jc w:val="center"/>
              <w:rPr>
                <w:rFonts w:ascii="Arial" w:hAnsi="Arial" w:cs="Arial"/>
                <w:sz w:val="22"/>
                <w:szCs w:val="22"/>
              </w:rPr>
            </w:pPr>
            <w:r w:rsidRPr="00533703">
              <w:rPr>
                <w:rFonts w:ascii="Arial" w:hAnsi="Arial" w:cs="Arial"/>
                <w:sz w:val="22"/>
                <w:szCs w:val="22"/>
              </w:rPr>
              <w:t>8.45</w:t>
            </w:r>
          </w:p>
        </w:tc>
      </w:tr>
      <w:tr w:rsidR="00F734C6" w:rsidRPr="00533703" w14:paraId="20961F12" w14:textId="77777777" w:rsidTr="00551C6E">
        <w:tc>
          <w:tcPr>
            <w:tcW w:w="5130" w:type="dxa"/>
            <w:tcBorders>
              <w:bottom w:val="single" w:sz="6" w:space="0" w:color="auto"/>
            </w:tcBorders>
          </w:tcPr>
          <w:p w14:paraId="1890C498" w14:textId="77777777" w:rsidR="00F734C6" w:rsidRPr="00533703" w:rsidRDefault="00551C6E" w:rsidP="00E63937">
            <w:pPr>
              <w:rPr>
                <w:rFonts w:ascii="Arial" w:hAnsi="Arial" w:cs="Arial"/>
                <w:sz w:val="22"/>
                <w:szCs w:val="22"/>
              </w:rPr>
            </w:pPr>
            <w:r>
              <w:rPr>
                <w:rFonts w:ascii="Arial" w:hAnsi="Arial" w:cs="Arial"/>
                <w:sz w:val="22"/>
                <w:szCs w:val="22"/>
              </w:rPr>
              <w:t xml:space="preserve">Sulfur Dioxide </w:t>
            </w:r>
            <w:r w:rsidR="00F734C6" w:rsidRPr="00533703">
              <w:rPr>
                <w:rFonts w:ascii="Arial" w:hAnsi="Arial" w:cs="Arial"/>
                <w:sz w:val="22"/>
                <w:szCs w:val="22"/>
              </w:rPr>
              <w:t>(SO</w:t>
            </w:r>
            <w:r w:rsidR="00F734C6" w:rsidRPr="00533703">
              <w:rPr>
                <w:rFonts w:ascii="Arial" w:hAnsi="Arial" w:cs="Arial"/>
                <w:sz w:val="22"/>
                <w:szCs w:val="22"/>
                <w:vertAlign w:val="subscript"/>
              </w:rPr>
              <w:t>2</w:t>
            </w:r>
            <w:r w:rsidR="00F734C6" w:rsidRPr="00533703">
              <w:rPr>
                <w:rFonts w:ascii="Arial" w:hAnsi="Arial" w:cs="Arial"/>
                <w:sz w:val="22"/>
                <w:szCs w:val="22"/>
              </w:rPr>
              <w:t>)</w:t>
            </w:r>
          </w:p>
        </w:tc>
        <w:tc>
          <w:tcPr>
            <w:tcW w:w="5130" w:type="dxa"/>
            <w:tcBorders>
              <w:bottom w:val="single" w:sz="6" w:space="0" w:color="auto"/>
            </w:tcBorders>
          </w:tcPr>
          <w:p w14:paraId="04D2A87B" w14:textId="77777777" w:rsidR="00F734C6" w:rsidRPr="00533703" w:rsidRDefault="0053241C" w:rsidP="00E63937">
            <w:pPr>
              <w:jc w:val="center"/>
              <w:rPr>
                <w:rFonts w:ascii="Arial" w:hAnsi="Arial" w:cs="Arial"/>
                <w:sz w:val="22"/>
                <w:szCs w:val="22"/>
              </w:rPr>
            </w:pPr>
            <w:r w:rsidRPr="00533703">
              <w:rPr>
                <w:rFonts w:ascii="Arial" w:hAnsi="Arial" w:cs="Arial"/>
                <w:sz w:val="22"/>
                <w:szCs w:val="22"/>
              </w:rPr>
              <w:t>1.53</w:t>
            </w:r>
          </w:p>
        </w:tc>
      </w:tr>
      <w:tr w:rsidR="00F734C6" w:rsidRPr="00533703" w14:paraId="0DB8B865" w14:textId="77777777" w:rsidTr="00551C6E">
        <w:tc>
          <w:tcPr>
            <w:tcW w:w="5130" w:type="dxa"/>
            <w:tcBorders>
              <w:top w:val="single" w:sz="6" w:space="0" w:color="auto"/>
              <w:bottom w:val="double" w:sz="4" w:space="0" w:color="auto"/>
            </w:tcBorders>
          </w:tcPr>
          <w:p w14:paraId="3A32CBB5" w14:textId="77777777" w:rsidR="00F734C6" w:rsidRPr="00533703" w:rsidRDefault="00551C6E" w:rsidP="00E63937">
            <w:pPr>
              <w:rPr>
                <w:rFonts w:ascii="Arial" w:hAnsi="Arial" w:cs="Arial"/>
                <w:sz w:val="22"/>
                <w:szCs w:val="22"/>
              </w:rPr>
            </w:pPr>
            <w:r>
              <w:rPr>
                <w:rFonts w:ascii="Arial" w:hAnsi="Arial" w:cs="Arial"/>
                <w:sz w:val="22"/>
                <w:szCs w:val="22"/>
              </w:rPr>
              <w:t xml:space="preserve">Volatile Organic Compounds </w:t>
            </w:r>
            <w:r w:rsidR="00F734C6" w:rsidRPr="00533703">
              <w:rPr>
                <w:rFonts w:ascii="Arial" w:hAnsi="Arial" w:cs="Arial"/>
                <w:sz w:val="22"/>
                <w:szCs w:val="22"/>
              </w:rPr>
              <w:t>(VOCs)</w:t>
            </w:r>
          </w:p>
        </w:tc>
        <w:tc>
          <w:tcPr>
            <w:tcW w:w="5130" w:type="dxa"/>
            <w:tcBorders>
              <w:top w:val="single" w:sz="6" w:space="0" w:color="auto"/>
              <w:bottom w:val="double" w:sz="4" w:space="0" w:color="auto"/>
            </w:tcBorders>
          </w:tcPr>
          <w:p w14:paraId="49BDB43F" w14:textId="77777777" w:rsidR="00F734C6" w:rsidRPr="00533703" w:rsidRDefault="0053241C" w:rsidP="00E63937">
            <w:pPr>
              <w:jc w:val="center"/>
              <w:rPr>
                <w:rFonts w:ascii="Arial" w:hAnsi="Arial" w:cs="Arial"/>
                <w:sz w:val="22"/>
                <w:szCs w:val="22"/>
              </w:rPr>
            </w:pPr>
            <w:r w:rsidRPr="00533703">
              <w:rPr>
                <w:rFonts w:ascii="Arial" w:hAnsi="Arial" w:cs="Arial"/>
                <w:sz w:val="22"/>
                <w:szCs w:val="22"/>
              </w:rPr>
              <w:t>5.21</w:t>
            </w:r>
          </w:p>
        </w:tc>
      </w:tr>
    </w:tbl>
    <w:p w14:paraId="0286B690" w14:textId="77777777" w:rsidR="00F734C6" w:rsidRPr="00533703" w:rsidRDefault="00F734C6" w:rsidP="00F734C6"/>
    <w:p w14:paraId="05166AD0" w14:textId="77777777" w:rsidR="00F734C6" w:rsidRPr="00533703" w:rsidRDefault="00F734C6" w:rsidP="00F734C6">
      <w:pPr>
        <w:rPr>
          <w:rFonts w:ascii="Arial" w:hAnsi="Arial" w:cs="Arial"/>
          <w:sz w:val="22"/>
          <w:szCs w:val="22"/>
        </w:rPr>
      </w:pPr>
      <w:r w:rsidRPr="00533703">
        <w:rPr>
          <w:rFonts w:ascii="Arial" w:hAnsi="Arial" w:cs="Arial"/>
          <w:sz w:val="22"/>
          <w:szCs w:val="22"/>
        </w:rPr>
        <w:t xml:space="preserve">The following table lists Hazardous Air Pollutant emissions as calculated for the year </w:t>
      </w:r>
      <w:r w:rsidR="00CF468F" w:rsidRPr="00533703">
        <w:rPr>
          <w:rFonts w:ascii="Arial" w:hAnsi="Arial" w:cs="Arial"/>
          <w:sz w:val="22"/>
          <w:szCs w:val="22"/>
        </w:rPr>
        <w:t>2015</w:t>
      </w:r>
      <w:r w:rsidRPr="00533703">
        <w:rPr>
          <w:rFonts w:ascii="Arial" w:hAnsi="Arial" w:cs="Arial"/>
          <w:sz w:val="22"/>
          <w:szCs w:val="22"/>
        </w:rPr>
        <w:t xml:space="preserve"> by </w:t>
      </w:r>
      <w:r w:rsidR="00CF468F" w:rsidRPr="00533703">
        <w:rPr>
          <w:rFonts w:ascii="Arial" w:hAnsi="Arial" w:cs="Arial"/>
          <w:sz w:val="22"/>
          <w:szCs w:val="22"/>
        </w:rPr>
        <w:t>the AQD per the MAERS system software</w:t>
      </w:r>
      <w:r w:rsidRPr="00533703">
        <w:rPr>
          <w:rFonts w:ascii="Arial" w:hAnsi="Arial" w:cs="Arial"/>
          <w:sz w:val="22"/>
          <w:szCs w:val="22"/>
        </w:rPr>
        <w:t>:</w:t>
      </w:r>
    </w:p>
    <w:p w14:paraId="480C5F64" w14:textId="77777777" w:rsidR="00F734C6" w:rsidRPr="00533703"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533703" w14:paraId="45912795" w14:textId="77777777" w:rsidTr="00E63937">
        <w:tc>
          <w:tcPr>
            <w:tcW w:w="5130" w:type="dxa"/>
            <w:tcBorders>
              <w:top w:val="double" w:sz="6" w:space="0" w:color="auto"/>
              <w:bottom w:val="single" w:sz="4" w:space="0" w:color="auto"/>
              <w:right w:val="nil"/>
            </w:tcBorders>
            <w:shd w:val="clear" w:color="auto" w:fill="D9D9D9"/>
          </w:tcPr>
          <w:p w14:paraId="1DB46825" w14:textId="77777777" w:rsidR="00F734C6" w:rsidRPr="00533703" w:rsidRDefault="00F734C6" w:rsidP="00E63937">
            <w:pPr>
              <w:rPr>
                <w:rFonts w:ascii="Arial" w:hAnsi="Arial" w:cs="Arial"/>
                <w:b/>
                <w:sz w:val="22"/>
                <w:szCs w:val="22"/>
              </w:rPr>
            </w:pPr>
            <w:r w:rsidRPr="00533703">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2D0C226B" w14:textId="77777777" w:rsidR="00F734C6" w:rsidRPr="00533703" w:rsidRDefault="00F734C6" w:rsidP="00E63937">
            <w:pPr>
              <w:jc w:val="center"/>
              <w:rPr>
                <w:rFonts w:ascii="Arial" w:hAnsi="Arial" w:cs="Arial"/>
                <w:b/>
                <w:sz w:val="22"/>
                <w:szCs w:val="22"/>
              </w:rPr>
            </w:pPr>
            <w:r w:rsidRPr="00533703">
              <w:rPr>
                <w:rFonts w:ascii="Arial" w:hAnsi="Arial" w:cs="Arial"/>
                <w:b/>
                <w:sz w:val="22"/>
                <w:szCs w:val="22"/>
              </w:rPr>
              <w:t>Tons per Year</w:t>
            </w:r>
          </w:p>
        </w:tc>
      </w:tr>
      <w:tr w:rsidR="00842D60" w:rsidRPr="00533703" w14:paraId="1963420D" w14:textId="77777777" w:rsidTr="008C483E">
        <w:tc>
          <w:tcPr>
            <w:tcW w:w="5130" w:type="dxa"/>
            <w:tcBorders>
              <w:top w:val="single" w:sz="4" w:space="0" w:color="auto"/>
              <w:bottom w:val="single" w:sz="6" w:space="0" w:color="auto"/>
            </w:tcBorders>
            <w:shd w:val="clear" w:color="auto" w:fill="FFFFFF"/>
          </w:tcPr>
          <w:p w14:paraId="6CA84842" w14:textId="77777777" w:rsidR="00842D60" w:rsidRPr="00533703" w:rsidRDefault="00842D60" w:rsidP="008C483E">
            <w:pPr>
              <w:rPr>
                <w:rFonts w:ascii="Arial" w:hAnsi="Arial" w:cs="Arial"/>
                <w:sz w:val="22"/>
              </w:rPr>
            </w:pPr>
            <w:r w:rsidRPr="00533703">
              <w:rPr>
                <w:rFonts w:ascii="Arial" w:hAnsi="Arial" w:cs="Arial"/>
                <w:sz w:val="22"/>
              </w:rPr>
              <w:t xml:space="preserve">HEXANE      </w:t>
            </w:r>
          </w:p>
        </w:tc>
        <w:tc>
          <w:tcPr>
            <w:tcW w:w="5130" w:type="dxa"/>
            <w:tcBorders>
              <w:top w:val="single" w:sz="4" w:space="0" w:color="auto"/>
              <w:bottom w:val="single" w:sz="6" w:space="0" w:color="auto"/>
            </w:tcBorders>
            <w:shd w:val="clear" w:color="auto" w:fill="FFFFFF"/>
            <w:vAlign w:val="bottom"/>
          </w:tcPr>
          <w:p w14:paraId="0EE8F09C" w14:textId="77777777" w:rsidR="00842D60" w:rsidRPr="00533703" w:rsidRDefault="00842D60">
            <w:pPr>
              <w:jc w:val="right"/>
              <w:rPr>
                <w:rFonts w:ascii="Arial" w:hAnsi="Arial" w:cs="Arial"/>
              </w:rPr>
            </w:pPr>
            <w:r w:rsidRPr="00533703">
              <w:rPr>
                <w:rFonts w:ascii="Arial" w:hAnsi="Arial" w:cs="Arial"/>
              </w:rPr>
              <w:t>1.40</w:t>
            </w:r>
          </w:p>
        </w:tc>
      </w:tr>
      <w:tr w:rsidR="00842D60" w:rsidRPr="00533703" w14:paraId="79547AA9" w14:textId="77777777" w:rsidTr="008C483E">
        <w:tc>
          <w:tcPr>
            <w:tcW w:w="5130" w:type="dxa"/>
            <w:tcBorders>
              <w:top w:val="single" w:sz="6" w:space="0" w:color="auto"/>
              <w:bottom w:val="single" w:sz="6" w:space="0" w:color="auto"/>
            </w:tcBorders>
            <w:shd w:val="clear" w:color="auto" w:fill="FFFFFF"/>
          </w:tcPr>
          <w:p w14:paraId="0FE9BB1A" w14:textId="77777777" w:rsidR="00842D60" w:rsidRPr="00533703" w:rsidRDefault="00842D60" w:rsidP="008C483E">
            <w:pPr>
              <w:rPr>
                <w:rFonts w:ascii="Arial" w:hAnsi="Arial" w:cs="Arial"/>
                <w:sz w:val="22"/>
              </w:rPr>
            </w:pPr>
            <w:r w:rsidRPr="00533703">
              <w:rPr>
                <w:rFonts w:ascii="Arial" w:hAnsi="Arial" w:cs="Arial"/>
                <w:sz w:val="22"/>
              </w:rPr>
              <w:t xml:space="preserve">TOLUENE     </w:t>
            </w:r>
          </w:p>
        </w:tc>
        <w:tc>
          <w:tcPr>
            <w:tcW w:w="5130" w:type="dxa"/>
            <w:tcBorders>
              <w:top w:val="single" w:sz="6" w:space="0" w:color="auto"/>
              <w:bottom w:val="single" w:sz="6" w:space="0" w:color="auto"/>
            </w:tcBorders>
            <w:shd w:val="clear" w:color="auto" w:fill="FFFFFF"/>
            <w:vAlign w:val="bottom"/>
          </w:tcPr>
          <w:p w14:paraId="14BB87C6" w14:textId="77777777" w:rsidR="00842D60" w:rsidRPr="00533703" w:rsidRDefault="00842D60">
            <w:pPr>
              <w:jc w:val="right"/>
              <w:rPr>
                <w:rFonts w:ascii="Arial" w:hAnsi="Arial" w:cs="Arial"/>
              </w:rPr>
            </w:pPr>
            <w:r w:rsidRPr="00533703">
              <w:rPr>
                <w:rFonts w:ascii="Arial" w:hAnsi="Arial" w:cs="Arial"/>
              </w:rPr>
              <w:t>0.05</w:t>
            </w:r>
          </w:p>
        </w:tc>
      </w:tr>
      <w:tr w:rsidR="00842D60" w:rsidRPr="00533703" w14:paraId="075F6B82" w14:textId="77777777" w:rsidTr="008C483E">
        <w:tc>
          <w:tcPr>
            <w:tcW w:w="5130" w:type="dxa"/>
            <w:tcBorders>
              <w:top w:val="single" w:sz="6" w:space="0" w:color="auto"/>
              <w:bottom w:val="single" w:sz="6" w:space="0" w:color="auto"/>
            </w:tcBorders>
            <w:shd w:val="clear" w:color="auto" w:fill="FFFFFF"/>
          </w:tcPr>
          <w:p w14:paraId="38F2AD64" w14:textId="77777777" w:rsidR="00842D60" w:rsidRPr="00533703" w:rsidRDefault="00842D60" w:rsidP="008C483E">
            <w:pPr>
              <w:rPr>
                <w:rFonts w:ascii="Arial" w:hAnsi="Arial" w:cs="Arial"/>
                <w:sz w:val="22"/>
              </w:rPr>
            </w:pPr>
            <w:r w:rsidRPr="00533703">
              <w:rPr>
                <w:rFonts w:ascii="Arial" w:hAnsi="Arial" w:cs="Arial"/>
                <w:sz w:val="22"/>
              </w:rPr>
              <w:t>FORMALDEHYDE</w:t>
            </w:r>
          </w:p>
        </w:tc>
        <w:tc>
          <w:tcPr>
            <w:tcW w:w="5130" w:type="dxa"/>
            <w:tcBorders>
              <w:top w:val="single" w:sz="6" w:space="0" w:color="auto"/>
              <w:bottom w:val="single" w:sz="6" w:space="0" w:color="auto"/>
            </w:tcBorders>
            <w:shd w:val="clear" w:color="auto" w:fill="FFFFFF"/>
            <w:vAlign w:val="bottom"/>
          </w:tcPr>
          <w:p w14:paraId="50F2A2E1" w14:textId="77777777" w:rsidR="00842D60" w:rsidRPr="00533703" w:rsidRDefault="00842D60">
            <w:pPr>
              <w:jc w:val="right"/>
              <w:rPr>
                <w:rFonts w:ascii="Arial" w:hAnsi="Arial" w:cs="Arial"/>
              </w:rPr>
            </w:pPr>
            <w:r w:rsidRPr="00533703">
              <w:rPr>
                <w:rFonts w:ascii="Arial" w:hAnsi="Arial" w:cs="Arial"/>
              </w:rPr>
              <w:t>0.04</w:t>
            </w:r>
          </w:p>
        </w:tc>
      </w:tr>
      <w:tr w:rsidR="00842D60" w:rsidRPr="00533703" w14:paraId="1EC5A54A" w14:textId="77777777" w:rsidTr="008C483E">
        <w:tc>
          <w:tcPr>
            <w:tcW w:w="5130" w:type="dxa"/>
            <w:tcBorders>
              <w:top w:val="single" w:sz="6" w:space="0" w:color="auto"/>
              <w:bottom w:val="single" w:sz="6" w:space="0" w:color="auto"/>
            </w:tcBorders>
            <w:shd w:val="clear" w:color="auto" w:fill="FFFFFF"/>
          </w:tcPr>
          <w:p w14:paraId="72ABFE90" w14:textId="77777777" w:rsidR="00842D60" w:rsidRPr="00533703" w:rsidRDefault="00842D60" w:rsidP="008C483E">
            <w:pPr>
              <w:rPr>
                <w:rFonts w:ascii="Arial" w:hAnsi="Arial" w:cs="Arial"/>
                <w:sz w:val="22"/>
              </w:rPr>
            </w:pPr>
            <w:r w:rsidRPr="00533703">
              <w:rPr>
                <w:rFonts w:ascii="Arial" w:hAnsi="Arial" w:cs="Arial"/>
                <w:sz w:val="22"/>
              </w:rPr>
              <w:t>XYLENES ISO (Xylenes (isomers and mixture) )</w:t>
            </w:r>
          </w:p>
        </w:tc>
        <w:tc>
          <w:tcPr>
            <w:tcW w:w="5130" w:type="dxa"/>
            <w:tcBorders>
              <w:top w:val="single" w:sz="6" w:space="0" w:color="auto"/>
              <w:bottom w:val="single" w:sz="6" w:space="0" w:color="auto"/>
            </w:tcBorders>
            <w:shd w:val="clear" w:color="auto" w:fill="FFFFFF"/>
            <w:vAlign w:val="bottom"/>
          </w:tcPr>
          <w:p w14:paraId="4B51DE30" w14:textId="77777777" w:rsidR="00842D60" w:rsidRPr="00533703" w:rsidRDefault="00842D60">
            <w:pPr>
              <w:jc w:val="right"/>
              <w:rPr>
                <w:rFonts w:ascii="Arial" w:hAnsi="Arial" w:cs="Arial"/>
              </w:rPr>
            </w:pPr>
            <w:r w:rsidRPr="00533703">
              <w:rPr>
                <w:rFonts w:ascii="Arial" w:hAnsi="Arial" w:cs="Arial"/>
              </w:rPr>
              <w:t>0.02</w:t>
            </w:r>
          </w:p>
        </w:tc>
      </w:tr>
      <w:tr w:rsidR="00842D60" w:rsidRPr="00533703" w14:paraId="445C098B" w14:textId="77777777" w:rsidTr="008C483E">
        <w:tc>
          <w:tcPr>
            <w:tcW w:w="5130" w:type="dxa"/>
            <w:tcBorders>
              <w:top w:val="single" w:sz="6" w:space="0" w:color="auto"/>
              <w:bottom w:val="single" w:sz="6" w:space="0" w:color="auto"/>
            </w:tcBorders>
            <w:shd w:val="clear" w:color="auto" w:fill="FFFFFF"/>
          </w:tcPr>
          <w:p w14:paraId="1F62D729" w14:textId="77777777" w:rsidR="00842D60" w:rsidRPr="00533703" w:rsidRDefault="00842D60" w:rsidP="008C483E">
            <w:pPr>
              <w:rPr>
                <w:rFonts w:ascii="Arial" w:hAnsi="Arial" w:cs="Arial"/>
                <w:sz w:val="22"/>
              </w:rPr>
            </w:pPr>
            <w:r w:rsidRPr="00533703">
              <w:rPr>
                <w:rFonts w:ascii="Arial" w:hAnsi="Arial" w:cs="Arial"/>
                <w:sz w:val="22"/>
              </w:rPr>
              <w:t>ETHYLBENZENE</w:t>
            </w:r>
          </w:p>
        </w:tc>
        <w:tc>
          <w:tcPr>
            <w:tcW w:w="5130" w:type="dxa"/>
            <w:tcBorders>
              <w:top w:val="single" w:sz="6" w:space="0" w:color="auto"/>
              <w:bottom w:val="single" w:sz="6" w:space="0" w:color="auto"/>
            </w:tcBorders>
            <w:shd w:val="clear" w:color="auto" w:fill="FFFFFF"/>
            <w:vAlign w:val="bottom"/>
          </w:tcPr>
          <w:p w14:paraId="2DE4FA1E" w14:textId="77777777" w:rsidR="00842D60" w:rsidRPr="00533703" w:rsidRDefault="00842D60">
            <w:pPr>
              <w:jc w:val="right"/>
              <w:rPr>
                <w:rFonts w:ascii="Arial" w:hAnsi="Arial" w:cs="Arial"/>
              </w:rPr>
            </w:pPr>
            <w:r w:rsidRPr="00533703">
              <w:rPr>
                <w:rFonts w:ascii="Arial" w:hAnsi="Arial" w:cs="Arial"/>
              </w:rPr>
              <w:t>0.01</w:t>
            </w:r>
          </w:p>
        </w:tc>
      </w:tr>
      <w:tr w:rsidR="00842D60" w:rsidRPr="00533703" w14:paraId="0E15EF78" w14:textId="77777777" w:rsidTr="008C483E">
        <w:tc>
          <w:tcPr>
            <w:tcW w:w="5130" w:type="dxa"/>
            <w:tcBorders>
              <w:top w:val="single" w:sz="6" w:space="0" w:color="auto"/>
              <w:bottom w:val="single" w:sz="6" w:space="0" w:color="auto"/>
            </w:tcBorders>
            <w:shd w:val="clear" w:color="auto" w:fill="FFFFFF"/>
          </w:tcPr>
          <w:p w14:paraId="19E6FFA0" w14:textId="77777777" w:rsidR="00842D60" w:rsidRPr="00533703" w:rsidRDefault="00842D60" w:rsidP="008C483E">
            <w:pPr>
              <w:rPr>
                <w:rFonts w:ascii="Arial" w:hAnsi="Arial" w:cs="Arial"/>
                <w:sz w:val="22"/>
              </w:rPr>
            </w:pPr>
            <w:r w:rsidRPr="00533703">
              <w:rPr>
                <w:rFonts w:ascii="Arial" w:hAnsi="Arial" w:cs="Arial"/>
                <w:sz w:val="22"/>
              </w:rPr>
              <w:t>PRPLENE OXID</w:t>
            </w:r>
          </w:p>
        </w:tc>
        <w:tc>
          <w:tcPr>
            <w:tcW w:w="5130" w:type="dxa"/>
            <w:tcBorders>
              <w:top w:val="single" w:sz="6" w:space="0" w:color="auto"/>
              <w:bottom w:val="single" w:sz="6" w:space="0" w:color="auto"/>
            </w:tcBorders>
            <w:shd w:val="clear" w:color="auto" w:fill="FFFFFF"/>
            <w:vAlign w:val="bottom"/>
          </w:tcPr>
          <w:p w14:paraId="4DE966B4" w14:textId="77777777" w:rsidR="00842D60" w:rsidRPr="00533703" w:rsidRDefault="00842D60">
            <w:pPr>
              <w:jc w:val="right"/>
              <w:rPr>
                <w:rFonts w:ascii="Arial" w:hAnsi="Arial" w:cs="Arial"/>
              </w:rPr>
            </w:pPr>
            <w:r w:rsidRPr="00533703">
              <w:rPr>
                <w:rFonts w:ascii="Arial" w:hAnsi="Arial" w:cs="Arial"/>
              </w:rPr>
              <w:t>0.01</w:t>
            </w:r>
          </w:p>
        </w:tc>
      </w:tr>
      <w:tr w:rsidR="00842D60" w:rsidRPr="00533703" w14:paraId="0ED5405B" w14:textId="77777777" w:rsidTr="008C483E">
        <w:tc>
          <w:tcPr>
            <w:tcW w:w="5130" w:type="dxa"/>
            <w:tcBorders>
              <w:top w:val="single" w:sz="6" w:space="0" w:color="auto"/>
              <w:bottom w:val="single" w:sz="6" w:space="0" w:color="auto"/>
            </w:tcBorders>
            <w:shd w:val="clear" w:color="auto" w:fill="FFFFFF"/>
          </w:tcPr>
          <w:p w14:paraId="7A908D88" w14:textId="77777777" w:rsidR="00842D60" w:rsidRPr="00533703" w:rsidRDefault="00842D60" w:rsidP="008C483E">
            <w:pPr>
              <w:rPr>
                <w:rFonts w:ascii="Arial" w:hAnsi="Arial" w:cs="Arial"/>
                <w:sz w:val="22"/>
              </w:rPr>
            </w:pPr>
            <w:r w:rsidRPr="00533703">
              <w:rPr>
                <w:rFonts w:ascii="Arial" w:hAnsi="Arial" w:cs="Arial"/>
                <w:sz w:val="22"/>
              </w:rPr>
              <w:t>ACETALDEHYDE</w:t>
            </w:r>
          </w:p>
        </w:tc>
        <w:tc>
          <w:tcPr>
            <w:tcW w:w="5130" w:type="dxa"/>
            <w:tcBorders>
              <w:top w:val="single" w:sz="6" w:space="0" w:color="auto"/>
              <w:bottom w:val="single" w:sz="6" w:space="0" w:color="auto"/>
            </w:tcBorders>
            <w:shd w:val="clear" w:color="auto" w:fill="FFFFFF"/>
            <w:vAlign w:val="bottom"/>
          </w:tcPr>
          <w:p w14:paraId="16928A6D" w14:textId="77777777" w:rsidR="00842D60" w:rsidRPr="00533703" w:rsidRDefault="00842D60">
            <w:pPr>
              <w:jc w:val="right"/>
              <w:rPr>
                <w:rFonts w:ascii="Arial" w:hAnsi="Arial" w:cs="Arial"/>
              </w:rPr>
            </w:pPr>
            <w:r w:rsidRPr="00533703">
              <w:rPr>
                <w:rFonts w:ascii="Arial" w:hAnsi="Arial" w:cs="Arial"/>
              </w:rPr>
              <w:t>0.01</w:t>
            </w:r>
          </w:p>
        </w:tc>
      </w:tr>
      <w:tr w:rsidR="00842D60" w:rsidRPr="00533703" w14:paraId="374FE48F" w14:textId="77777777" w:rsidTr="008C483E">
        <w:tc>
          <w:tcPr>
            <w:tcW w:w="5130" w:type="dxa"/>
            <w:tcBorders>
              <w:top w:val="single" w:sz="6" w:space="0" w:color="auto"/>
              <w:bottom w:val="single" w:sz="6" w:space="0" w:color="auto"/>
            </w:tcBorders>
            <w:shd w:val="clear" w:color="auto" w:fill="FFFFFF"/>
          </w:tcPr>
          <w:p w14:paraId="2612A4D9" w14:textId="77777777" w:rsidR="00842D60" w:rsidRPr="00533703" w:rsidRDefault="00842D60" w:rsidP="008C483E">
            <w:pPr>
              <w:rPr>
                <w:rFonts w:ascii="Arial" w:hAnsi="Arial" w:cs="Arial"/>
                <w:sz w:val="22"/>
              </w:rPr>
            </w:pPr>
            <w:r w:rsidRPr="00533703">
              <w:rPr>
                <w:rFonts w:ascii="Arial" w:hAnsi="Arial" w:cs="Arial"/>
                <w:sz w:val="22"/>
              </w:rPr>
              <w:t xml:space="preserve">BENZENE     </w:t>
            </w:r>
          </w:p>
        </w:tc>
        <w:tc>
          <w:tcPr>
            <w:tcW w:w="5130" w:type="dxa"/>
            <w:tcBorders>
              <w:top w:val="single" w:sz="6" w:space="0" w:color="auto"/>
              <w:bottom w:val="single" w:sz="6" w:space="0" w:color="auto"/>
            </w:tcBorders>
            <w:shd w:val="clear" w:color="auto" w:fill="FFFFFF"/>
            <w:vAlign w:val="bottom"/>
          </w:tcPr>
          <w:p w14:paraId="344ADEBE" w14:textId="77777777" w:rsidR="00842D60" w:rsidRPr="00533703" w:rsidRDefault="00842D60">
            <w:pPr>
              <w:jc w:val="right"/>
              <w:rPr>
                <w:rFonts w:ascii="Arial" w:hAnsi="Arial" w:cs="Arial"/>
              </w:rPr>
            </w:pPr>
            <w:r w:rsidRPr="00533703">
              <w:rPr>
                <w:rFonts w:ascii="Arial" w:hAnsi="Arial" w:cs="Arial"/>
              </w:rPr>
              <w:t>0.01</w:t>
            </w:r>
          </w:p>
        </w:tc>
      </w:tr>
      <w:tr w:rsidR="00842D60" w:rsidRPr="00533703" w14:paraId="6187D8F7" w14:textId="77777777" w:rsidTr="008C483E">
        <w:tc>
          <w:tcPr>
            <w:tcW w:w="5130" w:type="dxa"/>
            <w:tcBorders>
              <w:top w:val="single" w:sz="6" w:space="0" w:color="auto"/>
              <w:bottom w:val="single" w:sz="6" w:space="0" w:color="auto"/>
            </w:tcBorders>
            <w:shd w:val="clear" w:color="auto" w:fill="FFFFFF"/>
          </w:tcPr>
          <w:p w14:paraId="0F000B02" w14:textId="77777777" w:rsidR="00842D60" w:rsidRPr="00533703" w:rsidRDefault="00842D60" w:rsidP="008C483E">
            <w:pPr>
              <w:rPr>
                <w:rFonts w:ascii="Arial" w:hAnsi="Arial" w:cs="Arial"/>
                <w:sz w:val="22"/>
              </w:rPr>
            </w:pPr>
            <w:r w:rsidRPr="00533703">
              <w:rPr>
                <w:rFonts w:ascii="Arial" w:hAnsi="Arial" w:cs="Arial"/>
                <w:sz w:val="22"/>
              </w:rPr>
              <w:t xml:space="preserve">PHENOL      </w:t>
            </w:r>
          </w:p>
        </w:tc>
        <w:tc>
          <w:tcPr>
            <w:tcW w:w="5130" w:type="dxa"/>
            <w:tcBorders>
              <w:top w:val="single" w:sz="6" w:space="0" w:color="auto"/>
              <w:bottom w:val="single" w:sz="6" w:space="0" w:color="auto"/>
            </w:tcBorders>
            <w:shd w:val="clear" w:color="auto" w:fill="FFFFFF"/>
            <w:vAlign w:val="bottom"/>
          </w:tcPr>
          <w:p w14:paraId="0FB30307" w14:textId="77777777" w:rsidR="00842D60" w:rsidRPr="00533703" w:rsidRDefault="00842D60">
            <w:pPr>
              <w:jc w:val="right"/>
              <w:rPr>
                <w:rFonts w:ascii="Arial" w:hAnsi="Arial" w:cs="Arial"/>
              </w:rPr>
            </w:pPr>
            <w:r w:rsidRPr="00533703">
              <w:rPr>
                <w:rFonts w:ascii="Arial" w:hAnsi="Arial" w:cs="Arial"/>
              </w:rPr>
              <w:t>0.0048</w:t>
            </w:r>
          </w:p>
        </w:tc>
      </w:tr>
      <w:tr w:rsidR="00842D60" w:rsidRPr="00533703" w14:paraId="28AF7BF9" w14:textId="77777777" w:rsidTr="008C483E">
        <w:tc>
          <w:tcPr>
            <w:tcW w:w="5130" w:type="dxa"/>
            <w:tcBorders>
              <w:top w:val="single" w:sz="6" w:space="0" w:color="auto"/>
              <w:bottom w:val="single" w:sz="6" w:space="0" w:color="auto"/>
            </w:tcBorders>
            <w:shd w:val="clear" w:color="auto" w:fill="FFFFFF"/>
          </w:tcPr>
          <w:p w14:paraId="339B6920" w14:textId="77777777" w:rsidR="00842D60" w:rsidRPr="00533703" w:rsidRDefault="00842D60" w:rsidP="008C483E">
            <w:pPr>
              <w:rPr>
                <w:rFonts w:ascii="Arial" w:hAnsi="Arial" w:cs="Arial"/>
                <w:sz w:val="22"/>
              </w:rPr>
            </w:pPr>
            <w:r w:rsidRPr="00533703">
              <w:rPr>
                <w:rFonts w:ascii="Arial" w:hAnsi="Arial" w:cs="Arial"/>
                <w:sz w:val="22"/>
              </w:rPr>
              <w:t xml:space="preserve">ACROLEIN    </w:t>
            </w:r>
          </w:p>
        </w:tc>
        <w:tc>
          <w:tcPr>
            <w:tcW w:w="5130" w:type="dxa"/>
            <w:tcBorders>
              <w:top w:val="single" w:sz="6" w:space="0" w:color="auto"/>
              <w:bottom w:val="single" w:sz="6" w:space="0" w:color="auto"/>
            </w:tcBorders>
            <w:shd w:val="clear" w:color="auto" w:fill="FFFFFF"/>
            <w:vAlign w:val="bottom"/>
          </w:tcPr>
          <w:p w14:paraId="6C1CD1F4" w14:textId="77777777" w:rsidR="00842D60" w:rsidRPr="00533703" w:rsidRDefault="00842D60">
            <w:pPr>
              <w:jc w:val="right"/>
              <w:rPr>
                <w:rFonts w:ascii="Arial" w:hAnsi="Arial" w:cs="Arial"/>
              </w:rPr>
            </w:pPr>
            <w:r w:rsidRPr="00533703">
              <w:rPr>
                <w:rFonts w:ascii="Arial" w:hAnsi="Arial" w:cs="Arial"/>
              </w:rPr>
              <w:t>0.0024</w:t>
            </w:r>
          </w:p>
        </w:tc>
      </w:tr>
      <w:tr w:rsidR="00842D60" w:rsidRPr="00533703" w14:paraId="1F0C6FAF" w14:textId="77777777" w:rsidTr="008C483E">
        <w:tc>
          <w:tcPr>
            <w:tcW w:w="5130" w:type="dxa"/>
            <w:tcBorders>
              <w:top w:val="single" w:sz="6" w:space="0" w:color="auto"/>
              <w:bottom w:val="single" w:sz="6" w:space="0" w:color="auto"/>
            </w:tcBorders>
            <w:shd w:val="clear" w:color="auto" w:fill="FFFFFF"/>
          </w:tcPr>
          <w:p w14:paraId="6F33BC85" w14:textId="77777777" w:rsidR="00842D60" w:rsidRPr="00533703" w:rsidRDefault="00842D60" w:rsidP="008C483E">
            <w:pPr>
              <w:rPr>
                <w:rFonts w:ascii="Arial" w:hAnsi="Arial" w:cs="Arial"/>
                <w:sz w:val="22"/>
              </w:rPr>
            </w:pPr>
            <w:r w:rsidRPr="00533703">
              <w:rPr>
                <w:rFonts w:ascii="Arial" w:hAnsi="Arial" w:cs="Arial"/>
                <w:sz w:val="22"/>
              </w:rPr>
              <w:t xml:space="preserve">NAPHTHALENE </w:t>
            </w:r>
          </w:p>
        </w:tc>
        <w:tc>
          <w:tcPr>
            <w:tcW w:w="5130" w:type="dxa"/>
            <w:tcBorders>
              <w:top w:val="single" w:sz="6" w:space="0" w:color="auto"/>
              <w:bottom w:val="single" w:sz="6" w:space="0" w:color="auto"/>
            </w:tcBorders>
            <w:shd w:val="clear" w:color="auto" w:fill="FFFFFF"/>
            <w:vAlign w:val="bottom"/>
          </w:tcPr>
          <w:p w14:paraId="2ED43BF2" w14:textId="77777777" w:rsidR="00842D60" w:rsidRPr="00533703" w:rsidRDefault="00842D60">
            <w:pPr>
              <w:jc w:val="right"/>
              <w:rPr>
                <w:rFonts w:ascii="Arial" w:hAnsi="Arial" w:cs="Arial"/>
              </w:rPr>
            </w:pPr>
            <w:r w:rsidRPr="00533703">
              <w:rPr>
                <w:rFonts w:ascii="Arial" w:hAnsi="Arial" w:cs="Arial"/>
              </w:rPr>
              <w:t>0.0008</w:t>
            </w:r>
          </w:p>
        </w:tc>
      </w:tr>
      <w:tr w:rsidR="00842D60" w:rsidRPr="00533703" w14:paraId="4ECC34B2" w14:textId="77777777" w:rsidTr="008C483E">
        <w:tc>
          <w:tcPr>
            <w:tcW w:w="5130" w:type="dxa"/>
            <w:tcBorders>
              <w:top w:val="single" w:sz="6" w:space="0" w:color="auto"/>
              <w:bottom w:val="single" w:sz="6" w:space="0" w:color="auto"/>
            </w:tcBorders>
            <w:shd w:val="clear" w:color="auto" w:fill="FFFFFF"/>
          </w:tcPr>
          <w:p w14:paraId="3B254BF7" w14:textId="77777777" w:rsidR="00842D60" w:rsidRPr="00533703" w:rsidRDefault="00842D60" w:rsidP="008C483E">
            <w:pPr>
              <w:rPr>
                <w:rFonts w:ascii="Arial" w:hAnsi="Arial" w:cs="Arial"/>
                <w:sz w:val="22"/>
              </w:rPr>
            </w:pPr>
            <w:r w:rsidRPr="00533703">
              <w:rPr>
                <w:rFonts w:ascii="Arial" w:hAnsi="Arial" w:cs="Arial"/>
                <w:sz w:val="22"/>
              </w:rPr>
              <w:t>BUTADIENE,13</w:t>
            </w:r>
          </w:p>
        </w:tc>
        <w:tc>
          <w:tcPr>
            <w:tcW w:w="5130" w:type="dxa"/>
            <w:tcBorders>
              <w:top w:val="single" w:sz="6" w:space="0" w:color="auto"/>
              <w:bottom w:val="single" w:sz="6" w:space="0" w:color="auto"/>
            </w:tcBorders>
            <w:shd w:val="clear" w:color="auto" w:fill="FFFFFF"/>
            <w:vAlign w:val="bottom"/>
          </w:tcPr>
          <w:p w14:paraId="20E00FD5" w14:textId="77777777" w:rsidR="00842D60" w:rsidRPr="00533703" w:rsidRDefault="00842D60">
            <w:pPr>
              <w:jc w:val="right"/>
              <w:rPr>
                <w:rFonts w:ascii="Arial" w:hAnsi="Arial" w:cs="Arial"/>
              </w:rPr>
            </w:pPr>
            <w:r w:rsidRPr="00533703">
              <w:rPr>
                <w:rFonts w:ascii="Arial" w:hAnsi="Arial" w:cs="Arial"/>
              </w:rPr>
              <w:t>0.0002</w:t>
            </w:r>
          </w:p>
        </w:tc>
      </w:tr>
      <w:tr w:rsidR="00842D60" w:rsidRPr="00533703" w14:paraId="473B5B2A" w14:textId="77777777" w:rsidTr="00B20EA1">
        <w:tc>
          <w:tcPr>
            <w:tcW w:w="5130" w:type="dxa"/>
            <w:tcBorders>
              <w:top w:val="single" w:sz="6" w:space="0" w:color="auto"/>
              <w:bottom w:val="single" w:sz="6" w:space="0" w:color="auto"/>
            </w:tcBorders>
            <w:shd w:val="clear" w:color="auto" w:fill="FFFFFF"/>
          </w:tcPr>
          <w:p w14:paraId="0B0E7419" w14:textId="77777777" w:rsidR="00842D60" w:rsidRPr="00533703" w:rsidRDefault="00842D60" w:rsidP="008C483E">
            <w:pPr>
              <w:rPr>
                <w:rFonts w:ascii="Arial" w:hAnsi="Arial" w:cs="Arial"/>
                <w:sz w:val="22"/>
              </w:rPr>
            </w:pPr>
            <w:r w:rsidRPr="00533703">
              <w:rPr>
                <w:rFonts w:ascii="Arial" w:hAnsi="Arial" w:cs="Arial"/>
                <w:sz w:val="22"/>
              </w:rPr>
              <w:t xml:space="preserve">PHOSPHORUS  </w:t>
            </w:r>
          </w:p>
        </w:tc>
        <w:tc>
          <w:tcPr>
            <w:tcW w:w="5130" w:type="dxa"/>
            <w:tcBorders>
              <w:top w:val="single" w:sz="6" w:space="0" w:color="auto"/>
              <w:bottom w:val="single" w:sz="6" w:space="0" w:color="auto"/>
            </w:tcBorders>
            <w:shd w:val="clear" w:color="auto" w:fill="FFFFFF"/>
            <w:vAlign w:val="bottom"/>
          </w:tcPr>
          <w:p w14:paraId="448897FB" w14:textId="77777777" w:rsidR="00842D60" w:rsidRPr="00533703" w:rsidRDefault="00842D60">
            <w:pPr>
              <w:jc w:val="right"/>
              <w:rPr>
                <w:rFonts w:ascii="Arial" w:hAnsi="Arial" w:cs="Arial"/>
              </w:rPr>
            </w:pPr>
            <w:r w:rsidRPr="00533703">
              <w:rPr>
                <w:rFonts w:ascii="Arial" w:hAnsi="Arial" w:cs="Arial"/>
              </w:rPr>
              <w:t>0.0001</w:t>
            </w:r>
          </w:p>
        </w:tc>
      </w:tr>
      <w:tr w:rsidR="00842D60" w:rsidRPr="00533703" w14:paraId="07BABE75" w14:textId="77777777" w:rsidTr="001B0275">
        <w:tc>
          <w:tcPr>
            <w:tcW w:w="5130" w:type="dxa"/>
            <w:tcBorders>
              <w:top w:val="single" w:sz="6" w:space="0" w:color="auto"/>
              <w:bottom w:val="double" w:sz="4" w:space="0" w:color="auto"/>
            </w:tcBorders>
            <w:shd w:val="clear" w:color="auto" w:fill="FFFFFF"/>
          </w:tcPr>
          <w:p w14:paraId="4B253213" w14:textId="77777777" w:rsidR="00842D60" w:rsidRPr="00533703" w:rsidRDefault="00842D60" w:rsidP="00E63937">
            <w:pPr>
              <w:rPr>
                <w:rFonts w:ascii="Arial" w:hAnsi="Arial" w:cs="Arial"/>
                <w:b/>
                <w:sz w:val="22"/>
                <w:szCs w:val="22"/>
              </w:rPr>
            </w:pPr>
            <w:r w:rsidRPr="00533703">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CFED83E" w14:textId="77777777" w:rsidR="00842D60" w:rsidRPr="00533703" w:rsidRDefault="00842D60" w:rsidP="00842D60">
            <w:pPr>
              <w:jc w:val="right"/>
              <w:rPr>
                <w:rFonts w:ascii="Arial" w:hAnsi="Arial" w:cs="Arial"/>
                <w:b/>
                <w:sz w:val="22"/>
                <w:szCs w:val="22"/>
              </w:rPr>
            </w:pPr>
            <w:r w:rsidRPr="00533703">
              <w:rPr>
                <w:rFonts w:ascii="Arial" w:hAnsi="Arial" w:cs="Arial"/>
                <w:b/>
                <w:sz w:val="22"/>
                <w:szCs w:val="22"/>
              </w:rPr>
              <w:t>1.56</w:t>
            </w:r>
          </w:p>
        </w:tc>
      </w:tr>
    </w:tbl>
    <w:p w14:paraId="222952C4" w14:textId="77777777" w:rsidR="00F734C6" w:rsidRPr="00533703" w:rsidRDefault="00F734C6" w:rsidP="00F734C6">
      <w:pPr>
        <w:rPr>
          <w:rFonts w:ascii="Arial" w:hAnsi="Arial" w:cs="Arial"/>
          <w:sz w:val="22"/>
          <w:szCs w:val="22"/>
        </w:rPr>
      </w:pPr>
      <w:r w:rsidRPr="00533703">
        <w:rPr>
          <w:rFonts w:ascii="Arial" w:hAnsi="Arial" w:cs="Arial"/>
          <w:sz w:val="22"/>
          <w:szCs w:val="22"/>
        </w:rPr>
        <w:t>**As listed pursuant to Section 112(b) of the federal Clean Air Act.</w:t>
      </w:r>
    </w:p>
    <w:p w14:paraId="2658EEE3" w14:textId="77777777" w:rsidR="000F73C3" w:rsidRPr="00533703" w:rsidRDefault="000F73C3" w:rsidP="00167B85">
      <w:pPr>
        <w:jc w:val="both"/>
        <w:rPr>
          <w:rFonts w:ascii="Arial" w:hAnsi="Arial" w:cs="Arial"/>
          <w:sz w:val="22"/>
          <w:szCs w:val="22"/>
        </w:rPr>
      </w:pPr>
    </w:p>
    <w:p w14:paraId="3CD15175" w14:textId="77777777" w:rsidR="00DB5924" w:rsidRPr="00533703" w:rsidRDefault="00DB5924" w:rsidP="00167B85">
      <w:pPr>
        <w:jc w:val="both"/>
        <w:rPr>
          <w:rFonts w:ascii="Arial" w:hAnsi="Arial" w:cs="Arial"/>
          <w:sz w:val="22"/>
          <w:szCs w:val="22"/>
        </w:rPr>
      </w:pPr>
      <w:r w:rsidRPr="00533703">
        <w:rPr>
          <w:rFonts w:ascii="Arial" w:hAnsi="Arial" w:cs="Arial"/>
          <w:sz w:val="22"/>
          <w:szCs w:val="22"/>
        </w:rPr>
        <w:t xml:space="preserve">See </w:t>
      </w:r>
      <w:r w:rsidR="00C54ADE" w:rsidRPr="00533703">
        <w:rPr>
          <w:rFonts w:ascii="Arial" w:hAnsi="Arial" w:cs="Arial"/>
          <w:sz w:val="22"/>
          <w:szCs w:val="22"/>
        </w:rPr>
        <w:t>Part</w:t>
      </w:r>
      <w:r w:rsidRPr="00533703">
        <w:rPr>
          <w:rFonts w:ascii="Arial" w:hAnsi="Arial" w:cs="Arial"/>
          <w:sz w:val="22"/>
          <w:szCs w:val="22"/>
        </w:rPr>
        <w:t xml:space="preserve">s C and D in the ROP for summary tables of all processes at the stationary source that are subject to process-specific emission limits or standards. </w:t>
      </w:r>
    </w:p>
    <w:p w14:paraId="452ECAEC" w14:textId="77777777" w:rsidR="00AF4326" w:rsidRPr="00533703" w:rsidRDefault="00AF4326">
      <w:pPr>
        <w:rPr>
          <w:rFonts w:ascii="Arial" w:hAnsi="Arial" w:cs="Arial"/>
          <w:sz w:val="22"/>
          <w:szCs w:val="22"/>
        </w:rPr>
      </w:pPr>
    </w:p>
    <w:p w14:paraId="2F2B9C46" w14:textId="77777777" w:rsidR="00AF4326" w:rsidRPr="00533703" w:rsidRDefault="00AF4326">
      <w:pPr>
        <w:rPr>
          <w:rFonts w:ascii="Arial" w:hAnsi="Arial" w:cs="Arial"/>
          <w:b/>
          <w:sz w:val="22"/>
          <w:szCs w:val="22"/>
          <w:u w:val="single"/>
        </w:rPr>
      </w:pPr>
      <w:bookmarkStart w:id="37" w:name="_Toc480946819"/>
      <w:bookmarkStart w:id="38" w:name="_Toc482691114"/>
      <w:r w:rsidRPr="00533703">
        <w:rPr>
          <w:rFonts w:ascii="Arial" w:hAnsi="Arial" w:cs="Arial"/>
          <w:b/>
          <w:sz w:val="22"/>
          <w:szCs w:val="22"/>
          <w:u w:val="single"/>
        </w:rPr>
        <w:t>Regulatory Analysis</w:t>
      </w:r>
      <w:bookmarkEnd w:id="37"/>
      <w:bookmarkEnd w:id="38"/>
    </w:p>
    <w:p w14:paraId="3716E96B" w14:textId="77777777" w:rsidR="00AF4326" w:rsidRPr="00533703" w:rsidRDefault="00AF4326" w:rsidP="00972022">
      <w:pPr>
        <w:jc w:val="both"/>
        <w:rPr>
          <w:rFonts w:ascii="Arial" w:hAnsi="Arial" w:cs="Arial"/>
          <w:b/>
          <w:sz w:val="22"/>
          <w:szCs w:val="22"/>
        </w:rPr>
      </w:pPr>
    </w:p>
    <w:p w14:paraId="05058C5C" w14:textId="77777777" w:rsidR="000F73C3" w:rsidRPr="00533703" w:rsidRDefault="000F73C3" w:rsidP="00972022">
      <w:pPr>
        <w:jc w:val="both"/>
        <w:outlineLvl w:val="0"/>
        <w:rPr>
          <w:rFonts w:ascii="Arial" w:hAnsi="Arial" w:cs="Arial"/>
          <w:sz w:val="22"/>
          <w:szCs w:val="22"/>
        </w:rPr>
      </w:pPr>
      <w:r w:rsidRPr="00533703">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40E65AC5" w14:textId="77777777" w:rsidR="000F73C3" w:rsidRPr="00533703" w:rsidRDefault="000F73C3" w:rsidP="00972022">
      <w:pPr>
        <w:jc w:val="both"/>
        <w:outlineLvl w:val="0"/>
        <w:rPr>
          <w:rFonts w:ascii="Arial" w:hAnsi="Arial" w:cs="Arial"/>
          <w:sz w:val="22"/>
          <w:szCs w:val="22"/>
        </w:rPr>
      </w:pPr>
    </w:p>
    <w:p w14:paraId="60351DFE" w14:textId="222E9742" w:rsidR="000F73C3" w:rsidRPr="00533703" w:rsidRDefault="00ED0FE9" w:rsidP="00972022">
      <w:pPr>
        <w:jc w:val="both"/>
        <w:outlineLvl w:val="0"/>
        <w:rPr>
          <w:rFonts w:ascii="Arial" w:hAnsi="Arial" w:cs="Arial"/>
          <w:sz w:val="22"/>
          <w:szCs w:val="22"/>
        </w:rPr>
      </w:pPr>
      <w:r w:rsidRPr="00533703">
        <w:rPr>
          <w:rFonts w:ascii="Arial" w:hAnsi="Arial" w:cs="Arial"/>
          <w:sz w:val="22"/>
          <w:szCs w:val="22"/>
        </w:rPr>
        <w:t xml:space="preserve">The </w:t>
      </w:r>
      <w:r w:rsidR="00704DC1">
        <w:rPr>
          <w:rFonts w:ascii="Arial" w:hAnsi="Arial" w:cs="Arial"/>
          <w:sz w:val="22"/>
          <w:szCs w:val="22"/>
        </w:rPr>
        <w:t xml:space="preserve">DTE Electric </w:t>
      </w:r>
      <w:r w:rsidRPr="00533703">
        <w:rPr>
          <w:rFonts w:ascii="Arial" w:hAnsi="Arial" w:cs="Arial"/>
          <w:sz w:val="22"/>
          <w:szCs w:val="22"/>
        </w:rPr>
        <w:t>Greenwood Energy Center’s initial renewable operating permit was issued on May 30, 2002. The initial ROP’s expiration date was January 1, 2005 to coincide with the expiration date of the Acid Rain Permits for this source.</w:t>
      </w:r>
      <w:r w:rsidR="00972022">
        <w:rPr>
          <w:rFonts w:ascii="Arial" w:hAnsi="Arial" w:cs="Arial"/>
          <w:sz w:val="22"/>
          <w:szCs w:val="22"/>
        </w:rPr>
        <w:t xml:space="preserve"> </w:t>
      </w:r>
      <w:r w:rsidRPr="00533703">
        <w:rPr>
          <w:rFonts w:ascii="Arial" w:hAnsi="Arial" w:cs="Arial"/>
          <w:sz w:val="22"/>
          <w:szCs w:val="22"/>
        </w:rPr>
        <w:t xml:space="preserve"> The initial renewal of this ROP was issued on January 1, 2006. The second renewal of this ROP was issued on October 1, 2011.  This is the third renewal </w:t>
      </w:r>
      <w:r w:rsidR="006117FC" w:rsidRPr="00533703">
        <w:rPr>
          <w:rFonts w:ascii="Arial" w:hAnsi="Arial" w:cs="Arial"/>
          <w:sz w:val="22"/>
          <w:szCs w:val="22"/>
        </w:rPr>
        <w:t>of</w:t>
      </w:r>
      <w:r w:rsidRPr="00533703">
        <w:rPr>
          <w:rFonts w:ascii="Arial" w:hAnsi="Arial" w:cs="Arial"/>
          <w:sz w:val="22"/>
          <w:szCs w:val="22"/>
        </w:rPr>
        <w:t xml:space="preserve"> this ROP.</w:t>
      </w:r>
    </w:p>
    <w:p w14:paraId="70CC7EB9" w14:textId="77777777" w:rsidR="00ED0FE9" w:rsidRPr="00533703" w:rsidRDefault="00ED0FE9" w:rsidP="00972022">
      <w:pPr>
        <w:jc w:val="both"/>
        <w:outlineLvl w:val="0"/>
        <w:rPr>
          <w:rFonts w:ascii="Arial" w:hAnsi="Arial" w:cs="Arial"/>
          <w:sz w:val="22"/>
          <w:szCs w:val="22"/>
        </w:rPr>
      </w:pPr>
    </w:p>
    <w:p w14:paraId="70267D29" w14:textId="5B00A224" w:rsidR="00D95EB4" w:rsidRPr="00533703" w:rsidRDefault="00D95EB4" w:rsidP="00972022">
      <w:pPr>
        <w:jc w:val="both"/>
        <w:rPr>
          <w:rFonts w:ascii="Arial" w:hAnsi="Arial" w:cs="Arial"/>
          <w:sz w:val="22"/>
          <w:szCs w:val="22"/>
        </w:rPr>
      </w:pPr>
      <w:r w:rsidRPr="00533703">
        <w:rPr>
          <w:rFonts w:ascii="Arial" w:hAnsi="Arial" w:cs="Arial"/>
          <w:sz w:val="22"/>
          <w:szCs w:val="22"/>
        </w:rPr>
        <w:t xml:space="preserve">A portion of </w:t>
      </w:r>
      <w:r w:rsidR="00D51458" w:rsidRPr="00533703">
        <w:rPr>
          <w:rFonts w:ascii="Arial" w:hAnsi="Arial" w:cs="Arial"/>
          <w:sz w:val="22"/>
          <w:szCs w:val="22"/>
        </w:rPr>
        <w:t>Saint Clair</w:t>
      </w:r>
      <w:r w:rsidRPr="00533703">
        <w:rPr>
          <w:rFonts w:ascii="Arial" w:hAnsi="Arial" w:cs="Arial"/>
          <w:sz w:val="22"/>
          <w:szCs w:val="22"/>
        </w:rPr>
        <w:t xml:space="preserve"> County is currently designated by the U.S. Environmental Protection Agency (USEPA) as a non-attainment area with respect to the SO</w:t>
      </w:r>
      <w:r w:rsidRPr="00533703">
        <w:rPr>
          <w:rFonts w:ascii="Arial" w:hAnsi="Arial" w:cs="Arial"/>
          <w:sz w:val="22"/>
          <w:szCs w:val="22"/>
          <w:vertAlign w:val="subscript"/>
        </w:rPr>
        <w:t>2</w:t>
      </w:r>
      <w:r w:rsidRPr="00533703">
        <w:rPr>
          <w:rFonts w:ascii="Arial" w:hAnsi="Arial" w:cs="Arial"/>
          <w:sz w:val="22"/>
          <w:szCs w:val="22"/>
        </w:rPr>
        <w:t xml:space="preserve"> standard.</w:t>
      </w:r>
      <w:r w:rsidR="009A48F7" w:rsidRPr="00533703">
        <w:rPr>
          <w:rFonts w:ascii="Arial" w:hAnsi="Arial" w:cs="Arial"/>
          <w:sz w:val="22"/>
          <w:szCs w:val="22"/>
        </w:rPr>
        <w:t xml:space="preserve">  The </w:t>
      </w:r>
      <w:r w:rsidR="00704DC1">
        <w:rPr>
          <w:rFonts w:ascii="Arial" w:hAnsi="Arial" w:cs="Arial"/>
          <w:sz w:val="22"/>
          <w:szCs w:val="22"/>
        </w:rPr>
        <w:t xml:space="preserve">DTE Electric </w:t>
      </w:r>
      <w:r w:rsidR="009A48F7" w:rsidRPr="00533703">
        <w:rPr>
          <w:rFonts w:ascii="Arial" w:hAnsi="Arial" w:cs="Arial"/>
          <w:sz w:val="22"/>
          <w:szCs w:val="22"/>
        </w:rPr>
        <w:t>Greenwood Energy Center is located in Saint Clair County but is located outside the designated non-attainment area with respect to the SO</w:t>
      </w:r>
      <w:r w:rsidR="009A48F7" w:rsidRPr="00533703">
        <w:rPr>
          <w:rFonts w:ascii="Arial" w:hAnsi="Arial" w:cs="Arial"/>
          <w:sz w:val="22"/>
          <w:szCs w:val="22"/>
          <w:vertAlign w:val="subscript"/>
        </w:rPr>
        <w:t>2</w:t>
      </w:r>
      <w:r w:rsidR="009A48F7" w:rsidRPr="00533703">
        <w:rPr>
          <w:rFonts w:ascii="Arial" w:hAnsi="Arial" w:cs="Arial"/>
          <w:sz w:val="22"/>
          <w:szCs w:val="22"/>
        </w:rPr>
        <w:t xml:space="preserve"> standard.  The entire State of </w:t>
      </w:r>
      <w:r w:rsidR="00D60AC5" w:rsidRPr="00533703">
        <w:rPr>
          <w:rFonts w:ascii="Arial" w:hAnsi="Arial" w:cs="Arial"/>
          <w:sz w:val="22"/>
          <w:szCs w:val="22"/>
        </w:rPr>
        <w:t>Michigan is currently designated as in attainment for the following Nation Ambient Air Quality Standards: Ozone (O</w:t>
      </w:r>
      <w:r w:rsidR="00D60AC5" w:rsidRPr="00533703">
        <w:rPr>
          <w:rFonts w:ascii="Arial" w:hAnsi="Arial" w:cs="Arial"/>
          <w:sz w:val="22"/>
          <w:szCs w:val="22"/>
          <w:vertAlign w:val="subscript"/>
        </w:rPr>
        <w:t>3</w:t>
      </w:r>
      <w:r w:rsidR="00D60AC5" w:rsidRPr="00533703">
        <w:rPr>
          <w:rFonts w:ascii="Arial" w:hAnsi="Arial" w:cs="Arial"/>
          <w:sz w:val="22"/>
          <w:szCs w:val="22"/>
        </w:rPr>
        <w:t>), Carbon Monoxide (CO), Nitrogen Dioxide (NO</w:t>
      </w:r>
      <w:r w:rsidR="00D60AC5" w:rsidRPr="00533703">
        <w:rPr>
          <w:rFonts w:ascii="Arial" w:hAnsi="Arial" w:cs="Arial"/>
          <w:sz w:val="22"/>
          <w:szCs w:val="22"/>
          <w:vertAlign w:val="subscript"/>
        </w:rPr>
        <w:t>2</w:t>
      </w:r>
      <w:r w:rsidR="00D60AC5" w:rsidRPr="00533703">
        <w:rPr>
          <w:rFonts w:ascii="Arial" w:hAnsi="Arial" w:cs="Arial"/>
          <w:sz w:val="22"/>
          <w:szCs w:val="22"/>
        </w:rPr>
        <w:t>), Particulate Matter</w:t>
      </w:r>
      <w:r w:rsidR="00025B86">
        <w:rPr>
          <w:rFonts w:ascii="Arial" w:hAnsi="Arial" w:cs="Arial"/>
          <w:sz w:val="22"/>
          <w:szCs w:val="22"/>
        </w:rPr>
        <w:t xml:space="preserve"> equal to or less than 10 microns in diameter</w:t>
      </w:r>
      <w:r w:rsidR="00D60AC5" w:rsidRPr="00533703">
        <w:rPr>
          <w:rFonts w:ascii="Arial" w:hAnsi="Arial" w:cs="Arial"/>
          <w:sz w:val="22"/>
          <w:szCs w:val="22"/>
        </w:rPr>
        <w:t xml:space="preserve"> (PM</w:t>
      </w:r>
      <w:r w:rsidR="00D60AC5" w:rsidRPr="00533703">
        <w:rPr>
          <w:rFonts w:ascii="Arial" w:hAnsi="Arial" w:cs="Arial"/>
          <w:sz w:val="22"/>
          <w:szCs w:val="22"/>
          <w:vertAlign w:val="subscript"/>
        </w:rPr>
        <w:t>10</w:t>
      </w:r>
      <w:r w:rsidR="00D60AC5" w:rsidRPr="00533703">
        <w:rPr>
          <w:rFonts w:ascii="Arial" w:hAnsi="Arial" w:cs="Arial"/>
          <w:sz w:val="22"/>
          <w:szCs w:val="22"/>
        </w:rPr>
        <w:t>), Annual and 24-hour Particulate Matter</w:t>
      </w:r>
      <w:r w:rsidR="00025B86">
        <w:rPr>
          <w:rFonts w:ascii="Arial" w:hAnsi="Arial" w:cs="Arial"/>
          <w:sz w:val="22"/>
          <w:szCs w:val="22"/>
        </w:rPr>
        <w:t xml:space="preserve"> equal to or less than 2.5 microns in diameter</w:t>
      </w:r>
      <w:r w:rsidR="00D60AC5" w:rsidRPr="00533703">
        <w:rPr>
          <w:rFonts w:ascii="Arial" w:hAnsi="Arial" w:cs="Arial"/>
          <w:sz w:val="22"/>
          <w:szCs w:val="22"/>
        </w:rPr>
        <w:t xml:space="preserve"> (PM</w:t>
      </w:r>
      <w:r w:rsidR="00D60AC5" w:rsidRPr="00533703">
        <w:rPr>
          <w:rFonts w:ascii="Arial" w:hAnsi="Arial" w:cs="Arial"/>
          <w:sz w:val="22"/>
          <w:szCs w:val="22"/>
          <w:vertAlign w:val="subscript"/>
        </w:rPr>
        <w:t>2.5</w:t>
      </w:r>
      <w:r w:rsidR="00D60AC5" w:rsidRPr="00533703">
        <w:rPr>
          <w:rFonts w:ascii="Arial" w:hAnsi="Arial" w:cs="Arial"/>
          <w:sz w:val="22"/>
          <w:szCs w:val="22"/>
        </w:rPr>
        <w:t>).</w:t>
      </w:r>
    </w:p>
    <w:p w14:paraId="0F9C74C6" w14:textId="77777777" w:rsidR="000F73C3" w:rsidRPr="00533703" w:rsidRDefault="000F73C3" w:rsidP="00972022">
      <w:pPr>
        <w:jc w:val="both"/>
        <w:rPr>
          <w:rFonts w:ascii="Arial" w:hAnsi="Arial" w:cs="Arial"/>
          <w:sz w:val="22"/>
          <w:szCs w:val="22"/>
        </w:rPr>
      </w:pPr>
    </w:p>
    <w:p w14:paraId="0038928C" w14:textId="77777777" w:rsidR="000F73C3" w:rsidRPr="00533703" w:rsidRDefault="000F73C3" w:rsidP="00AE11E2">
      <w:pPr>
        <w:jc w:val="both"/>
        <w:outlineLvl w:val="0"/>
        <w:rPr>
          <w:rFonts w:ascii="Arial" w:hAnsi="Arial" w:cs="Arial"/>
          <w:sz w:val="22"/>
          <w:szCs w:val="22"/>
        </w:rPr>
      </w:pPr>
      <w:r w:rsidRPr="00533703">
        <w:rPr>
          <w:rFonts w:ascii="Arial" w:hAnsi="Arial" w:cs="Arial"/>
          <w:sz w:val="22"/>
          <w:szCs w:val="22"/>
        </w:rPr>
        <w:lastRenderedPageBreak/>
        <w:t>The stationary source is subject to Title 40 of the Code of Federal Reg</w:t>
      </w:r>
      <w:r w:rsidR="00AE11E2">
        <w:rPr>
          <w:rFonts w:ascii="Arial" w:hAnsi="Arial" w:cs="Arial"/>
          <w:sz w:val="22"/>
          <w:szCs w:val="22"/>
        </w:rPr>
        <w:t xml:space="preserve">ulations (CFR) Part 70, because </w:t>
      </w:r>
      <w:r w:rsidR="006117FC" w:rsidRPr="00533703">
        <w:rPr>
          <w:rFonts w:ascii="Arial" w:hAnsi="Arial" w:cs="Arial"/>
          <w:sz w:val="22"/>
          <w:szCs w:val="22"/>
        </w:rPr>
        <w:t xml:space="preserve">the potential to emit nitrogen oxides, carbon monoxide, sulfur dioxide, and PM10 exceeds 100 tons </w:t>
      </w:r>
      <w:r w:rsidRPr="00533703">
        <w:rPr>
          <w:rFonts w:ascii="Arial" w:hAnsi="Arial" w:cs="Arial"/>
          <w:sz w:val="22"/>
          <w:szCs w:val="22"/>
        </w:rPr>
        <w:t>per year.</w:t>
      </w:r>
    </w:p>
    <w:p w14:paraId="155AA455" w14:textId="77777777" w:rsidR="00CB43FA" w:rsidRPr="00533703" w:rsidRDefault="00CB43FA" w:rsidP="000F73C3">
      <w:pPr>
        <w:jc w:val="both"/>
        <w:rPr>
          <w:rFonts w:ascii="Arial" w:hAnsi="Arial" w:cs="Arial"/>
          <w:color w:val="0000FF"/>
          <w:sz w:val="22"/>
          <w:szCs w:val="22"/>
        </w:rPr>
      </w:pPr>
    </w:p>
    <w:p w14:paraId="515F0F72" w14:textId="77777777" w:rsidR="000F73C3" w:rsidRPr="00533703" w:rsidRDefault="005F5471" w:rsidP="000F73C3">
      <w:pPr>
        <w:jc w:val="both"/>
        <w:rPr>
          <w:rFonts w:ascii="Arial" w:hAnsi="Arial" w:cs="Arial"/>
          <w:sz w:val="22"/>
          <w:szCs w:val="22"/>
        </w:rPr>
      </w:pPr>
      <w:r w:rsidRPr="00533703">
        <w:rPr>
          <w:rFonts w:ascii="Arial" w:hAnsi="Arial" w:cs="Arial"/>
          <w:sz w:val="22"/>
          <w:szCs w:val="22"/>
        </w:rPr>
        <w:t>T</w:t>
      </w:r>
      <w:r w:rsidR="000F73C3" w:rsidRPr="00533703">
        <w:rPr>
          <w:rFonts w:ascii="Arial" w:hAnsi="Arial" w:cs="Arial"/>
          <w:sz w:val="22"/>
          <w:szCs w:val="22"/>
        </w:rPr>
        <w:t>he potential to emit of any single HAP regulated by the federal Clean Air Act, Section 112, is equal to or more than</w:t>
      </w:r>
      <w:r w:rsidR="000F73C3" w:rsidRPr="00533703">
        <w:rPr>
          <w:rFonts w:ascii="Arial" w:hAnsi="Arial" w:cs="Arial"/>
          <w:b/>
          <w:sz w:val="22"/>
          <w:szCs w:val="22"/>
        </w:rPr>
        <w:t xml:space="preserve"> </w:t>
      </w:r>
      <w:r w:rsidR="000F73C3" w:rsidRPr="00533703">
        <w:rPr>
          <w:rFonts w:ascii="Arial" w:hAnsi="Arial" w:cs="Arial"/>
          <w:sz w:val="22"/>
          <w:szCs w:val="22"/>
        </w:rPr>
        <w:t xml:space="preserve">10 tons per year and/or the potential to emit of all HAPs combined is </w:t>
      </w:r>
      <w:r w:rsidR="00876E17" w:rsidRPr="00533703">
        <w:rPr>
          <w:rFonts w:ascii="Arial" w:hAnsi="Arial" w:cs="Arial"/>
          <w:sz w:val="22"/>
          <w:szCs w:val="22"/>
        </w:rPr>
        <w:t>equal to or more than</w:t>
      </w:r>
      <w:r w:rsidR="000F73C3" w:rsidRPr="00533703">
        <w:rPr>
          <w:rFonts w:ascii="Arial" w:hAnsi="Arial" w:cs="Arial"/>
          <w:sz w:val="22"/>
          <w:szCs w:val="22"/>
        </w:rPr>
        <w:t xml:space="preserve"> </w:t>
      </w:r>
      <w:r w:rsidR="000F73C3" w:rsidRPr="00533703">
        <w:rPr>
          <w:rFonts w:ascii="Arial" w:hAnsi="Arial" w:cs="Arial"/>
          <w:color w:val="000000" w:themeColor="text1"/>
          <w:sz w:val="22"/>
          <w:szCs w:val="22"/>
        </w:rPr>
        <w:t xml:space="preserve">25 </w:t>
      </w:r>
      <w:r w:rsidR="000F73C3" w:rsidRPr="00533703">
        <w:rPr>
          <w:rFonts w:ascii="Arial" w:hAnsi="Arial" w:cs="Arial"/>
          <w:sz w:val="22"/>
          <w:szCs w:val="22"/>
        </w:rPr>
        <w:t>tons per year.</w:t>
      </w:r>
    </w:p>
    <w:p w14:paraId="46E063F5" w14:textId="77777777" w:rsidR="00CB43FA" w:rsidRPr="00533703" w:rsidRDefault="00CB43FA" w:rsidP="000F73C3">
      <w:pPr>
        <w:jc w:val="both"/>
        <w:rPr>
          <w:rFonts w:ascii="Arial" w:hAnsi="Arial" w:cs="Arial"/>
          <w:color w:val="0000FF"/>
          <w:sz w:val="22"/>
          <w:szCs w:val="22"/>
        </w:rPr>
      </w:pPr>
    </w:p>
    <w:p w14:paraId="29678E5D" w14:textId="77777777" w:rsidR="00173313" w:rsidRPr="00533703" w:rsidRDefault="00173313" w:rsidP="00173313">
      <w:pPr>
        <w:jc w:val="both"/>
        <w:outlineLvl w:val="0"/>
        <w:rPr>
          <w:rFonts w:ascii="Arial" w:hAnsi="Arial" w:cs="Arial"/>
          <w:sz w:val="22"/>
          <w:szCs w:val="22"/>
        </w:rPr>
      </w:pPr>
      <w:r w:rsidRPr="00533703">
        <w:rPr>
          <w:rFonts w:ascii="Arial" w:hAnsi="Arial" w:cs="Arial"/>
          <w:sz w:val="22"/>
          <w:szCs w:val="22"/>
        </w:rPr>
        <w:t>The main boiler</w:t>
      </w:r>
      <w:r w:rsidR="00EA47C6" w:rsidRPr="00533703">
        <w:rPr>
          <w:rFonts w:ascii="Arial" w:hAnsi="Arial" w:cs="Arial"/>
          <w:sz w:val="22"/>
          <w:szCs w:val="22"/>
        </w:rPr>
        <w:t xml:space="preserve"> (EUBOILER1)</w:t>
      </w:r>
      <w:r w:rsidRPr="00533703">
        <w:rPr>
          <w:rFonts w:ascii="Arial" w:hAnsi="Arial" w:cs="Arial"/>
          <w:sz w:val="22"/>
          <w:szCs w:val="22"/>
        </w:rPr>
        <w:t>, also identified as Boiler No. 1</w:t>
      </w:r>
      <w:r w:rsidR="00EA47C6" w:rsidRPr="00533703">
        <w:rPr>
          <w:rFonts w:ascii="Arial" w:hAnsi="Arial" w:cs="Arial"/>
          <w:sz w:val="22"/>
          <w:szCs w:val="22"/>
        </w:rPr>
        <w:t>,</w:t>
      </w:r>
      <w:r w:rsidRPr="00533703">
        <w:rPr>
          <w:rFonts w:ascii="Arial" w:hAnsi="Arial" w:cs="Arial"/>
          <w:sz w:val="22"/>
          <w:szCs w:val="22"/>
        </w:rPr>
        <w:t xml:space="preserve"> is subject to the New Source Performance Standards (NSPS) for Fossil-Fuel-Fired Steam Generators promulgated in 40 CFR Part 60 Subparts A and D. </w:t>
      </w:r>
      <w:r w:rsidR="00972022">
        <w:rPr>
          <w:rFonts w:ascii="Arial" w:hAnsi="Arial" w:cs="Arial"/>
          <w:sz w:val="22"/>
          <w:szCs w:val="22"/>
        </w:rPr>
        <w:t xml:space="preserve"> </w:t>
      </w:r>
      <w:r w:rsidRPr="00533703">
        <w:rPr>
          <w:rFonts w:ascii="Arial" w:hAnsi="Arial" w:cs="Arial"/>
          <w:sz w:val="22"/>
          <w:szCs w:val="22"/>
        </w:rPr>
        <w:t>The three (3) natural gas-fired combu</w:t>
      </w:r>
      <w:r w:rsidR="00EA47C6" w:rsidRPr="00533703">
        <w:rPr>
          <w:rFonts w:ascii="Arial" w:hAnsi="Arial" w:cs="Arial"/>
          <w:sz w:val="22"/>
          <w:szCs w:val="22"/>
        </w:rPr>
        <w:t>stion turbine generators (</w:t>
      </w:r>
      <w:r w:rsidR="00EA47C6" w:rsidRPr="00533703">
        <w:rPr>
          <w:rFonts w:ascii="Arial" w:hAnsi="Arial" w:cs="Arial"/>
          <w:noProof/>
          <w:sz w:val="22"/>
          <w:szCs w:val="22"/>
        </w:rPr>
        <w:t>EUCTG11-1, EUCTG11-2 and EUCTG12-1)</w:t>
      </w:r>
      <w:r w:rsidRPr="00533703">
        <w:rPr>
          <w:rFonts w:ascii="Arial" w:hAnsi="Arial" w:cs="Arial"/>
          <w:sz w:val="22"/>
          <w:szCs w:val="22"/>
        </w:rPr>
        <w:t>) are subject to the New Source Performance Standards for Stationary Gas Turbines specified in 40 CFR 60 Subparts A and GG.</w:t>
      </w:r>
    </w:p>
    <w:p w14:paraId="04CD4FE5" w14:textId="77777777" w:rsidR="00173313" w:rsidRPr="00533703" w:rsidRDefault="00173313" w:rsidP="00173313">
      <w:pPr>
        <w:jc w:val="both"/>
        <w:outlineLvl w:val="0"/>
        <w:rPr>
          <w:rFonts w:ascii="Arial" w:hAnsi="Arial" w:cs="Arial"/>
          <w:sz w:val="22"/>
          <w:szCs w:val="22"/>
        </w:rPr>
      </w:pPr>
    </w:p>
    <w:p w14:paraId="537EA9F4" w14:textId="77777777" w:rsidR="004A35DA" w:rsidRPr="00533703" w:rsidRDefault="004A35DA" w:rsidP="004A35DA">
      <w:pPr>
        <w:jc w:val="both"/>
        <w:rPr>
          <w:rFonts w:ascii="Arial" w:hAnsi="Arial" w:cs="Arial"/>
          <w:sz w:val="22"/>
          <w:szCs w:val="22"/>
        </w:rPr>
      </w:pPr>
      <w:r w:rsidRPr="00533703">
        <w:rPr>
          <w:rFonts w:ascii="Arial" w:hAnsi="Arial" w:cs="Arial"/>
          <w:sz w:val="22"/>
          <w:szCs w:val="22"/>
        </w:rPr>
        <w:t>EUBOILER1 at the stationary source was subject to review under the Prevention of Significant Deterioration regulations of 40 CFR 52.21, because at the time of New Source Review permitting the potential to emit nitrogen oxides, carbon monoxide, sulfur dioxide, and particulate matter was greater than 250 tons per year</w:t>
      </w:r>
      <w:r w:rsidRPr="00533703">
        <w:rPr>
          <w:rFonts w:ascii="Arial" w:hAnsi="Arial" w:cs="Arial"/>
          <w:color w:val="0000FF"/>
          <w:sz w:val="22"/>
          <w:szCs w:val="22"/>
        </w:rPr>
        <w:t>.</w:t>
      </w:r>
    </w:p>
    <w:p w14:paraId="3D4AE476" w14:textId="77777777" w:rsidR="004A35DA" w:rsidRPr="00533703" w:rsidRDefault="004A35DA" w:rsidP="004A35DA">
      <w:pPr>
        <w:jc w:val="both"/>
        <w:rPr>
          <w:rFonts w:ascii="Arial" w:hAnsi="Arial" w:cs="Arial"/>
          <w:sz w:val="22"/>
          <w:szCs w:val="22"/>
        </w:rPr>
      </w:pPr>
    </w:p>
    <w:p w14:paraId="7D2B4F24" w14:textId="77777777" w:rsidR="000F73C3" w:rsidRPr="00533703" w:rsidRDefault="009B66B6" w:rsidP="000F73C3">
      <w:pPr>
        <w:jc w:val="both"/>
        <w:outlineLvl w:val="0"/>
        <w:rPr>
          <w:rFonts w:ascii="Arial" w:hAnsi="Arial" w:cs="Arial"/>
          <w:sz w:val="22"/>
          <w:szCs w:val="22"/>
        </w:rPr>
      </w:pPr>
      <w:r w:rsidRPr="00533703">
        <w:rPr>
          <w:rFonts w:ascii="Arial" w:hAnsi="Arial" w:cs="Arial"/>
          <w:sz w:val="22"/>
          <w:szCs w:val="22"/>
        </w:rPr>
        <w:t>The source’s actual emissions of greenhouse gasses</w:t>
      </w:r>
      <w:r w:rsidR="006E2059" w:rsidRPr="00533703">
        <w:rPr>
          <w:rFonts w:ascii="Arial" w:hAnsi="Arial" w:cs="Arial"/>
          <w:sz w:val="22"/>
          <w:szCs w:val="22"/>
        </w:rPr>
        <w:t>,</w:t>
      </w:r>
      <w:r w:rsidRPr="00533703">
        <w:rPr>
          <w:rFonts w:ascii="Arial" w:hAnsi="Arial" w:cs="Arial"/>
          <w:sz w:val="22"/>
          <w:szCs w:val="22"/>
        </w:rPr>
        <w:t xml:space="preserve"> </w:t>
      </w:r>
      <w:r w:rsidR="006E2059" w:rsidRPr="00533703">
        <w:rPr>
          <w:rFonts w:ascii="Arial" w:hAnsi="Arial" w:cs="Arial"/>
          <w:sz w:val="22"/>
          <w:szCs w:val="22"/>
        </w:rPr>
        <w:t xml:space="preserve">as CO2e, </w:t>
      </w:r>
      <w:r w:rsidRPr="00533703">
        <w:rPr>
          <w:rFonts w:ascii="Arial" w:hAnsi="Arial" w:cs="Arial"/>
          <w:sz w:val="22"/>
          <w:szCs w:val="22"/>
        </w:rPr>
        <w:t xml:space="preserve">in 2014 were 174,417.7 </w:t>
      </w:r>
      <w:r w:rsidR="006E2059" w:rsidRPr="00533703">
        <w:rPr>
          <w:rFonts w:ascii="Arial" w:hAnsi="Arial" w:cs="Arial"/>
          <w:sz w:val="22"/>
          <w:szCs w:val="22"/>
        </w:rPr>
        <w:t xml:space="preserve">CO2e </w:t>
      </w:r>
      <w:r w:rsidRPr="00533703">
        <w:rPr>
          <w:rFonts w:ascii="Arial" w:hAnsi="Arial" w:cs="Arial"/>
          <w:sz w:val="22"/>
          <w:szCs w:val="22"/>
        </w:rPr>
        <w:t>metric tons.</w:t>
      </w:r>
      <w:r w:rsidR="002C77BE" w:rsidRPr="00533703">
        <w:rPr>
          <w:rFonts w:ascii="Arial" w:hAnsi="Arial" w:cs="Arial"/>
          <w:sz w:val="22"/>
          <w:szCs w:val="22"/>
        </w:rPr>
        <w:t xml:space="preserve">  This facility is a major source of Greenhouse Gas (GHG).</w:t>
      </w:r>
      <w:r w:rsidRPr="00533703">
        <w:rPr>
          <w:rFonts w:ascii="Arial" w:hAnsi="Arial" w:cs="Arial"/>
          <w:sz w:val="22"/>
          <w:szCs w:val="22"/>
        </w:rPr>
        <w:t xml:space="preserve">  Since the promulgation of greenhouse gas regulations, the source has not proposed a project that trigger</w:t>
      </w:r>
      <w:r w:rsidR="00CA261B" w:rsidRPr="00533703">
        <w:rPr>
          <w:rFonts w:ascii="Arial" w:hAnsi="Arial" w:cs="Arial"/>
          <w:sz w:val="22"/>
          <w:szCs w:val="22"/>
        </w:rPr>
        <w:t>s</w:t>
      </w:r>
      <w:r w:rsidRPr="00533703">
        <w:rPr>
          <w:rFonts w:ascii="Arial" w:hAnsi="Arial" w:cs="Arial"/>
          <w:sz w:val="22"/>
          <w:szCs w:val="22"/>
        </w:rPr>
        <w:t xml:space="preserve"> PSD </w:t>
      </w:r>
      <w:r w:rsidR="00BC34B8" w:rsidRPr="00533703">
        <w:rPr>
          <w:rFonts w:ascii="Arial" w:hAnsi="Arial" w:cs="Arial"/>
          <w:sz w:val="22"/>
          <w:szCs w:val="22"/>
        </w:rPr>
        <w:t xml:space="preserve">BACT </w:t>
      </w:r>
      <w:r w:rsidRPr="00533703">
        <w:rPr>
          <w:rFonts w:ascii="Arial" w:hAnsi="Arial" w:cs="Arial"/>
          <w:sz w:val="22"/>
          <w:szCs w:val="22"/>
        </w:rPr>
        <w:t>review</w:t>
      </w:r>
      <w:r w:rsidR="002C77BE" w:rsidRPr="00533703">
        <w:rPr>
          <w:rFonts w:ascii="Arial" w:hAnsi="Arial" w:cs="Arial"/>
          <w:sz w:val="22"/>
          <w:szCs w:val="22"/>
        </w:rPr>
        <w:t>;</w:t>
      </w:r>
      <w:r w:rsidRPr="00533703">
        <w:rPr>
          <w:rFonts w:ascii="Arial" w:hAnsi="Arial" w:cs="Arial"/>
          <w:sz w:val="22"/>
          <w:szCs w:val="22"/>
        </w:rPr>
        <w:t xml:space="preserve"> therefore</w:t>
      </w:r>
      <w:r w:rsidR="002C77BE" w:rsidRPr="00533703">
        <w:rPr>
          <w:rFonts w:ascii="Arial" w:hAnsi="Arial" w:cs="Arial"/>
          <w:sz w:val="22"/>
          <w:szCs w:val="22"/>
        </w:rPr>
        <w:t>,</w:t>
      </w:r>
      <w:r w:rsidRPr="00533703">
        <w:rPr>
          <w:rFonts w:ascii="Arial" w:hAnsi="Arial" w:cs="Arial"/>
          <w:sz w:val="22"/>
          <w:szCs w:val="22"/>
        </w:rPr>
        <w:t xml:space="preserve"> greenhouse gas </w:t>
      </w:r>
      <w:r w:rsidR="00BC34B8" w:rsidRPr="00533703">
        <w:rPr>
          <w:rFonts w:ascii="Arial" w:hAnsi="Arial" w:cs="Arial"/>
          <w:sz w:val="22"/>
          <w:szCs w:val="22"/>
        </w:rPr>
        <w:t>conditions</w:t>
      </w:r>
      <w:r w:rsidRPr="00533703">
        <w:rPr>
          <w:rFonts w:ascii="Arial" w:hAnsi="Arial" w:cs="Arial"/>
          <w:sz w:val="22"/>
          <w:szCs w:val="22"/>
        </w:rPr>
        <w:t xml:space="preserve"> are not required to be included in this permit renewal. </w:t>
      </w:r>
    </w:p>
    <w:p w14:paraId="018814D6" w14:textId="77777777" w:rsidR="009B66B6" w:rsidRPr="00533703" w:rsidRDefault="009B66B6" w:rsidP="000F73C3">
      <w:pPr>
        <w:jc w:val="both"/>
        <w:outlineLvl w:val="0"/>
        <w:rPr>
          <w:rFonts w:ascii="Arial" w:hAnsi="Arial" w:cs="Arial"/>
          <w:sz w:val="22"/>
          <w:szCs w:val="22"/>
        </w:rPr>
      </w:pPr>
    </w:p>
    <w:p w14:paraId="5C9419DA" w14:textId="77777777" w:rsidR="0000128A" w:rsidRPr="00533703" w:rsidRDefault="0000128A" w:rsidP="0000128A">
      <w:pPr>
        <w:jc w:val="both"/>
        <w:outlineLvl w:val="0"/>
        <w:rPr>
          <w:rFonts w:ascii="Arial" w:hAnsi="Arial" w:cs="Arial"/>
          <w:noProof/>
          <w:sz w:val="22"/>
          <w:szCs w:val="22"/>
        </w:rPr>
      </w:pPr>
      <w:r w:rsidRPr="00533703">
        <w:rPr>
          <w:rFonts w:ascii="Arial" w:hAnsi="Arial" w:cs="Arial"/>
          <w:noProof/>
          <w:sz w:val="22"/>
          <w:szCs w:val="22"/>
        </w:rPr>
        <w:t>The stationary source has emission units (EUBOILER1 and FGCTGS</w:t>
      </w:r>
      <w:r w:rsidR="001A22C9" w:rsidRPr="00533703">
        <w:rPr>
          <w:rFonts w:ascii="Arial" w:hAnsi="Arial" w:cs="Arial"/>
          <w:noProof/>
          <w:sz w:val="22"/>
          <w:szCs w:val="22"/>
        </w:rPr>
        <w:t xml:space="preserve"> (EUCTG11-1, EUCTG11-2 and EUCTG12-1</w:t>
      </w:r>
      <w:r w:rsidRPr="00533703">
        <w:rPr>
          <w:rFonts w:ascii="Arial" w:hAnsi="Arial" w:cs="Arial"/>
          <w:noProof/>
          <w:sz w:val="22"/>
          <w:szCs w:val="22"/>
        </w:rPr>
        <w:t>)</w:t>
      </w:r>
      <w:r w:rsidR="001A22C9" w:rsidRPr="00533703">
        <w:rPr>
          <w:rFonts w:ascii="Arial" w:hAnsi="Arial" w:cs="Arial"/>
          <w:noProof/>
          <w:sz w:val="22"/>
          <w:szCs w:val="22"/>
        </w:rPr>
        <w:t>)</w:t>
      </w:r>
      <w:r w:rsidRPr="00533703">
        <w:rPr>
          <w:rFonts w:ascii="Arial" w:hAnsi="Arial" w:cs="Arial"/>
          <w:noProof/>
          <w:sz w:val="22"/>
          <w:szCs w:val="22"/>
        </w:rPr>
        <w:t xml:space="preserve"> subject to the federal Acid Rain program promulgated in 40 CFR Part 72. </w:t>
      </w:r>
    </w:p>
    <w:p w14:paraId="38B09E4F" w14:textId="77777777" w:rsidR="0000128A" w:rsidRPr="00533703" w:rsidRDefault="0000128A" w:rsidP="00E1728F">
      <w:pPr>
        <w:jc w:val="both"/>
        <w:rPr>
          <w:rFonts w:ascii="Arial" w:hAnsi="Arial" w:cs="Arial"/>
          <w:b/>
          <w:color w:val="FF0000"/>
          <w:sz w:val="22"/>
          <w:szCs w:val="22"/>
        </w:rPr>
      </w:pPr>
    </w:p>
    <w:p w14:paraId="6AB60108" w14:textId="77777777" w:rsidR="0000128A" w:rsidRPr="00533703" w:rsidRDefault="0000128A" w:rsidP="0000128A">
      <w:pPr>
        <w:jc w:val="both"/>
        <w:rPr>
          <w:rFonts w:ascii="Arial" w:hAnsi="Arial" w:cs="Arial"/>
          <w:sz w:val="22"/>
          <w:szCs w:val="22"/>
        </w:rPr>
      </w:pPr>
      <w:r w:rsidRPr="00533703">
        <w:rPr>
          <w:rFonts w:ascii="Arial" w:hAnsi="Arial" w:cs="Arial"/>
          <w:sz w:val="22"/>
          <w:szCs w:val="22"/>
        </w:rPr>
        <w:t>The stationary source has no emission units that were subject to R 336.1220 for Major Offset Sources at the time of permitting.</w:t>
      </w:r>
    </w:p>
    <w:p w14:paraId="635282EB" w14:textId="77777777" w:rsidR="0000128A" w:rsidRPr="00533703" w:rsidRDefault="0000128A" w:rsidP="0000128A">
      <w:pPr>
        <w:jc w:val="both"/>
        <w:rPr>
          <w:rFonts w:ascii="Arial" w:hAnsi="Arial" w:cs="Arial"/>
          <w:sz w:val="22"/>
          <w:szCs w:val="22"/>
        </w:rPr>
      </w:pPr>
    </w:p>
    <w:p w14:paraId="6F756A9A" w14:textId="77777777" w:rsidR="0000128A" w:rsidRPr="00533703" w:rsidRDefault="0000128A" w:rsidP="0000128A">
      <w:pPr>
        <w:jc w:val="both"/>
        <w:rPr>
          <w:rFonts w:ascii="Arial" w:hAnsi="Arial" w:cs="Arial"/>
          <w:sz w:val="22"/>
          <w:szCs w:val="22"/>
        </w:rPr>
      </w:pPr>
      <w:r w:rsidRPr="00533703">
        <w:rPr>
          <w:rFonts w:ascii="Arial" w:hAnsi="Arial" w:cs="Arial"/>
          <w:sz w:val="22"/>
          <w:szCs w:val="22"/>
        </w:rPr>
        <w:t xml:space="preserve">The stationary source is not subject to the federal Compliance Assurance Monitoring (CAM) rule (40 CFR 64) because EUBOILER1 and FGCTGS </w:t>
      </w:r>
      <w:r w:rsidR="001A22C9" w:rsidRPr="00533703">
        <w:rPr>
          <w:rFonts w:ascii="Arial" w:hAnsi="Arial" w:cs="Arial"/>
          <w:noProof/>
          <w:sz w:val="22"/>
          <w:szCs w:val="22"/>
        </w:rPr>
        <w:t xml:space="preserve">(EUCTG11-1, EUCTG11-2 and EUCTG12-1) </w:t>
      </w:r>
      <w:r w:rsidRPr="00533703">
        <w:rPr>
          <w:rFonts w:ascii="Arial" w:hAnsi="Arial" w:cs="Arial"/>
          <w:sz w:val="22"/>
          <w:szCs w:val="22"/>
        </w:rPr>
        <w:t xml:space="preserve">do not have a control device to control particulate matter (PM) emissions. </w:t>
      </w:r>
      <w:r w:rsidR="00972022">
        <w:rPr>
          <w:rFonts w:ascii="Arial" w:hAnsi="Arial" w:cs="Arial"/>
          <w:sz w:val="22"/>
          <w:szCs w:val="22"/>
        </w:rPr>
        <w:t xml:space="preserve"> </w:t>
      </w:r>
      <w:r w:rsidRPr="00533703">
        <w:rPr>
          <w:rFonts w:ascii="Arial" w:hAnsi="Arial" w:cs="Arial"/>
          <w:sz w:val="22"/>
          <w:szCs w:val="22"/>
        </w:rPr>
        <w:t>The emission limitations for NOx and SO</w:t>
      </w:r>
      <w:r w:rsidRPr="00533703">
        <w:rPr>
          <w:rFonts w:ascii="Arial" w:hAnsi="Arial" w:cs="Arial"/>
          <w:sz w:val="22"/>
          <w:szCs w:val="22"/>
          <w:vertAlign w:val="subscript"/>
        </w:rPr>
        <w:t>2</w:t>
      </w:r>
      <w:r w:rsidRPr="00533703">
        <w:rPr>
          <w:rFonts w:ascii="Arial" w:hAnsi="Arial" w:cs="Arial"/>
          <w:sz w:val="22"/>
          <w:szCs w:val="22"/>
        </w:rPr>
        <w:t xml:space="preserve"> from EUBOILER1 and NOx from </w:t>
      </w:r>
      <w:r w:rsidR="0021718D" w:rsidRPr="00533703">
        <w:rPr>
          <w:rFonts w:ascii="Arial" w:hAnsi="Arial" w:cs="Arial"/>
          <w:sz w:val="22"/>
          <w:szCs w:val="22"/>
        </w:rPr>
        <w:t>FGCTGS are</w:t>
      </w:r>
      <w:r w:rsidRPr="00533703">
        <w:rPr>
          <w:rFonts w:ascii="Arial" w:hAnsi="Arial" w:cs="Arial"/>
          <w:sz w:val="22"/>
          <w:szCs w:val="22"/>
        </w:rPr>
        <w:t xml:space="preserve"> exempt from the federal CAM rule because the emission limitations meet the CAM exemption for Acid Rain monitoring requirements.   </w:t>
      </w:r>
    </w:p>
    <w:p w14:paraId="0687921B" w14:textId="77777777" w:rsidR="0000128A" w:rsidRPr="00533703" w:rsidRDefault="0000128A" w:rsidP="0000128A">
      <w:pPr>
        <w:jc w:val="both"/>
        <w:rPr>
          <w:rFonts w:ascii="Arial" w:hAnsi="Arial" w:cs="Arial"/>
          <w:sz w:val="22"/>
          <w:szCs w:val="22"/>
        </w:rPr>
      </w:pPr>
    </w:p>
    <w:p w14:paraId="19FCC88A" w14:textId="70F4F91D" w:rsidR="000931C5" w:rsidRDefault="00515BAB" w:rsidP="00515BAB">
      <w:pPr>
        <w:jc w:val="both"/>
        <w:rPr>
          <w:rFonts w:ascii="Arial" w:hAnsi="Arial" w:cs="Arial"/>
          <w:sz w:val="22"/>
          <w:szCs w:val="22"/>
        </w:rPr>
      </w:pPr>
      <w:r w:rsidRPr="00533703">
        <w:rPr>
          <w:rFonts w:ascii="Arial" w:hAnsi="Arial" w:cs="Arial"/>
          <w:sz w:val="22"/>
          <w:szCs w:val="22"/>
        </w:rPr>
        <w:t>The gasoline storage tanks (</w:t>
      </w:r>
      <w:r w:rsidR="000F4545">
        <w:rPr>
          <w:rFonts w:ascii="Arial" w:hAnsi="Arial" w:cs="Arial"/>
          <w:sz w:val="22"/>
          <w:szCs w:val="22"/>
        </w:rPr>
        <w:t>EU</w:t>
      </w:r>
      <w:r w:rsidR="002F4FFC">
        <w:rPr>
          <w:rFonts w:ascii="Arial" w:hAnsi="Arial" w:cs="Arial"/>
          <w:sz w:val="22"/>
          <w:szCs w:val="22"/>
        </w:rPr>
        <w:t>-</w:t>
      </w:r>
      <w:r w:rsidR="000F4545" w:rsidRPr="00533703">
        <w:rPr>
          <w:rFonts w:ascii="Arial" w:hAnsi="Arial" w:cs="Arial"/>
          <w:sz w:val="22"/>
          <w:szCs w:val="22"/>
        </w:rPr>
        <w:t>GDF</w:t>
      </w:r>
      <w:r w:rsidRPr="00533703">
        <w:rPr>
          <w:rFonts w:ascii="Arial" w:hAnsi="Arial" w:cs="Arial"/>
          <w:sz w:val="22"/>
          <w:szCs w:val="22"/>
        </w:rPr>
        <w:t xml:space="preserve">) are subject to R336.1703 for dispensing facilities since the gasoline storage tanks are new (placed into operation on or after July 1, 1979) and are stationary vessel(s) of more than 2,000-gallon capacity (one tank, </w:t>
      </w:r>
      <w:r w:rsidR="002F4FFC">
        <w:rPr>
          <w:rFonts w:ascii="Arial" w:hAnsi="Arial" w:cs="Arial"/>
          <w:sz w:val="22"/>
          <w:szCs w:val="22"/>
        </w:rPr>
        <w:t>FG-</w:t>
      </w:r>
      <w:r w:rsidRPr="00533703">
        <w:rPr>
          <w:rFonts w:ascii="Arial" w:hAnsi="Arial" w:cs="Arial"/>
          <w:sz w:val="22"/>
          <w:szCs w:val="22"/>
        </w:rPr>
        <w:t>GDF, at 2,500-gallon capacity).</w:t>
      </w:r>
      <w:r w:rsidR="000931C5" w:rsidRPr="00533703">
        <w:rPr>
          <w:rFonts w:ascii="Arial" w:hAnsi="Arial" w:cs="Arial"/>
          <w:sz w:val="22"/>
          <w:szCs w:val="22"/>
        </w:rPr>
        <w:t xml:space="preserve">  </w:t>
      </w:r>
    </w:p>
    <w:p w14:paraId="11A6087D" w14:textId="77777777" w:rsidR="00972022" w:rsidRPr="00533703" w:rsidRDefault="00972022" w:rsidP="00515BAB">
      <w:pPr>
        <w:jc w:val="both"/>
        <w:rPr>
          <w:rFonts w:ascii="Arial" w:hAnsi="Arial" w:cs="Arial"/>
          <w:sz w:val="22"/>
          <w:szCs w:val="22"/>
        </w:rPr>
      </w:pPr>
    </w:p>
    <w:p w14:paraId="29A05949" w14:textId="77777777" w:rsidR="00515BAB" w:rsidRPr="00533703" w:rsidRDefault="000931C5" w:rsidP="00515BAB">
      <w:pPr>
        <w:jc w:val="both"/>
        <w:rPr>
          <w:rFonts w:ascii="Arial" w:hAnsi="Arial" w:cs="Arial"/>
          <w:sz w:val="22"/>
          <w:szCs w:val="22"/>
        </w:rPr>
      </w:pPr>
      <w:r w:rsidRPr="00533703">
        <w:rPr>
          <w:rFonts w:ascii="Arial" w:hAnsi="Arial" w:cs="Arial"/>
          <w:sz w:val="22"/>
          <w:szCs w:val="22"/>
        </w:rPr>
        <w:t xml:space="preserve">It appears that 40 CFR Part 63 Subpart CCCCCC, National Emission Standards for Hazardous Air Pollutants for Source Category: </w:t>
      </w:r>
      <w:r w:rsidR="00972022">
        <w:rPr>
          <w:rFonts w:ascii="Arial" w:hAnsi="Arial" w:cs="Arial"/>
          <w:sz w:val="22"/>
          <w:szCs w:val="22"/>
        </w:rPr>
        <w:t xml:space="preserve"> </w:t>
      </w:r>
      <w:r w:rsidRPr="00533703">
        <w:rPr>
          <w:rFonts w:ascii="Arial" w:hAnsi="Arial" w:cs="Arial"/>
          <w:sz w:val="22"/>
          <w:szCs w:val="22"/>
        </w:rPr>
        <w:t>Gasoline Dispensing Facilities, was incorrectly applied to this source because this NESHAP does not apply to a major source of HAPs</w:t>
      </w:r>
      <w:r w:rsidR="00972022">
        <w:rPr>
          <w:rFonts w:ascii="Arial" w:hAnsi="Arial" w:cs="Arial"/>
          <w:sz w:val="22"/>
          <w:szCs w:val="22"/>
        </w:rPr>
        <w:t xml:space="preserve">. </w:t>
      </w:r>
      <w:r w:rsidR="00FB25A8">
        <w:rPr>
          <w:rFonts w:ascii="Arial" w:hAnsi="Arial" w:cs="Arial"/>
          <w:sz w:val="22"/>
          <w:szCs w:val="22"/>
        </w:rPr>
        <w:t xml:space="preserve"> Subpart CCCCCC only applies to an area source of HAPs</w:t>
      </w:r>
      <w:r w:rsidRPr="00533703">
        <w:rPr>
          <w:rFonts w:ascii="Arial" w:hAnsi="Arial" w:cs="Arial"/>
          <w:sz w:val="22"/>
          <w:szCs w:val="22"/>
        </w:rPr>
        <w:t>.  Therefore,</w:t>
      </w:r>
      <w:r w:rsidR="004A35DA">
        <w:rPr>
          <w:rFonts w:ascii="Arial" w:hAnsi="Arial" w:cs="Arial"/>
          <w:sz w:val="22"/>
          <w:szCs w:val="22"/>
        </w:rPr>
        <w:t xml:space="preserve"> since the source is not an area source of HAP</w:t>
      </w:r>
      <w:r w:rsidR="00FB25A8">
        <w:rPr>
          <w:rFonts w:ascii="Arial" w:hAnsi="Arial" w:cs="Arial"/>
          <w:sz w:val="22"/>
          <w:szCs w:val="22"/>
        </w:rPr>
        <w:t>s</w:t>
      </w:r>
      <w:r w:rsidR="004A35DA">
        <w:rPr>
          <w:rFonts w:ascii="Arial" w:hAnsi="Arial" w:cs="Arial"/>
          <w:sz w:val="22"/>
          <w:szCs w:val="22"/>
        </w:rPr>
        <w:t>,</w:t>
      </w:r>
      <w:r w:rsidRPr="00533703">
        <w:rPr>
          <w:rFonts w:ascii="Arial" w:hAnsi="Arial" w:cs="Arial"/>
          <w:sz w:val="22"/>
          <w:szCs w:val="22"/>
        </w:rPr>
        <w:t xml:space="preserve"> conditions originating in 40 CFR Part 63 Subpart CCCCCC have been removed.</w:t>
      </w:r>
    </w:p>
    <w:p w14:paraId="078E1001" w14:textId="77777777" w:rsidR="002A4D61" w:rsidRPr="00533703" w:rsidRDefault="000F73C3" w:rsidP="000F73C3">
      <w:pPr>
        <w:jc w:val="both"/>
        <w:rPr>
          <w:rFonts w:ascii="Arial" w:hAnsi="Arial" w:cs="Arial"/>
          <w:b/>
          <w:color w:val="0000FF"/>
          <w:sz w:val="22"/>
          <w:szCs w:val="22"/>
        </w:rPr>
      </w:pPr>
      <w:r w:rsidRPr="00533703">
        <w:rPr>
          <w:rFonts w:ascii="Arial" w:hAnsi="Arial" w:cs="Arial"/>
          <w:b/>
          <w:color w:val="0000FF"/>
          <w:sz w:val="22"/>
          <w:szCs w:val="22"/>
        </w:rPr>
        <w:t xml:space="preserve">  </w:t>
      </w:r>
    </w:p>
    <w:p w14:paraId="7008989A" w14:textId="77777777" w:rsidR="002A4D61" w:rsidRPr="00533703" w:rsidRDefault="003A41A3" w:rsidP="000F73C3">
      <w:pPr>
        <w:jc w:val="both"/>
        <w:rPr>
          <w:rFonts w:ascii="Arial" w:hAnsi="Arial" w:cs="Arial"/>
          <w:noProof/>
          <w:sz w:val="22"/>
          <w:szCs w:val="22"/>
        </w:rPr>
      </w:pPr>
      <w:r w:rsidRPr="00533703">
        <w:rPr>
          <w:rFonts w:ascii="Arial" w:hAnsi="Arial" w:cs="Arial"/>
          <w:sz w:val="22"/>
          <w:szCs w:val="22"/>
        </w:rPr>
        <w:t xml:space="preserve">FGCTGS </w:t>
      </w:r>
      <w:r w:rsidRPr="00533703">
        <w:rPr>
          <w:rFonts w:ascii="Arial" w:hAnsi="Arial" w:cs="Arial"/>
          <w:noProof/>
          <w:sz w:val="22"/>
          <w:szCs w:val="22"/>
        </w:rPr>
        <w:t>(EUCTG11-1, EUCTG11-2 and EUCTG12-1) emits air toxics that are subject to R 336.1225.  The conditions relate to the emissions of formaldehyde.  The application of R 336.1225 limits the fuel use to only pipeline quality natural gas, requires the recordkeeping of</w:t>
      </w:r>
      <w:r w:rsidR="004A35DA">
        <w:rPr>
          <w:rFonts w:ascii="Arial" w:hAnsi="Arial" w:cs="Arial"/>
          <w:noProof/>
          <w:sz w:val="22"/>
          <w:szCs w:val="22"/>
        </w:rPr>
        <w:t xml:space="preserve"> formaldehyde</w:t>
      </w:r>
      <w:r w:rsidRPr="00533703">
        <w:rPr>
          <w:rFonts w:ascii="Arial" w:hAnsi="Arial" w:cs="Arial"/>
          <w:noProof/>
          <w:sz w:val="22"/>
          <w:szCs w:val="22"/>
        </w:rPr>
        <w:t xml:space="preserve"> </w:t>
      </w:r>
      <w:r w:rsidR="004A35DA">
        <w:rPr>
          <w:rFonts w:ascii="Arial" w:hAnsi="Arial" w:cs="Arial"/>
          <w:noProof/>
          <w:sz w:val="22"/>
          <w:szCs w:val="22"/>
        </w:rPr>
        <w:t>(</w:t>
      </w:r>
      <w:r w:rsidRPr="00533703">
        <w:rPr>
          <w:rFonts w:ascii="Arial" w:hAnsi="Arial" w:cs="Arial"/>
          <w:noProof/>
          <w:sz w:val="22"/>
          <w:szCs w:val="22"/>
        </w:rPr>
        <w:t>HCOH</w:t>
      </w:r>
      <w:r w:rsidR="004A35DA">
        <w:rPr>
          <w:rFonts w:ascii="Arial" w:hAnsi="Arial" w:cs="Arial"/>
          <w:noProof/>
          <w:sz w:val="22"/>
          <w:szCs w:val="22"/>
        </w:rPr>
        <w:t>)</w:t>
      </w:r>
      <w:r w:rsidRPr="00533703">
        <w:rPr>
          <w:rFonts w:ascii="Arial" w:hAnsi="Arial" w:cs="Arial"/>
          <w:noProof/>
          <w:sz w:val="22"/>
          <w:szCs w:val="22"/>
        </w:rPr>
        <w:t xml:space="preserve"> emissions and </w:t>
      </w:r>
      <w:r w:rsidR="00953BDD" w:rsidRPr="00533703">
        <w:rPr>
          <w:rFonts w:ascii="Arial" w:hAnsi="Arial" w:cs="Arial"/>
          <w:noProof/>
          <w:sz w:val="22"/>
          <w:szCs w:val="22"/>
        </w:rPr>
        <w:t>establishes stack/vent dimensions.</w:t>
      </w:r>
      <w:r w:rsidR="000931C5" w:rsidRPr="00533703">
        <w:rPr>
          <w:rFonts w:ascii="Arial" w:hAnsi="Arial" w:cs="Arial"/>
          <w:noProof/>
          <w:sz w:val="22"/>
          <w:szCs w:val="22"/>
        </w:rPr>
        <w:t xml:space="preserve"> </w:t>
      </w:r>
      <w:r w:rsidR="00056593">
        <w:rPr>
          <w:rFonts w:ascii="Arial" w:hAnsi="Arial" w:cs="Arial"/>
          <w:noProof/>
          <w:sz w:val="22"/>
          <w:szCs w:val="22"/>
        </w:rPr>
        <w:t xml:space="preserve"> </w:t>
      </w:r>
      <w:r w:rsidR="000931C5" w:rsidRPr="00533703">
        <w:rPr>
          <w:rFonts w:ascii="Arial" w:hAnsi="Arial" w:cs="Arial"/>
          <w:noProof/>
          <w:sz w:val="22"/>
          <w:szCs w:val="22"/>
        </w:rPr>
        <w:t>There were no significant changes from the previous ROP.</w:t>
      </w:r>
    </w:p>
    <w:p w14:paraId="14D34C86" w14:textId="77777777" w:rsidR="00337750" w:rsidRPr="00533703" w:rsidRDefault="00337750" w:rsidP="00337750">
      <w:pPr>
        <w:jc w:val="both"/>
        <w:rPr>
          <w:rFonts w:ascii="Arial" w:hAnsi="Arial" w:cs="Arial"/>
          <w:sz w:val="22"/>
          <w:szCs w:val="22"/>
        </w:rPr>
      </w:pPr>
    </w:p>
    <w:p w14:paraId="092B7ED5" w14:textId="77777777" w:rsidR="000F73C3" w:rsidRPr="00533703" w:rsidRDefault="007D0069" w:rsidP="00056593">
      <w:pPr>
        <w:jc w:val="both"/>
        <w:rPr>
          <w:rFonts w:ascii="Arial" w:hAnsi="Arial" w:cs="Arial"/>
          <w:b/>
          <w:sz w:val="22"/>
          <w:szCs w:val="22"/>
        </w:rPr>
      </w:pPr>
      <w:r w:rsidRPr="00533703">
        <w:rPr>
          <w:rFonts w:ascii="Arial" w:hAnsi="Arial" w:cs="Arial"/>
          <w:noProof/>
          <w:sz w:val="22"/>
          <w:szCs w:val="22"/>
        </w:rPr>
        <w:t>The auxiliary boilers</w:t>
      </w:r>
      <w:r>
        <w:rPr>
          <w:rFonts w:ascii="Arial" w:hAnsi="Arial" w:cs="Arial"/>
          <w:noProof/>
          <w:sz w:val="22"/>
          <w:szCs w:val="22"/>
        </w:rPr>
        <w:t xml:space="preserve">, </w:t>
      </w:r>
      <w:r w:rsidR="00C62A9F" w:rsidRPr="00533703">
        <w:rPr>
          <w:rFonts w:ascii="Arial" w:hAnsi="Arial" w:cs="Arial"/>
          <w:sz w:val="22"/>
          <w:szCs w:val="22"/>
        </w:rPr>
        <w:t>EUEASTAUXBOILER</w:t>
      </w:r>
      <w:r w:rsidR="000136CC" w:rsidRPr="00533703">
        <w:rPr>
          <w:rFonts w:ascii="Arial" w:hAnsi="Arial" w:cs="Arial"/>
          <w:sz w:val="22"/>
          <w:szCs w:val="22"/>
        </w:rPr>
        <w:t xml:space="preserve"> and</w:t>
      </w:r>
      <w:r w:rsidR="00C62A9F" w:rsidRPr="00533703">
        <w:rPr>
          <w:rFonts w:ascii="Arial" w:hAnsi="Arial" w:cs="Arial"/>
          <w:sz w:val="22"/>
          <w:szCs w:val="22"/>
        </w:rPr>
        <w:t xml:space="preserve"> EUWESTAUXBOILER</w:t>
      </w:r>
      <w:r>
        <w:rPr>
          <w:rFonts w:ascii="Arial" w:hAnsi="Arial" w:cs="Arial"/>
          <w:sz w:val="22"/>
          <w:szCs w:val="22"/>
        </w:rPr>
        <w:t>,</w:t>
      </w:r>
      <w:r w:rsidR="000F73C3" w:rsidRPr="00533703">
        <w:rPr>
          <w:rFonts w:ascii="Arial" w:hAnsi="Arial" w:cs="Arial"/>
          <w:sz w:val="22"/>
          <w:szCs w:val="22"/>
        </w:rPr>
        <w:t xml:space="preserve"> at the stationary source </w:t>
      </w:r>
      <w:r w:rsidR="00C62A9F" w:rsidRPr="00533703">
        <w:rPr>
          <w:rFonts w:ascii="Arial" w:hAnsi="Arial" w:cs="Arial"/>
          <w:sz w:val="22"/>
          <w:szCs w:val="22"/>
        </w:rPr>
        <w:fldChar w:fldCharType="begin">
          <w:ffData>
            <w:name w:val=""/>
            <w:enabled/>
            <w:calcOnExit w:val="0"/>
            <w:ddList>
              <w:listEntry w:val="are"/>
              <w:listEntry w:val="is"/>
            </w:ddList>
          </w:ffData>
        </w:fldChar>
      </w:r>
      <w:r w:rsidR="00C62A9F" w:rsidRPr="00533703">
        <w:rPr>
          <w:rFonts w:ascii="Arial" w:hAnsi="Arial" w:cs="Arial"/>
          <w:sz w:val="22"/>
          <w:szCs w:val="22"/>
        </w:rPr>
        <w:instrText xml:space="preserve"> FORMDROPDOWN </w:instrText>
      </w:r>
      <w:r w:rsidR="004A33DF">
        <w:rPr>
          <w:rFonts w:ascii="Arial" w:hAnsi="Arial" w:cs="Arial"/>
          <w:sz w:val="22"/>
          <w:szCs w:val="22"/>
        </w:rPr>
      </w:r>
      <w:r w:rsidR="004A33DF">
        <w:rPr>
          <w:rFonts w:ascii="Arial" w:hAnsi="Arial" w:cs="Arial"/>
          <w:sz w:val="22"/>
          <w:szCs w:val="22"/>
        </w:rPr>
        <w:fldChar w:fldCharType="separate"/>
      </w:r>
      <w:r w:rsidR="00C62A9F" w:rsidRPr="00533703">
        <w:rPr>
          <w:rFonts w:ascii="Arial" w:hAnsi="Arial" w:cs="Arial"/>
          <w:sz w:val="22"/>
          <w:szCs w:val="22"/>
        </w:rPr>
        <w:fldChar w:fldCharType="end"/>
      </w:r>
      <w:r w:rsidR="000F73C3" w:rsidRPr="00533703">
        <w:rPr>
          <w:rFonts w:ascii="Arial" w:hAnsi="Arial" w:cs="Arial"/>
          <w:sz w:val="22"/>
          <w:szCs w:val="22"/>
        </w:rPr>
        <w:t xml:space="preserve"> subject to the </w:t>
      </w:r>
      <w:r w:rsidR="00CB0D4C" w:rsidRPr="00533703">
        <w:rPr>
          <w:rFonts w:ascii="Arial" w:hAnsi="Arial" w:cs="Arial"/>
          <w:sz w:val="22"/>
          <w:szCs w:val="22"/>
        </w:rPr>
        <w:t xml:space="preserve">National Emission Standard for Hazardous Air Pollutants </w:t>
      </w:r>
      <w:r w:rsidR="000F73C3" w:rsidRPr="00533703">
        <w:rPr>
          <w:rFonts w:ascii="Arial" w:hAnsi="Arial" w:cs="Arial"/>
          <w:sz w:val="22"/>
          <w:szCs w:val="22"/>
        </w:rPr>
        <w:t xml:space="preserve">for </w:t>
      </w:r>
      <w:r w:rsidR="000136CC" w:rsidRPr="00533703">
        <w:rPr>
          <w:rFonts w:ascii="Arial" w:hAnsi="Arial" w:cs="Arial"/>
          <w:sz w:val="22"/>
          <w:szCs w:val="22"/>
        </w:rPr>
        <w:t>Major Sources: Industrial, Commercial, and Institutional Boilers and Process Heaters</w:t>
      </w:r>
      <w:r w:rsidR="000F73C3" w:rsidRPr="00533703">
        <w:rPr>
          <w:rFonts w:ascii="Arial" w:hAnsi="Arial" w:cs="Arial"/>
          <w:sz w:val="22"/>
          <w:szCs w:val="22"/>
        </w:rPr>
        <w:t xml:space="preserve"> promulgated in 40 CFR Part 63, Subparts A and </w:t>
      </w:r>
      <w:r w:rsidR="00C62A9F" w:rsidRPr="00533703">
        <w:rPr>
          <w:rFonts w:ascii="Arial" w:hAnsi="Arial" w:cs="Arial"/>
          <w:sz w:val="22"/>
          <w:szCs w:val="22"/>
        </w:rPr>
        <w:t>DDDDD</w:t>
      </w:r>
      <w:r w:rsidR="000F73C3" w:rsidRPr="00533703">
        <w:rPr>
          <w:rFonts w:ascii="Arial" w:hAnsi="Arial" w:cs="Arial"/>
          <w:sz w:val="22"/>
          <w:szCs w:val="22"/>
        </w:rPr>
        <w:t>.</w:t>
      </w:r>
    </w:p>
    <w:p w14:paraId="6D9AF95B" w14:textId="77777777" w:rsidR="00337750" w:rsidRPr="00533703" w:rsidRDefault="004512D2" w:rsidP="00056593">
      <w:pPr>
        <w:jc w:val="both"/>
        <w:rPr>
          <w:rFonts w:ascii="Arial" w:hAnsi="Arial" w:cs="Arial"/>
          <w:sz w:val="22"/>
          <w:szCs w:val="22"/>
        </w:rPr>
      </w:pPr>
      <w:r w:rsidRPr="00533703">
        <w:rPr>
          <w:rFonts w:ascii="Arial" w:hAnsi="Arial" w:cs="Arial"/>
          <w:sz w:val="22"/>
          <w:szCs w:val="22"/>
        </w:rPr>
        <w:lastRenderedPageBreak/>
        <w:t xml:space="preserve">EUBOILER1 and FGCTGS </w:t>
      </w:r>
      <w:r w:rsidRPr="00533703">
        <w:rPr>
          <w:rFonts w:ascii="Arial" w:hAnsi="Arial" w:cs="Arial"/>
          <w:noProof/>
          <w:sz w:val="22"/>
          <w:szCs w:val="22"/>
        </w:rPr>
        <w:t>(EUCTG11-1, EUCTG11-2 and EUCTG12-1)</w:t>
      </w:r>
      <w:r w:rsidRPr="00533703">
        <w:rPr>
          <w:rFonts w:ascii="Arial" w:hAnsi="Arial" w:cs="Arial"/>
          <w:sz w:val="22"/>
          <w:szCs w:val="22"/>
        </w:rPr>
        <w:t xml:space="preserve"> </w:t>
      </w:r>
      <w:r w:rsidR="00337750" w:rsidRPr="00533703">
        <w:rPr>
          <w:rFonts w:ascii="Arial" w:hAnsi="Arial" w:cs="Arial"/>
          <w:sz w:val="22"/>
          <w:szCs w:val="22"/>
        </w:rPr>
        <w:t xml:space="preserve">at the stationary source </w:t>
      </w:r>
      <w:r w:rsidRPr="00533703">
        <w:rPr>
          <w:rFonts w:ascii="Arial" w:hAnsi="Arial" w:cs="Arial"/>
          <w:sz w:val="22"/>
          <w:szCs w:val="22"/>
        </w:rPr>
        <w:t>are</w:t>
      </w:r>
      <w:r w:rsidR="00337750" w:rsidRPr="00533703">
        <w:rPr>
          <w:rFonts w:ascii="Arial" w:hAnsi="Arial" w:cs="Arial"/>
          <w:sz w:val="22"/>
          <w:szCs w:val="22"/>
        </w:rPr>
        <w:t xml:space="preserve"> subject to the Transport Rule NO</w:t>
      </w:r>
      <w:r w:rsidR="00337750" w:rsidRPr="00533703">
        <w:rPr>
          <w:rFonts w:ascii="Arial" w:hAnsi="Arial" w:cs="Arial"/>
          <w:sz w:val="22"/>
          <w:szCs w:val="22"/>
          <w:vertAlign w:val="subscript"/>
        </w:rPr>
        <w:t>x</w:t>
      </w:r>
      <w:r w:rsidR="00337750" w:rsidRPr="00533703">
        <w:rPr>
          <w:rFonts w:ascii="Arial" w:hAnsi="Arial" w:cs="Arial"/>
          <w:sz w:val="22"/>
          <w:szCs w:val="22"/>
        </w:rPr>
        <w:t xml:space="preserve"> Annual Trading Program pursuant to 40 CFR Part 97, Subpart AAAAA.</w:t>
      </w:r>
    </w:p>
    <w:p w14:paraId="6D5CF890" w14:textId="77777777" w:rsidR="00337750" w:rsidRPr="00533703" w:rsidRDefault="00337750" w:rsidP="00056593">
      <w:pPr>
        <w:jc w:val="both"/>
        <w:rPr>
          <w:rFonts w:ascii="Arial" w:hAnsi="Arial" w:cs="Arial"/>
          <w:sz w:val="22"/>
          <w:szCs w:val="22"/>
        </w:rPr>
      </w:pPr>
    </w:p>
    <w:p w14:paraId="22B8AAB8" w14:textId="77777777" w:rsidR="00337750" w:rsidRPr="00533703" w:rsidRDefault="004512D2" w:rsidP="00056593">
      <w:pPr>
        <w:jc w:val="both"/>
        <w:rPr>
          <w:rFonts w:ascii="Arial" w:hAnsi="Arial" w:cs="Arial"/>
          <w:sz w:val="22"/>
          <w:szCs w:val="22"/>
        </w:rPr>
      </w:pPr>
      <w:r w:rsidRPr="00533703">
        <w:rPr>
          <w:rFonts w:ascii="Arial" w:hAnsi="Arial" w:cs="Arial"/>
          <w:sz w:val="22"/>
          <w:szCs w:val="22"/>
        </w:rPr>
        <w:t xml:space="preserve">EUBOILER1 and FGCTGS </w:t>
      </w:r>
      <w:r w:rsidRPr="00533703">
        <w:rPr>
          <w:rFonts w:ascii="Arial" w:hAnsi="Arial" w:cs="Arial"/>
          <w:noProof/>
          <w:sz w:val="22"/>
          <w:szCs w:val="22"/>
        </w:rPr>
        <w:t>(EUCTG11-1, EUCTG11-2 and EUCTG12-1)</w:t>
      </w:r>
      <w:r w:rsidR="00337750" w:rsidRPr="00533703">
        <w:rPr>
          <w:rFonts w:ascii="Arial" w:hAnsi="Arial" w:cs="Arial"/>
          <w:sz w:val="22"/>
          <w:szCs w:val="22"/>
        </w:rPr>
        <w:t xml:space="preserve"> at the stationary source </w:t>
      </w:r>
      <w:r w:rsidRPr="00533703">
        <w:rPr>
          <w:rFonts w:ascii="Arial" w:hAnsi="Arial" w:cs="Arial"/>
          <w:sz w:val="22"/>
          <w:szCs w:val="22"/>
        </w:rPr>
        <w:t>are</w:t>
      </w:r>
      <w:r w:rsidR="00337750" w:rsidRPr="00533703">
        <w:rPr>
          <w:rFonts w:ascii="Arial" w:hAnsi="Arial" w:cs="Arial"/>
          <w:sz w:val="22"/>
          <w:szCs w:val="22"/>
        </w:rPr>
        <w:t xml:space="preserve"> subject to the Transport Rule NO</w:t>
      </w:r>
      <w:r w:rsidR="00337750" w:rsidRPr="00533703">
        <w:rPr>
          <w:rFonts w:ascii="Arial" w:hAnsi="Arial" w:cs="Arial"/>
          <w:sz w:val="22"/>
          <w:szCs w:val="22"/>
          <w:vertAlign w:val="subscript"/>
        </w:rPr>
        <w:t>x</w:t>
      </w:r>
      <w:r w:rsidR="00337750" w:rsidRPr="00533703">
        <w:rPr>
          <w:rFonts w:ascii="Arial" w:hAnsi="Arial" w:cs="Arial"/>
          <w:sz w:val="22"/>
          <w:szCs w:val="22"/>
        </w:rPr>
        <w:t xml:space="preserve"> Ozone Trading Program pursuant to 40 CFR Part 97, Subpart BBBBB.</w:t>
      </w:r>
    </w:p>
    <w:p w14:paraId="217A18CE" w14:textId="77777777" w:rsidR="00337750" w:rsidRPr="00533703" w:rsidRDefault="00337750" w:rsidP="00056593">
      <w:pPr>
        <w:jc w:val="both"/>
        <w:rPr>
          <w:rFonts w:ascii="Arial" w:hAnsi="Arial" w:cs="Arial"/>
          <w:sz w:val="22"/>
          <w:szCs w:val="22"/>
        </w:rPr>
      </w:pPr>
    </w:p>
    <w:p w14:paraId="64166702" w14:textId="77777777" w:rsidR="00337750" w:rsidRDefault="004512D2" w:rsidP="00056593">
      <w:pPr>
        <w:jc w:val="both"/>
        <w:rPr>
          <w:rFonts w:ascii="Arial" w:hAnsi="Arial" w:cs="Arial"/>
          <w:sz w:val="22"/>
          <w:szCs w:val="22"/>
        </w:rPr>
      </w:pPr>
      <w:r w:rsidRPr="00533703">
        <w:rPr>
          <w:rFonts w:ascii="Arial" w:hAnsi="Arial" w:cs="Arial"/>
          <w:sz w:val="22"/>
          <w:szCs w:val="22"/>
        </w:rPr>
        <w:t xml:space="preserve">EUBOILER1 and FGCTGS </w:t>
      </w:r>
      <w:r w:rsidRPr="00533703">
        <w:rPr>
          <w:rFonts w:ascii="Arial" w:hAnsi="Arial" w:cs="Arial"/>
          <w:noProof/>
          <w:sz w:val="22"/>
          <w:szCs w:val="22"/>
        </w:rPr>
        <w:t>(EUCTG11-1, EUCTG11-2 and EUCTG12-1)</w:t>
      </w:r>
      <w:r w:rsidRPr="00533703">
        <w:rPr>
          <w:rFonts w:ascii="Arial" w:hAnsi="Arial" w:cs="Arial"/>
          <w:sz w:val="22"/>
          <w:szCs w:val="22"/>
        </w:rPr>
        <w:t xml:space="preserve"> </w:t>
      </w:r>
      <w:r w:rsidR="00337750" w:rsidRPr="00533703">
        <w:rPr>
          <w:rFonts w:ascii="Arial" w:hAnsi="Arial" w:cs="Arial"/>
          <w:sz w:val="22"/>
          <w:szCs w:val="22"/>
        </w:rPr>
        <w:t xml:space="preserve">at the stationary source </w:t>
      </w:r>
      <w:r w:rsidRPr="00533703">
        <w:rPr>
          <w:rFonts w:ascii="Arial" w:hAnsi="Arial" w:cs="Arial"/>
          <w:sz w:val="22"/>
          <w:szCs w:val="22"/>
        </w:rPr>
        <w:t>are</w:t>
      </w:r>
      <w:r w:rsidR="00337750" w:rsidRPr="00533703">
        <w:rPr>
          <w:rFonts w:ascii="Arial" w:hAnsi="Arial" w:cs="Arial"/>
          <w:sz w:val="22"/>
          <w:szCs w:val="22"/>
        </w:rPr>
        <w:t xml:space="preserve"> subject to the Transport Rule SO</w:t>
      </w:r>
      <w:r w:rsidR="00337750" w:rsidRPr="00533703">
        <w:rPr>
          <w:rFonts w:ascii="Arial" w:hAnsi="Arial" w:cs="Arial"/>
          <w:sz w:val="22"/>
          <w:szCs w:val="22"/>
          <w:vertAlign w:val="subscript"/>
        </w:rPr>
        <w:t>2</w:t>
      </w:r>
      <w:r w:rsidR="00337750" w:rsidRPr="00533703">
        <w:rPr>
          <w:rFonts w:ascii="Arial" w:hAnsi="Arial" w:cs="Arial"/>
          <w:sz w:val="22"/>
          <w:szCs w:val="22"/>
        </w:rPr>
        <w:t xml:space="preserve"> Group 1 Trading Program pursuant to 40 CFR Part 97, Subpart CCCCC.</w:t>
      </w:r>
    </w:p>
    <w:p w14:paraId="4A7A9F34" w14:textId="77777777" w:rsidR="00B702C5" w:rsidRDefault="00B702C5" w:rsidP="00056593">
      <w:pPr>
        <w:jc w:val="both"/>
        <w:rPr>
          <w:rFonts w:ascii="Arial" w:hAnsi="Arial" w:cs="Arial"/>
          <w:sz w:val="22"/>
          <w:szCs w:val="22"/>
        </w:rPr>
      </w:pPr>
    </w:p>
    <w:p w14:paraId="5D3A61CF" w14:textId="77777777" w:rsidR="00B702C5" w:rsidRPr="00533703" w:rsidRDefault="00B702C5" w:rsidP="00056593">
      <w:pPr>
        <w:jc w:val="both"/>
        <w:rPr>
          <w:rFonts w:ascii="Arial" w:hAnsi="Arial" w:cs="Arial"/>
          <w:sz w:val="22"/>
          <w:szCs w:val="22"/>
        </w:rPr>
      </w:pPr>
      <w:r w:rsidRPr="00B702C5">
        <w:rPr>
          <w:rFonts w:ascii="Arial" w:hAnsi="Arial" w:cs="Arial"/>
          <w:sz w:val="22"/>
          <w:szCs w:val="22"/>
        </w:rPr>
        <w:t>EUEMGFIREPUMP</w:t>
      </w:r>
      <w:r>
        <w:rPr>
          <w:rFonts w:ascii="Arial" w:hAnsi="Arial" w:cs="Arial"/>
          <w:sz w:val="22"/>
          <w:szCs w:val="22"/>
        </w:rPr>
        <w:t xml:space="preserve"> at the stationary source is subject to 40 CFR Part 60 Subpart IIII and may be subject to 40 CFR Part 63 Subpart ZZZZ if not maintained and operated as an emergency fire pump.</w:t>
      </w:r>
    </w:p>
    <w:p w14:paraId="23C72CD3" w14:textId="77777777" w:rsidR="00337750" w:rsidRPr="00533703" w:rsidRDefault="00337750" w:rsidP="00056593">
      <w:pPr>
        <w:jc w:val="both"/>
        <w:rPr>
          <w:rFonts w:ascii="Arial" w:hAnsi="Arial" w:cs="Arial"/>
          <w:sz w:val="22"/>
          <w:szCs w:val="22"/>
        </w:rPr>
      </w:pPr>
    </w:p>
    <w:p w14:paraId="2B0F6056" w14:textId="023F1377" w:rsidR="00797D0C" w:rsidRPr="00533703" w:rsidRDefault="005B78F6" w:rsidP="00056593">
      <w:pPr>
        <w:jc w:val="both"/>
        <w:rPr>
          <w:rFonts w:ascii="Arial" w:hAnsi="Arial" w:cs="Arial"/>
          <w:color w:val="000000" w:themeColor="text1"/>
          <w:sz w:val="22"/>
          <w:szCs w:val="22"/>
        </w:rPr>
      </w:pPr>
      <w:r w:rsidRPr="00533703">
        <w:rPr>
          <w:rFonts w:ascii="Arial" w:hAnsi="Arial" w:cs="Arial"/>
          <w:color w:val="000000" w:themeColor="text1"/>
          <w:sz w:val="22"/>
          <w:szCs w:val="22"/>
        </w:rPr>
        <w:t xml:space="preserve">No violation notices have been </w:t>
      </w:r>
      <w:r w:rsidRPr="008C5559">
        <w:rPr>
          <w:rFonts w:ascii="Arial" w:hAnsi="Arial" w:cs="Arial"/>
          <w:color w:val="000000" w:themeColor="text1"/>
          <w:sz w:val="22"/>
          <w:szCs w:val="22"/>
        </w:rPr>
        <w:t>issue</w:t>
      </w:r>
      <w:r w:rsidR="000F4545" w:rsidRPr="008C5559">
        <w:rPr>
          <w:rFonts w:ascii="Arial" w:hAnsi="Arial" w:cs="Arial"/>
          <w:color w:val="000000" w:themeColor="text1"/>
          <w:sz w:val="22"/>
          <w:szCs w:val="22"/>
        </w:rPr>
        <w:t>d</w:t>
      </w:r>
      <w:r w:rsidRPr="00533703">
        <w:rPr>
          <w:rFonts w:ascii="Arial" w:hAnsi="Arial" w:cs="Arial"/>
          <w:color w:val="000000" w:themeColor="text1"/>
          <w:sz w:val="22"/>
          <w:szCs w:val="22"/>
        </w:rPr>
        <w:t xml:space="preserve"> since the last ROP issuance.</w:t>
      </w:r>
    </w:p>
    <w:p w14:paraId="07EF9A3D" w14:textId="77777777" w:rsidR="008C3D85" w:rsidRPr="00533703" w:rsidRDefault="008C3D85" w:rsidP="00056593">
      <w:pPr>
        <w:jc w:val="both"/>
        <w:rPr>
          <w:rFonts w:ascii="Arial" w:hAnsi="Arial" w:cs="Arial"/>
          <w:sz w:val="22"/>
          <w:szCs w:val="22"/>
        </w:rPr>
      </w:pPr>
    </w:p>
    <w:p w14:paraId="0DFCC538" w14:textId="77777777" w:rsidR="000F73C3" w:rsidRPr="00533703" w:rsidRDefault="000F73C3" w:rsidP="00056593">
      <w:pPr>
        <w:jc w:val="both"/>
        <w:rPr>
          <w:rFonts w:ascii="Arial" w:hAnsi="Arial" w:cs="Arial"/>
          <w:sz w:val="22"/>
          <w:szCs w:val="22"/>
        </w:rPr>
      </w:pPr>
      <w:r w:rsidRPr="00533703">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526AB85" w14:textId="77777777" w:rsidR="000F73C3" w:rsidRPr="00533703" w:rsidRDefault="000F73C3" w:rsidP="00056593">
      <w:pPr>
        <w:jc w:val="both"/>
        <w:rPr>
          <w:rFonts w:ascii="Arial" w:hAnsi="Arial" w:cs="Arial"/>
          <w:sz w:val="22"/>
          <w:szCs w:val="22"/>
        </w:rPr>
      </w:pPr>
    </w:p>
    <w:p w14:paraId="278ECD4F" w14:textId="77777777" w:rsidR="000F73C3" w:rsidRPr="00533703" w:rsidRDefault="000F73C3" w:rsidP="00056593">
      <w:pPr>
        <w:jc w:val="both"/>
        <w:rPr>
          <w:rFonts w:ascii="Arial" w:hAnsi="Arial" w:cs="Arial"/>
          <w:sz w:val="22"/>
          <w:szCs w:val="22"/>
        </w:rPr>
      </w:pPr>
      <w:r w:rsidRPr="00533703">
        <w:rPr>
          <w:rFonts w:ascii="Arial" w:hAnsi="Arial" w:cs="Arial"/>
          <w:sz w:val="22"/>
          <w:szCs w:val="22"/>
        </w:rPr>
        <w:t>Please refer to Parts B, C and D in the draft ROP for detailed regulatory citations for the stationary source.  Part A contains regulatory citations for general conditions.</w:t>
      </w:r>
    </w:p>
    <w:p w14:paraId="2C6707D2" w14:textId="77777777" w:rsidR="000F73C3" w:rsidRPr="00533703" w:rsidRDefault="000F73C3" w:rsidP="000F73C3">
      <w:pPr>
        <w:jc w:val="both"/>
        <w:rPr>
          <w:rFonts w:ascii="Arial" w:hAnsi="Arial" w:cs="Arial"/>
          <w:sz w:val="22"/>
          <w:szCs w:val="22"/>
        </w:rPr>
      </w:pPr>
    </w:p>
    <w:p w14:paraId="07A3DF01" w14:textId="77777777" w:rsidR="000F73C3" w:rsidRPr="00533703" w:rsidRDefault="000F73C3" w:rsidP="000F73C3">
      <w:pPr>
        <w:jc w:val="both"/>
        <w:rPr>
          <w:rFonts w:ascii="Arial" w:hAnsi="Arial" w:cs="Arial"/>
          <w:b/>
          <w:sz w:val="22"/>
          <w:szCs w:val="22"/>
          <w:u w:val="single"/>
        </w:rPr>
      </w:pPr>
      <w:r w:rsidRPr="00533703">
        <w:rPr>
          <w:rFonts w:ascii="Arial" w:hAnsi="Arial" w:cs="Arial"/>
          <w:b/>
          <w:sz w:val="22"/>
          <w:szCs w:val="22"/>
          <w:u w:val="single"/>
        </w:rPr>
        <w:t>Source-wide Permit to Install (PTI)</w:t>
      </w:r>
    </w:p>
    <w:p w14:paraId="34AEE96E" w14:textId="77777777" w:rsidR="000F73C3" w:rsidRPr="00533703" w:rsidRDefault="000F73C3" w:rsidP="000F73C3">
      <w:pPr>
        <w:jc w:val="both"/>
        <w:rPr>
          <w:rFonts w:ascii="Arial" w:hAnsi="Arial" w:cs="Arial"/>
          <w:sz w:val="22"/>
          <w:szCs w:val="22"/>
        </w:rPr>
      </w:pPr>
    </w:p>
    <w:p w14:paraId="353DE00D" w14:textId="77777777" w:rsidR="000F73C3" w:rsidRPr="00533703" w:rsidRDefault="000F73C3" w:rsidP="000F73C3">
      <w:pPr>
        <w:jc w:val="both"/>
        <w:rPr>
          <w:rFonts w:ascii="Arial" w:hAnsi="Arial" w:cs="Arial"/>
          <w:sz w:val="22"/>
          <w:szCs w:val="22"/>
        </w:rPr>
      </w:pPr>
      <w:r w:rsidRPr="00533703">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21C92A51" w14:textId="77777777" w:rsidR="002B11E3" w:rsidRPr="00533703" w:rsidRDefault="002B11E3" w:rsidP="000F73C3">
      <w:pPr>
        <w:jc w:val="both"/>
        <w:rPr>
          <w:rFonts w:ascii="Arial" w:hAnsi="Arial" w:cs="Arial"/>
          <w:sz w:val="22"/>
          <w:szCs w:val="22"/>
        </w:rPr>
      </w:pPr>
    </w:p>
    <w:p w14:paraId="3D6925DD" w14:textId="77777777" w:rsidR="000F73C3" w:rsidRPr="00533703" w:rsidRDefault="000F73C3" w:rsidP="000F73C3">
      <w:pPr>
        <w:jc w:val="both"/>
        <w:rPr>
          <w:rFonts w:ascii="Arial" w:hAnsi="Arial"/>
          <w:bCs/>
          <w:sz w:val="22"/>
          <w:szCs w:val="22"/>
        </w:rPr>
      </w:pPr>
      <w:r w:rsidRPr="00533703">
        <w:rPr>
          <w:rFonts w:ascii="Arial" w:hAnsi="Arial" w:cs="Arial"/>
          <w:bCs/>
          <w:sz w:val="22"/>
        </w:rPr>
        <w:t>The following table lists all individual PTIs that were</w:t>
      </w:r>
      <w:r w:rsidR="00683CEC" w:rsidRPr="00533703">
        <w:rPr>
          <w:rFonts w:ascii="Arial" w:hAnsi="Arial" w:cs="Arial"/>
          <w:bCs/>
          <w:sz w:val="22"/>
        </w:rPr>
        <w:t xml:space="preserve"> </w:t>
      </w:r>
      <w:r w:rsidRPr="00533703">
        <w:rPr>
          <w:rFonts w:ascii="Arial" w:hAnsi="Arial" w:cs="Arial"/>
          <w:bCs/>
          <w:sz w:val="22"/>
        </w:rPr>
        <w:t>incorporated into</w:t>
      </w:r>
      <w:r w:rsidRPr="00533703">
        <w:rPr>
          <w:rFonts w:ascii="Arial" w:hAnsi="Arial" w:cs="Arial"/>
          <w:bCs/>
          <w:color w:val="00FF00"/>
          <w:sz w:val="22"/>
        </w:rPr>
        <w:t xml:space="preserve"> </w:t>
      </w:r>
      <w:r w:rsidRPr="00533703">
        <w:rPr>
          <w:rFonts w:ascii="Arial" w:hAnsi="Arial" w:cs="Arial"/>
          <w:bCs/>
          <w:sz w:val="22"/>
        </w:rPr>
        <w:t xml:space="preserve">previous ROPs.  PTIs issued after the effective date of </w:t>
      </w:r>
      <w:smartTag w:uri="urn:schemas-microsoft-com:office:smarttags" w:element="stockticker">
        <w:r w:rsidRPr="00533703">
          <w:rPr>
            <w:rFonts w:ascii="Arial" w:hAnsi="Arial" w:cs="Arial"/>
            <w:bCs/>
            <w:sz w:val="22"/>
          </w:rPr>
          <w:t>ROP</w:t>
        </w:r>
      </w:smartTag>
      <w:r w:rsidRPr="00533703">
        <w:rPr>
          <w:rFonts w:ascii="Arial" w:hAnsi="Arial" w:cs="Arial"/>
          <w:bCs/>
          <w:sz w:val="22"/>
        </w:rPr>
        <w:t xml:space="preserve"> No.</w:t>
      </w:r>
      <w:r w:rsidR="00C82CCA" w:rsidRPr="00533703">
        <w:rPr>
          <w:rFonts w:ascii="Arial" w:hAnsi="Arial" w:cs="Arial"/>
          <w:bCs/>
          <w:sz w:val="22"/>
        </w:rPr>
        <w:t xml:space="preserve"> </w:t>
      </w:r>
      <w:r w:rsidR="00F468D1" w:rsidRPr="00533703">
        <w:rPr>
          <w:rFonts w:ascii="Arial" w:hAnsi="Arial" w:cs="Arial"/>
          <w:bCs/>
          <w:sz w:val="22"/>
        </w:rPr>
        <w:t>MI-ROP-B6145-2011a</w:t>
      </w:r>
      <w:r w:rsidRPr="00533703">
        <w:rPr>
          <w:rFonts w:ascii="Arial" w:hAnsi="Arial" w:cs="Arial"/>
          <w:bCs/>
          <w:sz w:val="22"/>
        </w:rPr>
        <w:t xml:space="preserve"> are identified in Appendix 6 of the </w:t>
      </w:r>
      <w:smartTag w:uri="urn:schemas-microsoft-com:office:smarttags" w:element="stockticker">
        <w:r w:rsidRPr="00533703">
          <w:rPr>
            <w:rFonts w:ascii="Arial" w:hAnsi="Arial" w:cs="Arial"/>
            <w:bCs/>
            <w:sz w:val="22"/>
          </w:rPr>
          <w:t>ROP</w:t>
        </w:r>
      </w:smartTag>
      <w:r w:rsidRPr="00533703">
        <w:rPr>
          <w:rFonts w:ascii="Arial" w:hAnsi="Arial" w:cs="Arial"/>
          <w:bCs/>
          <w:sz w:val="22"/>
        </w:rPr>
        <w:t>.</w:t>
      </w:r>
    </w:p>
    <w:p w14:paraId="05DE7138" w14:textId="77777777" w:rsidR="000F73C3" w:rsidRPr="00533703"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533703" w14:paraId="39A66331"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41AA3454"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PTI Number</w:t>
            </w:r>
          </w:p>
        </w:tc>
      </w:tr>
      <w:tr w:rsidR="000F73C3" w:rsidRPr="00533703" w14:paraId="523CA0BA" w14:textId="77777777" w:rsidTr="00F478F0">
        <w:tc>
          <w:tcPr>
            <w:tcW w:w="2565" w:type="dxa"/>
          </w:tcPr>
          <w:p w14:paraId="3F381F20" w14:textId="77777777" w:rsidR="000F73C3" w:rsidRPr="00533703" w:rsidRDefault="00C82CCA" w:rsidP="00056593">
            <w:pPr>
              <w:jc w:val="center"/>
              <w:rPr>
                <w:rFonts w:ascii="Arial" w:hAnsi="Arial" w:cs="Arial"/>
                <w:sz w:val="22"/>
                <w:szCs w:val="22"/>
              </w:rPr>
            </w:pPr>
            <w:r w:rsidRPr="00533703">
              <w:rPr>
                <w:rFonts w:ascii="Arial" w:hAnsi="Arial" w:cs="Arial"/>
                <w:sz w:val="22"/>
                <w:szCs w:val="22"/>
              </w:rPr>
              <w:t>65-08</w:t>
            </w:r>
          </w:p>
        </w:tc>
        <w:tc>
          <w:tcPr>
            <w:tcW w:w="2565" w:type="dxa"/>
          </w:tcPr>
          <w:p w14:paraId="670EDDAC" w14:textId="77777777" w:rsidR="000F73C3" w:rsidRPr="00533703" w:rsidRDefault="00C82CCA" w:rsidP="00056593">
            <w:pPr>
              <w:jc w:val="center"/>
              <w:rPr>
                <w:rFonts w:ascii="Arial" w:hAnsi="Arial" w:cs="Arial"/>
                <w:sz w:val="22"/>
                <w:szCs w:val="22"/>
              </w:rPr>
            </w:pPr>
            <w:r w:rsidRPr="00533703">
              <w:rPr>
                <w:rFonts w:ascii="Arial" w:hAnsi="Arial" w:cs="Arial"/>
                <w:sz w:val="22"/>
                <w:szCs w:val="22"/>
              </w:rPr>
              <w:t>320-98A</w:t>
            </w:r>
          </w:p>
        </w:tc>
        <w:tc>
          <w:tcPr>
            <w:tcW w:w="2565" w:type="dxa"/>
          </w:tcPr>
          <w:p w14:paraId="405B0187" w14:textId="77777777" w:rsidR="000F73C3" w:rsidRPr="00533703" w:rsidRDefault="00C82CCA" w:rsidP="00056593">
            <w:pPr>
              <w:jc w:val="center"/>
              <w:rPr>
                <w:rFonts w:ascii="Arial" w:hAnsi="Arial" w:cs="Arial"/>
                <w:sz w:val="22"/>
                <w:szCs w:val="22"/>
              </w:rPr>
            </w:pPr>
            <w:r w:rsidRPr="00533703">
              <w:rPr>
                <w:rFonts w:ascii="Arial" w:hAnsi="Arial" w:cs="Arial"/>
                <w:sz w:val="22"/>
                <w:szCs w:val="22"/>
              </w:rPr>
              <w:t>180-72C</w:t>
            </w:r>
          </w:p>
        </w:tc>
        <w:tc>
          <w:tcPr>
            <w:tcW w:w="2565" w:type="dxa"/>
          </w:tcPr>
          <w:p w14:paraId="7E565D0C" w14:textId="77777777" w:rsidR="000F73C3" w:rsidRPr="00533703" w:rsidRDefault="000F73C3" w:rsidP="00F478F0">
            <w:pPr>
              <w:rPr>
                <w:rFonts w:ascii="Arial" w:hAnsi="Arial" w:cs="Arial"/>
                <w:sz w:val="22"/>
                <w:szCs w:val="22"/>
              </w:rPr>
            </w:pPr>
            <w:r w:rsidRPr="00533703">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Pr="00533703">
              <w:rPr>
                <w:rFonts w:ascii="Arial" w:hAnsi="Arial" w:cs="Arial"/>
                <w:noProof/>
                <w:sz w:val="22"/>
                <w:szCs w:val="22"/>
              </w:rPr>
              <w:t> </w:t>
            </w:r>
            <w:r w:rsidRPr="00533703">
              <w:rPr>
                <w:rFonts w:ascii="Arial" w:hAnsi="Arial" w:cs="Arial"/>
                <w:noProof/>
                <w:sz w:val="22"/>
                <w:szCs w:val="22"/>
              </w:rPr>
              <w:t> </w:t>
            </w:r>
            <w:r w:rsidRPr="00533703">
              <w:rPr>
                <w:rFonts w:ascii="Arial" w:hAnsi="Arial" w:cs="Arial"/>
                <w:noProof/>
                <w:sz w:val="22"/>
                <w:szCs w:val="22"/>
              </w:rPr>
              <w:t> </w:t>
            </w:r>
            <w:r w:rsidRPr="00533703">
              <w:rPr>
                <w:rFonts w:ascii="Arial" w:hAnsi="Arial" w:cs="Arial"/>
                <w:noProof/>
                <w:sz w:val="22"/>
                <w:szCs w:val="22"/>
              </w:rPr>
              <w:t> </w:t>
            </w:r>
            <w:r w:rsidRPr="00533703">
              <w:rPr>
                <w:rFonts w:ascii="Arial" w:hAnsi="Arial" w:cs="Arial"/>
                <w:noProof/>
                <w:sz w:val="22"/>
                <w:szCs w:val="22"/>
              </w:rPr>
              <w:t> </w:t>
            </w:r>
            <w:r w:rsidRPr="00533703">
              <w:rPr>
                <w:rFonts w:ascii="Arial" w:hAnsi="Arial" w:cs="Arial"/>
                <w:sz w:val="22"/>
                <w:szCs w:val="22"/>
              </w:rPr>
              <w:fldChar w:fldCharType="end"/>
            </w:r>
          </w:p>
        </w:tc>
      </w:tr>
    </w:tbl>
    <w:p w14:paraId="7AEED3B6" w14:textId="77777777" w:rsidR="000F73C3" w:rsidRPr="00533703" w:rsidRDefault="000F73C3" w:rsidP="000F73C3">
      <w:pPr>
        <w:rPr>
          <w:rFonts w:ascii="Arial" w:hAnsi="Arial" w:cs="Arial"/>
          <w:sz w:val="22"/>
          <w:szCs w:val="22"/>
        </w:rPr>
      </w:pPr>
    </w:p>
    <w:p w14:paraId="373CECA5" w14:textId="77777777" w:rsidR="000F73C3" w:rsidRPr="00533703" w:rsidRDefault="000F73C3" w:rsidP="000F73C3">
      <w:pPr>
        <w:rPr>
          <w:rFonts w:ascii="Arial" w:hAnsi="Arial" w:cs="Arial"/>
          <w:b/>
          <w:sz w:val="22"/>
          <w:szCs w:val="22"/>
          <w:u w:val="single"/>
        </w:rPr>
      </w:pPr>
      <w:r w:rsidRPr="00533703">
        <w:rPr>
          <w:rFonts w:ascii="Arial" w:hAnsi="Arial" w:cs="Arial"/>
          <w:b/>
          <w:sz w:val="22"/>
          <w:szCs w:val="22"/>
          <w:u w:val="single"/>
        </w:rPr>
        <w:t>Streamlined/Subsumed Requirements</w:t>
      </w:r>
    </w:p>
    <w:p w14:paraId="374F55C7" w14:textId="77777777" w:rsidR="000F73C3" w:rsidRPr="00533703" w:rsidRDefault="000F73C3" w:rsidP="000F73C3">
      <w:pPr>
        <w:rPr>
          <w:rFonts w:ascii="Arial" w:hAnsi="Arial" w:cs="Arial"/>
          <w:sz w:val="22"/>
          <w:szCs w:val="22"/>
        </w:rPr>
      </w:pPr>
    </w:p>
    <w:p w14:paraId="799A72FB" w14:textId="77777777" w:rsidR="000F73C3" w:rsidRPr="00533703" w:rsidRDefault="000F73C3" w:rsidP="000F73C3">
      <w:pPr>
        <w:jc w:val="both"/>
        <w:rPr>
          <w:rFonts w:ascii="Arial" w:hAnsi="Arial" w:cs="Arial"/>
          <w:sz w:val="22"/>
          <w:szCs w:val="22"/>
        </w:rPr>
      </w:pPr>
      <w:r w:rsidRPr="00533703">
        <w:rPr>
          <w:rFonts w:ascii="Arial" w:hAnsi="Arial" w:cs="Arial"/>
          <w:sz w:val="22"/>
          <w:szCs w:val="22"/>
        </w:rPr>
        <w:t xml:space="preserve">This </w:t>
      </w:r>
      <w:r w:rsidR="00956132" w:rsidRPr="00533703">
        <w:rPr>
          <w:rFonts w:ascii="Arial" w:hAnsi="Arial" w:cs="Arial"/>
          <w:sz w:val="22"/>
          <w:szCs w:val="22"/>
        </w:rPr>
        <w:t>ROP</w:t>
      </w:r>
      <w:r w:rsidRPr="00533703">
        <w:rPr>
          <w:rFonts w:ascii="Arial" w:hAnsi="Arial" w:cs="Arial"/>
          <w:sz w:val="22"/>
          <w:szCs w:val="22"/>
        </w:rPr>
        <w:t xml:space="preserve"> does not include any streamlined/subsumed requirements pursuant to Rules 213(2) and 213(6).</w:t>
      </w:r>
    </w:p>
    <w:p w14:paraId="3539F029" w14:textId="77777777" w:rsidR="000F73C3" w:rsidRPr="00533703" w:rsidRDefault="000F73C3" w:rsidP="000F73C3">
      <w:pPr>
        <w:rPr>
          <w:rFonts w:ascii="Arial" w:hAnsi="Arial" w:cs="Arial"/>
          <w:sz w:val="22"/>
          <w:szCs w:val="22"/>
        </w:rPr>
      </w:pPr>
    </w:p>
    <w:p w14:paraId="0ABF1ACE" w14:textId="77777777" w:rsidR="000F73C3" w:rsidRPr="00533703" w:rsidRDefault="000F73C3" w:rsidP="000F73C3">
      <w:pPr>
        <w:rPr>
          <w:rFonts w:ascii="Arial" w:hAnsi="Arial" w:cs="Arial"/>
          <w:b/>
          <w:sz w:val="22"/>
          <w:szCs w:val="22"/>
          <w:u w:val="single"/>
        </w:rPr>
      </w:pPr>
      <w:r w:rsidRPr="00533703">
        <w:rPr>
          <w:rFonts w:ascii="Arial" w:hAnsi="Arial" w:cs="Arial"/>
          <w:b/>
          <w:sz w:val="22"/>
          <w:szCs w:val="22"/>
          <w:u w:val="single"/>
        </w:rPr>
        <w:t>Non-applicable Requirements</w:t>
      </w:r>
    </w:p>
    <w:p w14:paraId="6074165E" w14:textId="77777777" w:rsidR="000F73C3" w:rsidRPr="00533703" w:rsidRDefault="000F73C3" w:rsidP="000F73C3">
      <w:pPr>
        <w:rPr>
          <w:rFonts w:ascii="Arial" w:hAnsi="Arial" w:cs="Arial"/>
          <w:b/>
          <w:sz w:val="22"/>
          <w:szCs w:val="22"/>
          <w:u w:val="single"/>
        </w:rPr>
      </w:pPr>
    </w:p>
    <w:p w14:paraId="5014AF56" w14:textId="5D7B3C7C" w:rsidR="00056593" w:rsidRDefault="000F73C3" w:rsidP="000F73C3">
      <w:pPr>
        <w:jc w:val="both"/>
        <w:rPr>
          <w:rFonts w:ascii="Arial" w:hAnsi="Arial" w:cs="Arial"/>
          <w:sz w:val="22"/>
          <w:szCs w:val="22"/>
        </w:rPr>
      </w:pPr>
      <w:r w:rsidRPr="00533703">
        <w:rPr>
          <w:rFonts w:ascii="Arial" w:hAnsi="Arial" w:cs="Arial"/>
          <w:sz w:val="22"/>
          <w:szCs w:val="22"/>
        </w:rPr>
        <w:t xml:space="preserve">Part E of the ROP lists requirements that are not applicable to this source as determined by the AQD, if any were proposed in the </w:t>
      </w:r>
      <w:r w:rsidR="00956132" w:rsidRPr="00533703">
        <w:rPr>
          <w:rFonts w:ascii="Arial" w:hAnsi="Arial" w:cs="Arial"/>
          <w:sz w:val="22"/>
          <w:szCs w:val="22"/>
        </w:rPr>
        <w:t>ROP A</w:t>
      </w:r>
      <w:r w:rsidRPr="00533703">
        <w:rPr>
          <w:rFonts w:ascii="Arial" w:hAnsi="Arial" w:cs="Arial"/>
          <w:sz w:val="22"/>
          <w:szCs w:val="22"/>
        </w:rPr>
        <w:t xml:space="preserve">pplication.  These determinations are incorporated into the permit shield provision set forth in Part A (General Conditions 26 through 29) of the ROP pursuant to Rule 213(6)(a)(ii).   </w:t>
      </w:r>
    </w:p>
    <w:p w14:paraId="44975208" w14:textId="77777777" w:rsidR="00056593" w:rsidRDefault="00056593">
      <w:pPr>
        <w:rPr>
          <w:rFonts w:ascii="Arial" w:hAnsi="Arial" w:cs="Arial"/>
          <w:sz w:val="22"/>
          <w:szCs w:val="22"/>
        </w:rPr>
      </w:pPr>
      <w:r>
        <w:rPr>
          <w:rFonts w:ascii="Arial" w:hAnsi="Arial" w:cs="Arial"/>
          <w:sz w:val="22"/>
          <w:szCs w:val="22"/>
        </w:rPr>
        <w:br w:type="page"/>
      </w:r>
    </w:p>
    <w:p w14:paraId="7C32C3EF" w14:textId="77777777" w:rsidR="000F73C3" w:rsidRPr="00533703" w:rsidRDefault="000F73C3" w:rsidP="000F73C3">
      <w:pPr>
        <w:rPr>
          <w:rFonts w:ascii="Arial" w:hAnsi="Arial" w:cs="Arial"/>
          <w:b/>
          <w:sz w:val="22"/>
          <w:szCs w:val="22"/>
          <w:u w:val="single"/>
        </w:rPr>
      </w:pPr>
      <w:bookmarkStart w:id="39" w:name="_Hlk506214089"/>
      <w:r w:rsidRPr="00533703">
        <w:rPr>
          <w:rFonts w:ascii="Arial" w:hAnsi="Arial" w:cs="Arial"/>
          <w:b/>
          <w:sz w:val="22"/>
          <w:szCs w:val="22"/>
          <w:u w:val="single"/>
        </w:rPr>
        <w:lastRenderedPageBreak/>
        <w:t>Processes in Application Not Identified in Draft ROP</w:t>
      </w:r>
    </w:p>
    <w:bookmarkEnd w:id="39"/>
    <w:p w14:paraId="4293AF85" w14:textId="77777777" w:rsidR="000F73C3" w:rsidRPr="00533703" w:rsidRDefault="000F73C3" w:rsidP="000F73C3">
      <w:pPr>
        <w:rPr>
          <w:rFonts w:ascii="Arial" w:hAnsi="Arial" w:cs="Arial"/>
          <w:sz w:val="22"/>
          <w:szCs w:val="22"/>
        </w:rPr>
      </w:pPr>
    </w:p>
    <w:p w14:paraId="36C1595C" w14:textId="77777777" w:rsidR="000F73C3" w:rsidRPr="00533703" w:rsidRDefault="000F73C3" w:rsidP="000F73C3">
      <w:pPr>
        <w:jc w:val="both"/>
        <w:rPr>
          <w:rFonts w:ascii="Arial" w:hAnsi="Arial" w:cs="Arial"/>
          <w:sz w:val="22"/>
          <w:szCs w:val="22"/>
        </w:rPr>
      </w:pPr>
      <w:r w:rsidRPr="00533703">
        <w:rPr>
          <w:rFonts w:ascii="Arial" w:hAnsi="Arial" w:cs="Arial"/>
          <w:sz w:val="22"/>
          <w:szCs w:val="22"/>
        </w:rPr>
        <w:t xml:space="preserve">The following table lists processes that were included in the ROP </w:t>
      </w:r>
      <w:r w:rsidR="00956132" w:rsidRPr="00533703">
        <w:rPr>
          <w:rFonts w:ascii="Arial" w:hAnsi="Arial" w:cs="Arial"/>
          <w:sz w:val="22"/>
          <w:szCs w:val="22"/>
        </w:rPr>
        <w:t>A</w:t>
      </w:r>
      <w:r w:rsidRPr="00533703">
        <w:rPr>
          <w:rFonts w:ascii="Arial" w:hAnsi="Arial" w:cs="Arial"/>
          <w:sz w:val="22"/>
          <w:szCs w:val="22"/>
        </w:rPr>
        <w:t>pplication as exempt devices under Rule 212(4).  These processes are not subject to any process-specific emission limits or standards in any applicable requirement.</w:t>
      </w:r>
    </w:p>
    <w:p w14:paraId="328DE24F" w14:textId="77777777" w:rsidR="000F73C3" w:rsidRPr="00533703" w:rsidRDefault="000F73C3"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780"/>
        <w:gridCol w:w="2070"/>
        <w:gridCol w:w="2160"/>
      </w:tblGrid>
      <w:tr w:rsidR="000F73C3" w:rsidRPr="00533703" w14:paraId="666B2DF7" w14:textId="77777777" w:rsidTr="00CB0D8B">
        <w:trPr>
          <w:tblHeader/>
        </w:trPr>
        <w:tc>
          <w:tcPr>
            <w:tcW w:w="2160" w:type="dxa"/>
            <w:tcBorders>
              <w:top w:val="double" w:sz="6" w:space="0" w:color="auto"/>
              <w:bottom w:val="double" w:sz="6" w:space="0" w:color="auto"/>
              <w:right w:val="single" w:sz="6" w:space="0" w:color="auto"/>
            </w:tcBorders>
            <w:shd w:val="pct10" w:color="auto" w:fill="auto"/>
          </w:tcPr>
          <w:p w14:paraId="082FB9E8"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Exempt</w:t>
            </w:r>
          </w:p>
          <w:p w14:paraId="29FBBE84"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39C8A180"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Description of</w:t>
            </w:r>
          </w:p>
          <w:p w14:paraId="60E87348"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509B6B72"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Rule 212(4)</w:t>
            </w:r>
          </w:p>
          <w:p w14:paraId="7575C988"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Exemption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42C14D6F"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Rule 201</w:t>
            </w:r>
          </w:p>
          <w:p w14:paraId="0CC46BE0" w14:textId="77777777" w:rsidR="000F73C3" w:rsidRPr="00533703" w:rsidRDefault="000F73C3" w:rsidP="00F478F0">
            <w:pPr>
              <w:jc w:val="center"/>
              <w:rPr>
                <w:rFonts w:ascii="Arial" w:hAnsi="Arial" w:cs="Arial"/>
                <w:b/>
                <w:sz w:val="22"/>
                <w:szCs w:val="22"/>
              </w:rPr>
            </w:pPr>
            <w:r w:rsidRPr="00533703">
              <w:rPr>
                <w:rFonts w:ascii="Arial" w:hAnsi="Arial" w:cs="Arial"/>
                <w:b/>
                <w:sz w:val="22"/>
                <w:szCs w:val="22"/>
              </w:rPr>
              <w:t>Exemption</w:t>
            </w:r>
          </w:p>
        </w:tc>
      </w:tr>
      <w:tr w:rsidR="000F73C3" w:rsidRPr="00533703" w14:paraId="42F99D30" w14:textId="77777777" w:rsidTr="00CB0D8B">
        <w:tc>
          <w:tcPr>
            <w:tcW w:w="2160" w:type="dxa"/>
          </w:tcPr>
          <w:p w14:paraId="38CF4269" w14:textId="77777777" w:rsidR="000F73C3" w:rsidRPr="00533703" w:rsidRDefault="00F72B7C" w:rsidP="00F478F0">
            <w:pPr>
              <w:rPr>
                <w:rFonts w:ascii="Arial" w:hAnsi="Arial" w:cs="Arial"/>
                <w:sz w:val="22"/>
                <w:szCs w:val="22"/>
              </w:rPr>
            </w:pPr>
            <w:r w:rsidRPr="00533703">
              <w:rPr>
                <w:rFonts w:ascii="Arial" w:hAnsi="Arial" w:cs="Arial"/>
                <w:sz w:val="22"/>
                <w:szCs w:val="22"/>
              </w:rPr>
              <w:t>EU00020-1</w:t>
            </w:r>
          </w:p>
        </w:tc>
        <w:tc>
          <w:tcPr>
            <w:tcW w:w="3780" w:type="dxa"/>
          </w:tcPr>
          <w:p w14:paraId="02337C48" w14:textId="77777777" w:rsidR="000F73C3" w:rsidRPr="00533703" w:rsidRDefault="00F72B7C" w:rsidP="00F478F0">
            <w:pPr>
              <w:rPr>
                <w:rFonts w:ascii="Arial" w:hAnsi="Arial" w:cs="Arial"/>
                <w:sz w:val="22"/>
                <w:szCs w:val="22"/>
              </w:rPr>
            </w:pPr>
            <w:r w:rsidRPr="00533703">
              <w:rPr>
                <w:rFonts w:ascii="Arial" w:hAnsi="Arial" w:cs="Arial"/>
                <w:sz w:val="22"/>
                <w:szCs w:val="22"/>
              </w:rPr>
              <w:t>Area Heater, Hastings-1</w:t>
            </w:r>
            <w:r w:rsidRPr="00533703">
              <w:rPr>
                <w:rFonts w:ascii="Arial" w:hAnsi="Arial" w:cs="Arial"/>
                <w:sz w:val="22"/>
                <w:szCs w:val="22"/>
                <w:vertAlign w:val="superscript"/>
              </w:rPr>
              <w:t>st</w:t>
            </w:r>
            <w:r w:rsidRPr="00533703">
              <w:rPr>
                <w:rFonts w:ascii="Arial" w:hAnsi="Arial" w:cs="Arial"/>
                <w:sz w:val="22"/>
                <w:szCs w:val="22"/>
              </w:rPr>
              <w:t xml:space="preserve"> floor Power House</w:t>
            </w:r>
          </w:p>
        </w:tc>
        <w:tc>
          <w:tcPr>
            <w:tcW w:w="2070" w:type="dxa"/>
          </w:tcPr>
          <w:p w14:paraId="0C338A3C" w14:textId="77777777" w:rsidR="000F73C3" w:rsidRPr="00533703" w:rsidRDefault="00F72B7C" w:rsidP="001C5D62">
            <w:pPr>
              <w:jc w:val="center"/>
              <w:rPr>
                <w:rFonts w:ascii="Arial" w:hAnsi="Arial" w:cs="Arial"/>
                <w:sz w:val="22"/>
                <w:szCs w:val="22"/>
              </w:rPr>
            </w:pPr>
            <w:r w:rsidRPr="00533703">
              <w:rPr>
                <w:rFonts w:ascii="Arial" w:hAnsi="Arial" w:cs="Arial"/>
                <w:sz w:val="22"/>
                <w:szCs w:val="22"/>
              </w:rPr>
              <w:t>R 336.1212(4)(</w:t>
            </w:r>
            <w:r w:rsidR="001C5D62">
              <w:rPr>
                <w:rFonts w:ascii="Arial" w:hAnsi="Arial" w:cs="Arial"/>
                <w:sz w:val="22"/>
                <w:szCs w:val="22"/>
              </w:rPr>
              <w:t>c</w:t>
            </w:r>
            <w:r w:rsidRPr="00533703">
              <w:rPr>
                <w:rFonts w:ascii="Arial" w:hAnsi="Arial" w:cs="Arial"/>
                <w:sz w:val="22"/>
                <w:szCs w:val="22"/>
              </w:rPr>
              <w:t>)</w:t>
            </w:r>
          </w:p>
        </w:tc>
        <w:tc>
          <w:tcPr>
            <w:tcW w:w="2160" w:type="dxa"/>
          </w:tcPr>
          <w:p w14:paraId="304ADC7E" w14:textId="77777777" w:rsidR="000F73C3" w:rsidRPr="00533703" w:rsidRDefault="00F72B7C" w:rsidP="00F478F0">
            <w:pPr>
              <w:jc w:val="center"/>
              <w:rPr>
                <w:rFonts w:ascii="Arial" w:hAnsi="Arial" w:cs="Arial"/>
                <w:sz w:val="22"/>
                <w:szCs w:val="22"/>
              </w:rPr>
            </w:pPr>
            <w:r w:rsidRPr="00533703">
              <w:rPr>
                <w:rFonts w:ascii="Arial" w:hAnsi="Arial" w:cs="Arial"/>
                <w:sz w:val="22"/>
                <w:szCs w:val="22"/>
              </w:rPr>
              <w:t>R 336.1282</w:t>
            </w:r>
            <w:r w:rsidR="007D0069">
              <w:rPr>
                <w:rFonts w:ascii="Arial" w:hAnsi="Arial" w:cs="Arial"/>
                <w:sz w:val="22"/>
                <w:szCs w:val="22"/>
              </w:rPr>
              <w:t>(2)</w:t>
            </w:r>
            <w:r w:rsidRPr="00533703">
              <w:rPr>
                <w:rFonts w:ascii="Arial" w:hAnsi="Arial" w:cs="Arial"/>
                <w:sz w:val="22"/>
                <w:szCs w:val="22"/>
              </w:rPr>
              <w:t>(b)(i)</w:t>
            </w:r>
          </w:p>
        </w:tc>
      </w:tr>
      <w:tr w:rsidR="000F73C3" w:rsidRPr="00533703" w14:paraId="25E723B0" w14:textId="77777777" w:rsidTr="00CB0D8B">
        <w:tc>
          <w:tcPr>
            <w:tcW w:w="2160" w:type="dxa"/>
          </w:tcPr>
          <w:p w14:paraId="7D1019B5" w14:textId="77777777" w:rsidR="000F73C3" w:rsidRPr="00533703" w:rsidRDefault="00F72B7C" w:rsidP="00F478F0">
            <w:pPr>
              <w:rPr>
                <w:rFonts w:ascii="Arial" w:hAnsi="Arial" w:cs="Arial"/>
                <w:sz w:val="22"/>
                <w:szCs w:val="22"/>
              </w:rPr>
            </w:pPr>
            <w:r w:rsidRPr="00533703">
              <w:rPr>
                <w:rFonts w:ascii="Arial" w:hAnsi="Arial" w:cs="Arial"/>
                <w:sz w:val="22"/>
                <w:szCs w:val="22"/>
              </w:rPr>
              <w:t>EU00020-2</w:t>
            </w:r>
          </w:p>
        </w:tc>
        <w:tc>
          <w:tcPr>
            <w:tcW w:w="3780" w:type="dxa"/>
          </w:tcPr>
          <w:p w14:paraId="6DB7200C" w14:textId="77777777" w:rsidR="000F73C3" w:rsidRPr="00533703" w:rsidRDefault="00F72B7C" w:rsidP="00F478F0">
            <w:pPr>
              <w:rPr>
                <w:rFonts w:ascii="Arial" w:hAnsi="Arial" w:cs="Arial"/>
                <w:sz w:val="22"/>
                <w:szCs w:val="22"/>
              </w:rPr>
            </w:pPr>
            <w:r w:rsidRPr="00533703">
              <w:rPr>
                <w:rFonts w:ascii="Arial" w:hAnsi="Arial" w:cs="Arial"/>
                <w:sz w:val="22"/>
                <w:szCs w:val="22"/>
              </w:rPr>
              <w:t>Area Heater, Hastings-1</w:t>
            </w:r>
            <w:r w:rsidRPr="00533703">
              <w:rPr>
                <w:rFonts w:ascii="Arial" w:hAnsi="Arial" w:cs="Arial"/>
                <w:sz w:val="22"/>
                <w:szCs w:val="22"/>
                <w:vertAlign w:val="superscript"/>
              </w:rPr>
              <w:t>st</w:t>
            </w:r>
            <w:r w:rsidRPr="00533703">
              <w:rPr>
                <w:rFonts w:ascii="Arial" w:hAnsi="Arial" w:cs="Arial"/>
                <w:sz w:val="22"/>
                <w:szCs w:val="22"/>
              </w:rPr>
              <w:t xml:space="preserve"> floor Power House</w:t>
            </w:r>
          </w:p>
        </w:tc>
        <w:tc>
          <w:tcPr>
            <w:tcW w:w="2070" w:type="dxa"/>
          </w:tcPr>
          <w:p w14:paraId="255570C2" w14:textId="77777777" w:rsidR="000F73C3" w:rsidRPr="00533703" w:rsidRDefault="00F72B7C" w:rsidP="001C5D62">
            <w:pPr>
              <w:jc w:val="center"/>
              <w:rPr>
                <w:rFonts w:ascii="Arial" w:hAnsi="Arial" w:cs="Arial"/>
                <w:sz w:val="22"/>
                <w:szCs w:val="22"/>
              </w:rPr>
            </w:pPr>
            <w:r w:rsidRPr="00533703">
              <w:rPr>
                <w:rFonts w:ascii="Arial" w:hAnsi="Arial" w:cs="Arial"/>
                <w:sz w:val="22"/>
                <w:szCs w:val="22"/>
              </w:rPr>
              <w:t>R 336.1212(4)(</w:t>
            </w:r>
            <w:r w:rsidR="001C5D62">
              <w:rPr>
                <w:rFonts w:ascii="Arial" w:hAnsi="Arial" w:cs="Arial"/>
                <w:sz w:val="22"/>
                <w:szCs w:val="22"/>
              </w:rPr>
              <w:t>c</w:t>
            </w:r>
            <w:r w:rsidRPr="00533703">
              <w:rPr>
                <w:rFonts w:ascii="Arial" w:hAnsi="Arial" w:cs="Arial"/>
                <w:sz w:val="22"/>
                <w:szCs w:val="22"/>
              </w:rPr>
              <w:t>)</w:t>
            </w:r>
          </w:p>
        </w:tc>
        <w:tc>
          <w:tcPr>
            <w:tcW w:w="2160" w:type="dxa"/>
          </w:tcPr>
          <w:p w14:paraId="59D39AD1" w14:textId="77777777" w:rsidR="000F73C3" w:rsidRPr="00533703" w:rsidRDefault="00F72B7C" w:rsidP="00F478F0">
            <w:pPr>
              <w:jc w:val="center"/>
              <w:rPr>
                <w:rFonts w:ascii="Arial" w:hAnsi="Arial" w:cs="Arial"/>
                <w:sz w:val="22"/>
                <w:szCs w:val="22"/>
              </w:rPr>
            </w:pPr>
            <w:r w:rsidRPr="00533703">
              <w:rPr>
                <w:rFonts w:ascii="Arial" w:hAnsi="Arial" w:cs="Arial"/>
                <w:sz w:val="22"/>
                <w:szCs w:val="22"/>
              </w:rPr>
              <w:t>R 336.1282</w:t>
            </w:r>
            <w:r w:rsidR="007D0069">
              <w:rPr>
                <w:rFonts w:ascii="Arial" w:hAnsi="Arial" w:cs="Arial"/>
                <w:sz w:val="22"/>
                <w:szCs w:val="22"/>
              </w:rPr>
              <w:t>(2)</w:t>
            </w:r>
            <w:r w:rsidRPr="00533703">
              <w:rPr>
                <w:rFonts w:ascii="Arial" w:hAnsi="Arial" w:cs="Arial"/>
                <w:sz w:val="22"/>
                <w:szCs w:val="22"/>
              </w:rPr>
              <w:t>(b)(i)</w:t>
            </w:r>
          </w:p>
        </w:tc>
      </w:tr>
      <w:tr w:rsidR="00F72B7C" w:rsidRPr="00533703" w14:paraId="04F51912" w14:textId="77777777" w:rsidTr="00CB0D8B">
        <w:tc>
          <w:tcPr>
            <w:tcW w:w="2160" w:type="dxa"/>
          </w:tcPr>
          <w:p w14:paraId="2F50CFA9" w14:textId="77777777" w:rsidR="00F72B7C" w:rsidRPr="00533703" w:rsidRDefault="00F72B7C" w:rsidP="00090A6D">
            <w:pPr>
              <w:rPr>
                <w:rFonts w:ascii="Arial" w:hAnsi="Arial" w:cs="Arial"/>
                <w:sz w:val="22"/>
                <w:szCs w:val="22"/>
              </w:rPr>
            </w:pPr>
            <w:r w:rsidRPr="00533703">
              <w:rPr>
                <w:rFonts w:ascii="Arial" w:hAnsi="Arial" w:cs="Arial"/>
                <w:sz w:val="22"/>
                <w:szCs w:val="22"/>
              </w:rPr>
              <w:t>EU00020-2</w:t>
            </w:r>
          </w:p>
        </w:tc>
        <w:tc>
          <w:tcPr>
            <w:tcW w:w="3780" w:type="dxa"/>
          </w:tcPr>
          <w:p w14:paraId="4A3B4D20" w14:textId="77777777" w:rsidR="00F72B7C" w:rsidRPr="00533703" w:rsidRDefault="00F72B7C" w:rsidP="00F72B7C">
            <w:pPr>
              <w:rPr>
                <w:rFonts w:ascii="Arial" w:hAnsi="Arial" w:cs="Arial"/>
                <w:sz w:val="22"/>
                <w:szCs w:val="22"/>
              </w:rPr>
            </w:pPr>
            <w:r w:rsidRPr="00533703">
              <w:rPr>
                <w:rFonts w:ascii="Arial" w:hAnsi="Arial" w:cs="Arial"/>
                <w:sz w:val="22"/>
                <w:szCs w:val="22"/>
              </w:rPr>
              <w:t>Area Heater, Hastings-3</w:t>
            </w:r>
            <w:r w:rsidRPr="00533703">
              <w:rPr>
                <w:rFonts w:ascii="Arial" w:hAnsi="Arial" w:cs="Arial"/>
                <w:sz w:val="22"/>
                <w:szCs w:val="22"/>
                <w:vertAlign w:val="superscript"/>
              </w:rPr>
              <w:t>rd</w:t>
            </w:r>
            <w:r w:rsidRPr="00533703">
              <w:rPr>
                <w:rFonts w:ascii="Arial" w:hAnsi="Arial" w:cs="Arial"/>
                <w:sz w:val="22"/>
                <w:szCs w:val="22"/>
              </w:rPr>
              <w:t xml:space="preserve">  floor, West wall, turbine</w:t>
            </w:r>
          </w:p>
        </w:tc>
        <w:tc>
          <w:tcPr>
            <w:tcW w:w="2070" w:type="dxa"/>
          </w:tcPr>
          <w:p w14:paraId="600AB072" w14:textId="77777777" w:rsidR="00F72B7C" w:rsidRPr="00533703" w:rsidRDefault="00F72B7C" w:rsidP="00F478F0">
            <w:pPr>
              <w:jc w:val="center"/>
              <w:rPr>
                <w:rFonts w:ascii="Arial" w:hAnsi="Arial" w:cs="Arial"/>
                <w:sz w:val="22"/>
                <w:szCs w:val="22"/>
              </w:rPr>
            </w:pPr>
            <w:r w:rsidRPr="00533703">
              <w:rPr>
                <w:rFonts w:ascii="Arial" w:hAnsi="Arial" w:cs="Arial"/>
                <w:sz w:val="22"/>
                <w:szCs w:val="22"/>
              </w:rPr>
              <w:t>R</w:t>
            </w:r>
            <w:r w:rsidR="001C5D62">
              <w:rPr>
                <w:rFonts w:ascii="Arial" w:hAnsi="Arial" w:cs="Arial"/>
                <w:sz w:val="22"/>
                <w:szCs w:val="22"/>
              </w:rPr>
              <w:t xml:space="preserve"> 336.1212(4)(c</w:t>
            </w:r>
            <w:r w:rsidRPr="00533703">
              <w:rPr>
                <w:rFonts w:ascii="Arial" w:hAnsi="Arial" w:cs="Arial"/>
                <w:sz w:val="22"/>
                <w:szCs w:val="22"/>
              </w:rPr>
              <w:t>)</w:t>
            </w:r>
          </w:p>
        </w:tc>
        <w:tc>
          <w:tcPr>
            <w:tcW w:w="2160" w:type="dxa"/>
          </w:tcPr>
          <w:p w14:paraId="151FEDDE" w14:textId="77777777" w:rsidR="00F72B7C" w:rsidRPr="00533703" w:rsidRDefault="00F72B7C" w:rsidP="00F478F0">
            <w:pPr>
              <w:jc w:val="center"/>
              <w:rPr>
                <w:rFonts w:ascii="Arial" w:hAnsi="Arial" w:cs="Arial"/>
                <w:sz w:val="22"/>
                <w:szCs w:val="22"/>
              </w:rPr>
            </w:pPr>
            <w:r w:rsidRPr="00533703">
              <w:rPr>
                <w:rFonts w:ascii="Arial" w:hAnsi="Arial" w:cs="Arial"/>
                <w:sz w:val="22"/>
                <w:szCs w:val="22"/>
              </w:rPr>
              <w:t>R 336.1282</w:t>
            </w:r>
            <w:r w:rsidR="007D0069">
              <w:rPr>
                <w:rFonts w:ascii="Arial" w:hAnsi="Arial" w:cs="Arial"/>
                <w:sz w:val="22"/>
                <w:szCs w:val="22"/>
              </w:rPr>
              <w:t>(2)</w:t>
            </w:r>
            <w:r w:rsidRPr="00533703">
              <w:rPr>
                <w:rFonts w:ascii="Arial" w:hAnsi="Arial" w:cs="Arial"/>
                <w:sz w:val="22"/>
                <w:szCs w:val="22"/>
              </w:rPr>
              <w:t>(b)(i)</w:t>
            </w:r>
          </w:p>
        </w:tc>
      </w:tr>
      <w:tr w:rsidR="00F72B7C" w:rsidRPr="00533703" w14:paraId="4AAB8B9D" w14:textId="77777777" w:rsidTr="00CB0D8B">
        <w:tc>
          <w:tcPr>
            <w:tcW w:w="2160" w:type="dxa"/>
          </w:tcPr>
          <w:p w14:paraId="21E344BF" w14:textId="77777777" w:rsidR="00F72B7C" w:rsidRPr="00533703" w:rsidRDefault="00F72B7C" w:rsidP="00F478F0">
            <w:pPr>
              <w:rPr>
                <w:rFonts w:ascii="Arial" w:hAnsi="Arial" w:cs="Arial"/>
                <w:sz w:val="22"/>
                <w:szCs w:val="22"/>
              </w:rPr>
            </w:pPr>
            <w:r w:rsidRPr="00533703">
              <w:rPr>
                <w:rFonts w:ascii="Arial" w:hAnsi="Arial" w:cs="Arial"/>
                <w:sz w:val="22"/>
                <w:szCs w:val="22"/>
              </w:rPr>
              <w:t>EU03-4</w:t>
            </w:r>
          </w:p>
        </w:tc>
        <w:tc>
          <w:tcPr>
            <w:tcW w:w="3780" w:type="dxa"/>
          </w:tcPr>
          <w:p w14:paraId="26D10EE2" w14:textId="77777777" w:rsidR="00F72B7C" w:rsidRPr="00533703" w:rsidRDefault="00F72B7C" w:rsidP="00F478F0">
            <w:pPr>
              <w:rPr>
                <w:rFonts w:ascii="Arial" w:hAnsi="Arial" w:cs="Arial"/>
                <w:sz w:val="22"/>
                <w:szCs w:val="22"/>
              </w:rPr>
            </w:pPr>
            <w:r w:rsidRPr="00533703">
              <w:rPr>
                <w:rFonts w:ascii="Arial" w:hAnsi="Arial" w:cs="Arial"/>
                <w:sz w:val="22"/>
                <w:szCs w:val="22"/>
              </w:rPr>
              <w:t>Parts Cleaner, Machine Shop</w:t>
            </w:r>
          </w:p>
        </w:tc>
        <w:tc>
          <w:tcPr>
            <w:tcW w:w="2070" w:type="dxa"/>
          </w:tcPr>
          <w:p w14:paraId="3D34B01F" w14:textId="77777777" w:rsidR="00F72B7C" w:rsidRPr="00533703" w:rsidRDefault="00F72B7C" w:rsidP="00F478F0">
            <w:pPr>
              <w:jc w:val="center"/>
            </w:pPr>
            <w:r w:rsidRPr="00533703">
              <w:rPr>
                <w:rFonts w:ascii="Arial" w:hAnsi="Arial" w:cs="Arial"/>
                <w:sz w:val="22"/>
                <w:szCs w:val="22"/>
              </w:rPr>
              <w:t>R</w:t>
            </w:r>
            <w:r w:rsidR="001C5D62">
              <w:rPr>
                <w:rFonts w:ascii="Arial" w:hAnsi="Arial" w:cs="Arial"/>
                <w:sz w:val="22"/>
                <w:szCs w:val="22"/>
              </w:rPr>
              <w:t xml:space="preserve"> 336.1212(4)(b</w:t>
            </w:r>
            <w:r w:rsidRPr="00533703">
              <w:rPr>
                <w:rFonts w:ascii="Arial" w:hAnsi="Arial" w:cs="Arial"/>
                <w:sz w:val="22"/>
                <w:szCs w:val="22"/>
              </w:rPr>
              <w:t>)</w:t>
            </w:r>
          </w:p>
        </w:tc>
        <w:tc>
          <w:tcPr>
            <w:tcW w:w="2160" w:type="dxa"/>
          </w:tcPr>
          <w:p w14:paraId="29555BB2" w14:textId="77777777" w:rsidR="00F72B7C" w:rsidRPr="00533703" w:rsidRDefault="00F72B7C" w:rsidP="00F478F0">
            <w:pPr>
              <w:jc w:val="center"/>
              <w:rPr>
                <w:rFonts w:ascii="Arial" w:hAnsi="Arial" w:cs="Arial"/>
                <w:sz w:val="22"/>
                <w:szCs w:val="22"/>
              </w:rPr>
            </w:pPr>
            <w:r w:rsidRPr="00533703">
              <w:rPr>
                <w:rFonts w:ascii="Arial" w:hAnsi="Arial" w:cs="Arial"/>
                <w:sz w:val="22"/>
                <w:szCs w:val="22"/>
              </w:rPr>
              <w:t>R 336.1281</w:t>
            </w:r>
            <w:r w:rsidR="007D0069">
              <w:rPr>
                <w:rFonts w:ascii="Arial" w:hAnsi="Arial" w:cs="Arial"/>
                <w:sz w:val="22"/>
                <w:szCs w:val="22"/>
              </w:rPr>
              <w:t>(2)</w:t>
            </w:r>
            <w:r w:rsidRPr="00533703">
              <w:rPr>
                <w:rFonts w:ascii="Arial" w:hAnsi="Arial" w:cs="Arial"/>
                <w:sz w:val="22"/>
                <w:szCs w:val="22"/>
              </w:rPr>
              <w:t>(h)</w:t>
            </w:r>
          </w:p>
        </w:tc>
      </w:tr>
    </w:tbl>
    <w:p w14:paraId="3217D89B" w14:textId="77777777" w:rsidR="000F73C3" w:rsidRPr="00533703" w:rsidRDefault="000F73C3" w:rsidP="000F73C3">
      <w:pPr>
        <w:rPr>
          <w:rFonts w:ascii="Arial" w:hAnsi="Arial" w:cs="Arial"/>
          <w:sz w:val="22"/>
          <w:szCs w:val="22"/>
        </w:rPr>
      </w:pPr>
    </w:p>
    <w:p w14:paraId="57DD9297" w14:textId="77777777" w:rsidR="000F73C3" w:rsidRPr="00533703" w:rsidRDefault="000F73C3" w:rsidP="000F73C3">
      <w:pPr>
        <w:rPr>
          <w:rFonts w:ascii="Arial" w:hAnsi="Arial" w:cs="Arial"/>
          <w:b/>
          <w:sz w:val="22"/>
          <w:szCs w:val="22"/>
          <w:u w:val="single"/>
        </w:rPr>
      </w:pPr>
      <w:r w:rsidRPr="00533703">
        <w:rPr>
          <w:rFonts w:ascii="Arial" w:hAnsi="Arial" w:cs="Arial"/>
          <w:b/>
          <w:sz w:val="22"/>
          <w:szCs w:val="22"/>
          <w:u w:val="single"/>
        </w:rPr>
        <w:t>Draft ROP Terms/Conditions Not Agreed to by Applicant</w:t>
      </w:r>
    </w:p>
    <w:p w14:paraId="6A4D945A" w14:textId="77777777" w:rsidR="00F468D1" w:rsidRPr="00533703" w:rsidRDefault="00F468D1" w:rsidP="000F73C3">
      <w:pPr>
        <w:jc w:val="both"/>
        <w:rPr>
          <w:rFonts w:ascii="Arial" w:hAnsi="Arial" w:cs="Arial"/>
          <w:sz w:val="22"/>
          <w:szCs w:val="22"/>
        </w:rPr>
      </w:pPr>
    </w:p>
    <w:p w14:paraId="3D41374F" w14:textId="77777777" w:rsidR="000F73C3" w:rsidRPr="00533703" w:rsidRDefault="000F73C3" w:rsidP="000F73C3">
      <w:pPr>
        <w:jc w:val="both"/>
        <w:rPr>
          <w:rFonts w:ascii="Arial" w:hAnsi="Arial" w:cs="Arial"/>
          <w:sz w:val="22"/>
          <w:szCs w:val="22"/>
        </w:rPr>
      </w:pPr>
      <w:r w:rsidRPr="00533703">
        <w:rPr>
          <w:rFonts w:ascii="Arial" w:hAnsi="Arial" w:cs="Arial"/>
          <w:sz w:val="22"/>
          <w:szCs w:val="22"/>
        </w:rPr>
        <w:t xml:space="preserve">This </w:t>
      </w:r>
      <w:r w:rsidR="00B008B3" w:rsidRPr="00533703">
        <w:rPr>
          <w:rFonts w:ascii="Arial" w:hAnsi="Arial" w:cs="Arial"/>
          <w:sz w:val="22"/>
          <w:szCs w:val="22"/>
        </w:rPr>
        <w:t xml:space="preserve">draft </w:t>
      </w:r>
      <w:r w:rsidR="00956132" w:rsidRPr="00533703">
        <w:rPr>
          <w:rFonts w:ascii="Arial" w:hAnsi="Arial" w:cs="Arial"/>
          <w:sz w:val="22"/>
          <w:szCs w:val="22"/>
        </w:rPr>
        <w:t>ROP</w:t>
      </w:r>
      <w:r w:rsidRPr="00533703">
        <w:rPr>
          <w:rFonts w:ascii="Arial" w:hAnsi="Arial" w:cs="Arial"/>
          <w:sz w:val="22"/>
          <w:szCs w:val="22"/>
        </w:rPr>
        <w:t xml:space="preserve"> does not contain any terms and/or conditions that the AQD and the applicant did not agree upon pursuant to Rule 214(2).  </w:t>
      </w:r>
    </w:p>
    <w:p w14:paraId="09F399C9" w14:textId="77777777" w:rsidR="000F73C3" w:rsidRPr="00533703" w:rsidRDefault="000F73C3" w:rsidP="000F73C3">
      <w:pPr>
        <w:rPr>
          <w:rFonts w:ascii="Arial" w:hAnsi="Arial" w:cs="Arial"/>
          <w:sz w:val="22"/>
          <w:szCs w:val="22"/>
        </w:rPr>
      </w:pPr>
    </w:p>
    <w:p w14:paraId="615F5D74" w14:textId="77777777" w:rsidR="000F73C3" w:rsidRPr="00533703" w:rsidRDefault="000F73C3" w:rsidP="000F73C3">
      <w:pPr>
        <w:rPr>
          <w:rFonts w:ascii="Arial" w:hAnsi="Arial" w:cs="Arial"/>
          <w:b/>
          <w:sz w:val="22"/>
          <w:szCs w:val="22"/>
          <w:u w:val="single"/>
        </w:rPr>
      </w:pPr>
      <w:r w:rsidRPr="00533703">
        <w:rPr>
          <w:rFonts w:ascii="Arial" w:hAnsi="Arial" w:cs="Arial"/>
          <w:b/>
          <w:sz w:val="22"/>
          <w:szCs w:val="22"/>
          <w:u w:val="single"/>
        </w:rPr>
        <w:t>Compliance Status</w:t>
      </w:r>
    </w:p>
    <w:p w14:paraId="22911624" w14:textId="77777777" w:rsidR="000F73C3" w:rsidRPr="00533703" w:rsidRDefault="000F73C3" w:rsidP="000F73C3">
      <w:pPr>
        <w:rPr>
          <w:rFonts w:ascii="Arial" w:hAnsi="Arial" w:cs="Arial"/>
          <w:sz w:val="22"/>
          <w:szCs w:val="22"/>
        </w:rPr>
      </w:pPr>
    </w:p>
    <w:p w14:paraId="330B253E" w14:textId="77777777" w:rsidR="000F73C3" w:rsidRPr="00533703" w:rsidRDefault="000F73C3" w:rsidP="000F73C3">
      <w:pPr>
        <w:jc w:val="both"/>
        <w:rPr>
          <w:rFonts w:ascii="Arial" w:hAnsi="Arial" w:cs="Arial"/>
          <w:sz w:val="22"/>
          <w:szCs w:val="22"/>
        </w:rPr>
      </w:pPr>
      <w:r w:rsidRPr="00533703">
        <w:rPr>
          <w:rFonts w:ascii="Arial" w:hAnsi="Arial" w:cs="Arial"/>
          <w:sz w:val="22"/>
          <w:szCs w:val="22"/>
        </w:rPr>
        <w:t>The AQD finds that the stationary source is expected to be in compliance with all applicable requirements as of the effective date of this ROP.</w:t>
      </w:r>
    </w:p>
    <w:p w14:paraId="4DA07DE9" w14:textId="77777777" w:rsidR="000F73C3" w:rsidRPr="00533703" w:rsidRDefault="000F73C3" w:rsidP="000F73C3">
      <w:pPr>
        <w:jc w:val="both"/>
        <w:rPr>
          <w:rFonts w:ascii="Arial" w:hAnsi="Arial" w:cs="Arial"/>
          <w:sz w:val="22"/>
          <w:szCs w:val="22"/>
        </w:rPr>
      </w:pPr>
    </w:p>
    <w:p w14:paraId="210B2AF0" w14:textId="77777777" w:rsidR="000F73C3" w:rsidRPr="00533703" w:rsidRDefault="000F73C3" w:rsidP="000F73C3">
      <w:pPr>
        <w:jc w:val="both"/>
        <w:rPr>
          <w:rFonts w:ascii="Arial" w:hAnsi="Arial" w:cs="Arial"/>
          <w:b/>
          <w:sz w:val="22"/>
          <w:szCs w:val="22"/>
          <w:u w:val="single"/>
        </w:rPr>
      </w:pPr>
      <w:r w:rsidRPr="00533703">
        <w:rPr>
          <w:rFonts w:ascii="Arial" w:hAnsi="Arial" w:cs="Arial"/>
          <w:b/>
          <w:sz w:val="22"/>
          <w:szCs w:val="22"/>
          <w:u w:val="single"/>
        </w:rPr>
        <w:t xml:space="preserve">Action taken by the </w:t>
      </w:r>
      <w:r w:rsidR="00956132" w:rsidRPr="00533703">
        <w:rPr>
          <w:rFonts w:ascii="Arial" w:hAnsi="Arial" w:cs="Arial"/>
          <w:b/>
          <w:sz w:val="22"/>
          <w:szCs w:val="22"/>
          <w:u w:val="single"/>
        </w:rPr>
        <w:t>M</w:t>
      </w:r>
      <w:r w:rsidRPr="00533703">
        <w:rPr>
          <w:rFonts w:ascii="Arial" w:hAnsi="Arial" w:cs="Arial"/>
          <w:b/>
          <w:sz w:val="22"/>
          <w:szCs w:val="22"/>
          <w:u w:val="single"/>
        </w:rPr>
        <w:t>DEQ</w:t>
      </w:r>
      <w:r w:rsidR="00956132" w:rsidRPr="00533703">
        <w:rPr>
          <w:rFonts w:ascii="Arial" w:hAnsi="Arial" w:cs="Arial"/>
          <w:b/>
          <w:sz w:val="22"/>
          <w:szCs w:val="22"/>
          <w:u w:val="single"/>
        </w:rPr>
        <w:t>, AQD</w:t>
      </w:r>
    </w:p>
    <w:p w14:paraId="447B041E" w14:textId="77777777" w:rsidR="000F73C3" w:rsidRPr="00533703" w:rsidRDefault="000F73C3" w:rsidP="000F73C3">
      <w:pPr>
        <w:jc w:val="both"/>
        <w:rPr>
          <w:rFonts w:ascii="Arial" w:hAnsi="Arial" w:cs="Arial"/>
          <w:sz w:val="22"/>
          <w:szCs w:val="22"/>
        </w:rPr>
      </w:pPr>
    </w:p>
    <w:p w14:paraId="3E59BEF3" w14:textId="77777777" w:rsidR="00DA5C18" w:rsidRDefault="000F73C3" w:rsidP="000F73C3">
      <w:pPr>
        <w:jc w:val="both"/>
        <w:rPr>
          <w:rFonts w:ascii="Arial" w:hAnsi="Arial" w:cs="Arial"/>
          <w:sz w:val="22"/>
          <w:szCs w:val="22"/>
        </w:rPr>
      </w:pPr>
      <w:r w:rsidRPr="00533703">
        <w:rPr>
          <w:rFonts w:ascii="Arial" w:hAnsi="Arial" w:cs="Arial"/>
          <w:sz w:val="22"/>
          <w:szCs w:val="22"/>
        </w:rPr>
        <w:t xml:space="preserve">The AQD proposes to approve this </w:t>
      </w:r>
      <w:r w:rsidR="00956132" w:rsidRPr="00533703">
        <w:rPr>
          <w:rFonts w:ascii="Arial" w:hAnsi="Arial" w:cs="Arial"/>
          <w:sz w:val="22"/>
          <w:szCs w:val="22"/>
        </w:rPr>
        <w:t>ROP</w:t>
      </w:r>
      <w:r w:rsidRPr="00533703">
        <w:rPr>
          <w:rFonts w:ascii="Arial" w:hAnsi="Arial" w:cs="Arial"/>
          <w:sz w:val="22"/>
          <w:szCs w:val="22"/>
        </w:rPr>
        <w:t xml:space="preserve">.  A final decision on the </w:t>
      </w:r>
      <w:smartTag w:uri="urn:schemas-microsoft-com:office:smarttags" w:element="stockticker">
        <w:r w:rsidRPr="00533703">
          <w:rPr>
            <w:rFonts w:ascii="Arial" w:hAnsi="Arial" w:cs="Arial"/>
            <w:sz w:val="22"/>
            <w:szCs w:val="22"/>
          </w:rPr>
          <w:t>ROP</w:t>
        </w:r>
      </w:smartTag>
      <w:r w:rsidRPr="00533703">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533703">
        <w:rPr>
          <w:rFonts w:ascii="Arial" w:hAnsi="Arial" w:cs="Arial"/>
          <w:sz w:val="22"/>
          <w:szCs w:val="22"/>
        </w:rPr>
        <w:t>ROP</w:t>
      </w:r>
      <w:r w:rsidRPr="00533703">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533703">
        <w:rPr>
          <w:rFonts w:ascii="Arial" w:hAnsi="Arial" w:cs="Arial"/>
          <w:sz w:val="22"/>
          <w:szCs w:val="22"/>
        </w:rPr>
        <w:t xml:space="preserve">is </w:t>
      </w:r>
      <w:r w:rsidR="00476E46" w:rsidRPr="00533703">
        <w:rPr>
          <w:rFonts w:ascii="Arial" w:hAnsi="Arial" w:cs="Arial"/>
          <w:sz w:val="22"/>
          <w:szCs w:val="22"/>
        </w:rPr>
        <w:t>Joyce Zhu</w:t>
      </w:r>
      <w:r w:rsidRPr="00533703">
        <w:rPr>
          <w:rFonts w:ascii="Arial" w:hAnsi="Arial" w:cs="Arial"/>
          <w:sz w:val="22"/>
          <w:szCs w:val="22"/>
        </w:rPr>
        <w:t xml:space="preserve">, </w:t>
      </w:r>
      <w:r w:rsidR="00476E46" w:rsidRPr="00533703">
        <w:rPr>
          <w:rFonts w:ascii="Arial" w:hAnsi="Arial" w:cs="Arial"/>
          <w:sz w:val="22"/>
          <w:szCs w:val="22"/>
        </w:rPr>
        <w:t>Southeast Michigan</w:t>
      </w:r>
      <w:r w:rsidRPr="00533703">
        <w:rPr>
          <w:rFonts w:ascii="Arial" w:hAnsi="Arial" w:cs="Arial"/>
          <w:sz w:val="22"/>
          <w:szCs w:val="22"/>
        </w:rPr>
        <w:t xml:space="preserve"> District Supervisor.  The final determination for </w:t>
      </w:r>
      <w:smartTag w:uri="urn:schemas-microsoft-com:office:smarttags" w:element="stockticker">
        <w:r w:rsidRPr="00533703">
          <w:rPr>
            <w:rFonts w:ascii="Arial" w:hAnsi="Arial" w:cs="Arial"/>
            <w:sz w:val="22"/>
            <w:szCs w:val="22"/>
          </w:rPr>
          <w:t>ROP</w:t>
        </w:r>
      </w:smartTag>
      <w:r w:rsidRPr="00533703">
        <w:rPr>
          <w:rFonts w:ascii="Arial" w:hAnsi="Arial" w:cs="Arial"/>
          <w:sz w:val="22"/>
          <w:szCs w:val="22"/>
        </w:rPr>
        <w:t xml:space="preserve"> approval/disapproval will be based on the contents of the </w:t>
      </w:r>
      <w:r w:rsidR="00956132" w:rsidRPr="00533703">
        <w:rPr>
          <w:rFonts w:ascii="Arial" w:hAnsi="Arial" w:cs="Arial"/>
          <w:sz w:val="22"/>
          <w:szCs w:val="22"/>
        </w:rPr>
        <w:t>ROP</w:t>
      </w:r>
      <w:r w:rsidRPr="00533703">
        <w:rPr>
          <w:rFonts w:ascii="Arial" w:hAnsi="Arial" w:cs="Arial"/>
          <w:sz w:val="22"/>
          <w:szCs w:val="22"/>
        </w:rPr>
        <w:t xml:space="preserve"> </w:t>
      </w:r>
      <w:r w:rsidR="00956132" w:rsidRPr="00533703">
        <w:rPr>
          <w:rFonts w:ascii="Arial" w:hAnsi="Arial" w:cs="Arial"/>
          <w:sz w:val="22"/>
          <w:szCs w:val="22"/>
        </w:rPr>
        <w:t>A</w:t>
      </w:r>
      <w:r w:rsidRPr="00533703">
        <w:rPr>
          <w:rFonts w:ascii="Arial" w:hAnsi="Arial" w:cs="Arial"/>
          <w:sz w:val="22"/>
          <w:szCs w:val="22"/>
        </w:rPr>
        <w:t>pplication, a judgment that the stationary source will be able to comply with applicable emission limits and other terms and conditions, and resolution of any objections by the USEPA.</w:t>
      </w:r>
    </w:p>
    <w:p w14:paraId="13FF5822" w14:textId="77777777" w:rsidR="00DA5C18" w:rsidRDefault="00DA5C18">
      <w:pPr>
        <w:rPr>
          <w:rFonts w:ascii="Arial" w:hAnsi="Arial" w:cs="Arial"/>
          <w:sz w:val="22"/>
          <w:szCs w:val="22"/>
        </w:rPr>
      </w:pPr>
      <w:r>
        <w:rPr>
          <w:rFonts w:ascii="Arial" w:hAnsi="Arial" w:cs="Arial"/>
          <w:sz w:val="22"/>
          <w:szCs w:val="22"/>
        </w:rPr>
        <w:br w:type="page"/>
      </w:r>
    </w:p>
    <w:p w14:paraId="45E4BA63" w14:textId="77777777" w:rsidR="00DA5C18" w:rsidRDefault="00DA5C1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DA5C18" w14:paraId="4BFE6BF3" w14:textId="77777777" w:rsidTr="00090A6D">
        <w:tc>
          <w:tcPr>
            <w:tcW w:w="2520" w:type="dxa"/>
          </w:tcPr>
          <w:p w14:paraId="72CF3DFB" w14:textId="77777777" w:rsidR="00DA5C18" w:rsidRDefault="00DA5C18">
            <w:pPr>
              <w:jc w:val="center"/>
              <w:rPr>
                <w:rFonts w:ascii="Arial" w:hAnsi="Arial"/>
                <w:sz w:val="16"/>
              </w:rPr>
            </w:pPr>
          </w:p>
        </w:tc>
        <w:tc>
          <w:tcPr>
            <w:tcW w:w="5400" w:type="dxa"/>
          </w:tcPr>
          <w:p w14:paraId="1389B41B" w14:textId="77777777" w:rsidR="00DA5C18" w:rsidRDefault="00DA5C18" w:rsidP="00090A6D">
            <w:pPr>
              <w:ind w:left="-108" w:right="-108"/>
              <w:jc w:val="center"/>
              <w:rPr>
                <w:rFonts w:ascii="Arial" w:hAnsi="Arial"/>
              </w:rPr>
            </w:pPr>
            <w:r>
              <w:rPr>
                <w:rFonts w:ascii="Arial" w:hAnsi="Arial"/>
              </w:rPr>
              <w:t>Michigan Department of Environmental Quality</w:t>
            </w:r>
          </w:p>
          <w:p w14:paraId="24CF3545" w14:textId="77777777" w:rsidR="00DA5C18" w:rsidRDefault="00DA5C18">
            <w:pPr>
              <w:jc w:val="center"/>
              <w:rPr>
                <w:rFonts w:ascii="Arial" w:hAnsi="Arial"/>
                <w:sz w:val="16"/>
              </w:rPr>
            </w:pPr>
            <w:r>
              <w:rPr>
                <w:rFonts w:ascii="Arial" w:hAnsi="Arial"/>
              </w:rPr>
              <w:t>Air Quality Division</w:t>
            </w:r>
          </w:p>
        </w:tc>
        <w:tc>
          <w:tcPr>
            <w:tcW w:w="2430" w:type="dxa"/>
          </w:tcPr>
          <w:p w14:paraId="3C3B5A27" w14:textId="77777777" w:rsidR="00DA5C18" w:rsidRDefault="00DA5C18">
            <w:pPr>
              <w:jc w:val="center"/>
              <w:rPr>
                <w:rFonts w:ascii="Arial" w:hAnsi="Arial"/>
                <w:sz w:val="16"/>
              </w:rPr>
            </w:pPr>
          </w:p>
        </w:tc>
      </w:tr>
      <w:tr w:rsidR="00DA5C18" w14:paraId="751CCF50" w14:textId="77777777" w:rsidTr="00090A6D">
        <w:trPr>
          <w:cantSplit/>
          <w:trHeight w:val="333"/>
        </w:trPr>
        <w:tc>
          <w:tcPr>
            <w:tcW w:w="2520" w:type="dxa"/>
          </w:tcPr>
          <w:p w14:paraId="7A8024B0" w14:textId="77777777" w:rsidR="00DA5C18" w:rsidRPr="0087483C" w:rsidRDefault="00DA5C18">
            <w:pPr>
              <w:pStyle w:val="Header"/>
              <w:jc w:val="center"/>
              <w:rPr>
                <w:rFonts w:ascii="Arial" w:hAnsi="Arial"/>
                <w:b/>
                <w:sz w:val="16"/>
              </w:rPr>
            </w:pPr>
            <w:r w:rsidRPr="0087483C">
              <w:rPr>
                <w:rFonts w:ascii="Arial" w:hAnsi="Arial"/>
                <w:b/>
                <w:sz w:val="16"/>
              </w:rPr>
              <w:t>State Registration Number</w:t>
            </w:r>
          </w:p>
        </w:tc>
        <w:tc>
          <w:tcPr>
            <w:tcW w:w="5400" w:type="dxa"/>
          </w:tcPr>
          <w:p w14:paraId="210C64DB" w14:textId="77777777" w:rsidR="00DA5C18" w:rsidRDefault="00DA5C18">
            <w:pPr>
              <w:jc w:val="center"/>
              <w:rPr>
                <w:rFonts w:ascii="Arial" w:hAnsi="Arial"/>
                <w:b/>
                <w:sz w:val="28"/>
              </w:rPr>
            </w:pPr>
            <w:r>
              <w:rPr>
                <w:rFonts w:ascii="Arial" w:hAnsi="Arial"/>
                <w:b/>
                <w:sz w:val="28"/>
              </w:rPr>
              <w:t>RENEWABLE OPERATING PERMIT</w:t>
            </w:r>
          </w:p>
        </w:tc>
        <w:tc>
          <w:tcPr>
            <w:tcW w:w="2430" w:type="dxa"/>
          </w:tcPr>
          <w:p w14:paraId="7385F534" w14:textId="77777777" w:rsidR="00DA5C18" w:rsidRPr="0087483C" w:rsidRDefault="00DA5C18">
            <w:pPr>
              <w:jc w:val="center"/>
              <w:rPr>
                <w:rFonts w:ascii="Arial" w:hAnsi="Arial"/>
                <w:b/>
                <w:sz w:val="16"/>
              </w:rPr>
            </w:pPr>
            <w:r w:rsidRPr="0087483C">
              <w:rPr>
                <w:rFonts w:ascii="Arial" w:hAnsi="Arial"/>
                <w:b/>
                <w:sz w:val="16"/>
              </w:rPr>
              <w:t>ROP Number</w:t>
            </w:r>
          </w:p>
        </w:tc>
      </w:tr>
      <w:tr w:rsidR="00DA5C18" w14:paraId="71246A9D" w14:textId="77777777" w:rsidTr="00090A6D">
        <w:trPr>
          <w:cantSplit/>
          <w:trHeight w:val="711"/>
        </w:trPr>
        <w:tc>
          <w:tcPr>
            <w:tcW w:w="2520" w:type="dxa"/>
            <w:tcBorders>
              <w:bottom w:val="nil"/>
            </w:tcBorders>
          </w:tcPr>
          <w:p w14:paraId="6D4A20FA" w14:textId="77777777" w:rsidR="00DA5C18" w:rsidRDefault="00DA5C18">
            <w:pPr>
              <w:pStyle w:val="Header"/>
              <w:jc w:val="center"/>
              <w:rPr>
                <w:rFonts w:ascii="Arial" w:hAnsi="Arial" w:cs="Arial"/>
                <w:bCs/>
                <w:sz w:val="18"/>
                <w:szCs w:val="18"/>
              </w:rPr>
            </w:pPr>
          </w:p>
          <w:p w14:paraId="4FE00CD5" w14:textId="77777777" w:rsidR="00DA5C18" w:rsidRPr="00BB5DC7" w:rsidRDefault="00DA5C18">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sidR="00885A95" w:rsidRPr="00885A95">
              <w:rPr>
                <w:rFonts w:ascii="Arial" w:hAnsi="Arial" w:cs="Arial"/>
                <w:bCs/>
                <w:noProof/>
                <w:sz w:val="22"/>
                <w:szCs w:val="22"/>
              </w:rPr>
              <w:t>B6145</w:t>
            </w:r>
            <w:r w:rsidRPr="00BB5DC7">
              <w:rPr>
                <w:rFonts w:ascii="Arial" w:hAnsi="Arial" w:cs="Arial"/>
                <w:bCs/>
                <w:sz w:val="22"/>
                <w:szCs w:val="22"/>
              </w:rPr>
              <w:fldChar w:fldCharType="end"/>
            </w:r>
          </w:p>
        </w:tc>
        <w:tc>
          <w:tcPr>
            <w:tcW w:w="5400" w:type="dxa"/>
            <w:tcBorders>
              <w:bottom w:val="nil"/>
            </w:tcBorders>
          </w:tcPr>
          <w:p w14:paraId="61592483" w14:textId="42CE68EA" w:rsidR="00DA5C18" w:rsidRPr="001B3E2F" w:rsidRDefault="00D73104">
            <w:pPr>
              <w:pStyle w:val="Heading1"/>
              <w:rPr>
                <w:sz w:val="22"/>
                <w:szCs w:val="22"/>
              </w:rPr>
            </w:pPr>
            <w:bookmarkStart w:id="40" w:name="_Toc495294691"/>
            <w:bookmarkStart w:id="41" w:name="_Toc514313015"/>
            <w:r w:rsidRPr="0096151F">
              <w:rPr>
                <w:rFonts w:cs="Arial"/>
                <w:sz w:val="22"/>
                <w:szCs w:val="22"/>
              </w:rPr>
              <w:t xml:space="preserve">MARCH </w:t>
            </w:r>
            <w:r w:rsidR="007B743D">
              <w:rPr>
                <w:rFonts w:cs="Arial"/>
                <w:sz w:val="22"/>
                <w:szCs w:val="22"/>
              </w:rPr>
              <w:t>23</w:t>
            </w:r>
            <w:r w:rsidRPr="0096151F">
              <w:rPr>
                <w:rFonts w:cs="Arial"/>
                <w:sz w:val="22"/>
                <w:szCs w:val="22"/>
              </w:rPr>
              <w:t>, 2018</w:t>
            </w:r>
            <w:r w:rsidR="00DA5C18" w:rsidRPr="0096151F">
              <w:rPr>
                <w:sz w:val="22"/>
                <w:szCs w:val="22"/>
              </w:rPr>
              <w:t xml:space="preserve"> - S</w:t>
            </w:r>
            <w:r w:rsidR="00DA5C18" w:rsidRPr="001B3E2F">
              <w:rPr>
                <w:sz w:val="22"/>
                <w:szCs w:val="22"/>
              </w:rPr>
              <w:t>TAFF REPORT ADDENDUM</w:t>
            </w:r>
            <w:bookmarkEnd w:id="40"/>
            <w:bookmarkEnd w:id="41"/>
          </w:p>
        </w:tc>
        <w:tc>
          <w:tcPr>
            <w:tcW w:w="2430" w:type="dxa"/>
            <w:tcBorders>
              <w:bottom w:val="nil"/>
            </w:tcBorders>
          </w:tcPr>
          <w:p w14:paraId="33DAAD54" w14:textId="77777777" w:rsidR="00DA5C18" w:rsidRDefault="00DA5C18">
            <w:pPr>
              <w:pStyle w:val="Header"/>
              <w:jc w:val="center"/>
              <w:rPr>
                <w:rFonts w:ascii="Arial" w:hAnsi="Arial" w:cs="Arial"/>
                <w:sz w:val="18"/>
                <w:szCs w:val="18"/>
              </w:rPr>
            </w:pPr>
          </w:p>
          <w:p w14:paraId="67382D08" w14:textId="1FE83F1E" w:rsidR="00DA5C18" w:rsidRPr="00BB5DC7" w:rsidRDefault="00DA5C18">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sidR="00885A95" w:rsidRPr="00885A95">
              <w:rPr>
                <w:rFonts w:ascii="Arial" w:hAnsi="Arial" w:cs="Arial"/>
                <w:noProof/>
                <w:sz w:val="22"/>
                <w:szCs w:val="22"/>
              </w:rPr>
              <w:t>MI-ROP-B6145-201</w:t>
            </w:r>
            <w:r w:rsidR="009D0FA7">
              <w:rPr>
                <w:rFonts w:ascii="Arial" w:hAnsi="Arial" w:cs="Arial"/>
                <w:noProof/>
                <w:sz w:val="22"/>
                <w:szCs w:val="22"/>
              </w:rPr>
              <w:t>8</w:t>
            </w:r>
            <w:r w:rsidRPr="00BB5DC7">
              <w:rPr>
                <w:rFonts w:ascii="Arial" w:hAnsi="Arial" w:cs="Arial"/>
                <w:sz w:val="22"/>
                <w:szCs w:val="22"/>
              </w:rPr>
              <w:fldChar w:fldCharType="end"/>
            </w:r>
          </w:p>
        </w:tc>
      </w:tr>
    </w:tbl>
    <w:p w14:paraId="1D1AF9A8" w14:textId="77777777" w:rsidR="00DA5C18" w:rsidRDefault="00DA5C18">
      <w:pPr>
        <w:rPr>
          <w:rFonts w:ascii="Arial" w:hAnsi="Arial"/>
          <w:sz w:val="22"/>
        </w:rPr>
      </w:pPr>
    </w:p>
    <w:p w14:paraId="2EE855CF" w14:textId="77777777" w:rsidR="00DA5C18" w:rsidRDefault="00DA5C18">
      <w:pPr>
        <w:rPr>
          <w:rFonts w:ascii="Arial" w:hAnsi="Arial"/>
          <w:b/>
          <w:sz w:val="22"/>
          <w:u w:val="single"/>
        </w:rPr>
      </w:pPr>
      <w:bookmarkStart w:id="42" w:name="_Toc482691122"/>
      <w:r>
        <w:rPr>
          <w:rFonts w:ascii="Arial" w:hAnsi="Arial"/>
          <w:b/>
          <w:sz w:val="22"/>
          <w:u w:val="single"/>
        </w:rPr>
        <w:t>Purpose</w:t>
      </w:r>
      <w:bookmarkEnd w:id="42"/>
    </w:p>
    <w:p w14:paraId="2230AD62" w14:textId="77777777" w:rsidR="00DA5C18" w:rsidRDefault="00DA5C18">
      <w:pPr>
        <w:rPr>
          <w:rFonts w:ascii="Arial" w:hAnsi="Arial"/>
          <w:sz w:val="22"/>
        </w:rPr>
      </w:pPr>
    </w:p>
    <w:p w14:paraId="40785182" w14:textId="360B1C9F" w:rsidR="00DA5C18" w:rsidRDefault="00DA5C18">
      <w:pPr>
        <w:jc w:val="both"/>
        <w:rPr>
          <w:rFonts w:ascii="Arial" w:hAnsi="Arial"/>
          <w:sz w:val="22"/>
        </w:rPr>
      </w:pPr>
      <w:r>
        <w:rPr>
          <w:rFonts w:ascii="Arial" w:hAnsi="Arial"/>
          <w:sz w:val="22"/>
        </w:rPr>
        <w:t xml:space="preserve">A Staff Report dated </w:t>
      </w:r>
      <w:r w:rsidR="00151E4C">
        <w:rPr>
          <w:rFonts w:ascii="Arial" w:hAnsi="Arial" w:cs="Arial"/>
          <w:sz w:val="22"/>
          <w:szCs w:val="22"/>
        </w:rPr>
        <w:t>August 7, 2017</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3" w:name="Dropdown10"/>
      <w:r>
        <w:rPr>
          <w:rFonts w:ascii="Arial" w:hAnsi="Arial"/>
          <w:sz w:val="22"/>
        </w:rPr>
        <w:instrText xml:space="preserve"> FORMDROPDOWN </w:instrText>
      </w:r>
      <w:r w:rsidR="004A33DF">
        <w:rPr>
          <w:rFonts w:ascii="Arial" w:hAnsi="Arial"/>
          <w:sz w:val="22"/>
        </w:rPr>
      </w:r>
      <w:r w:rsidR="004A33DF">
        <w:rPr>
          <w:rFonts w:ascii="Arial" w:hAnsi="Arial"/>
          <w:sz w:val="22"/>
        </w:rPr>
        <w:fldChar w:fldCharType="separate"/>
      </w:r>
      <w:r>
        <w:rPr>
          <w:rFonts w:ascii="Arial" w:hAnsi="Arial"/>
          <w:sz w:val="22"/>
        </w:rPr>
        <w:fldChar w:fldCharType="end"/>
      </w:r>
      <w:bookmarkEnd w:id="43"/>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44" w:name="Dropdown11"/>
      <w:r>
        <w:rPr>
          <w:rFonts w:ascii="Arial" w:hAnsi="Arial"/>
          <w:sz w:val="22"/>
        </w:rPr>
        <w:instrText xml:space="preserve"> FORMDROPDOWN </w:instrText>
      </w:r>
      <w:r w:rsidR="004A33DF">
        <w:rPr>
          <w:rFonts w:ascii="Arial" w:hAnsi="Arial"/>
          <w:sz w:val="22"/>
        </w:rPr>
      </w:r>
      <w:r w:rsidR="004A33DF">
        <w:rPr>
          <w:rFonts w:ascii="Arial" w:hAnsi="Arial"/>
          <w:sz w:val="22"/>
        </w:rPr>
        <w:fldChar w:fldCharType="separate"/>
      </w:r>
      <w:r>
        <w:rPr>
          <w:rFonts w:ascii="Arial" w:hAnsi="Arial"/>
          <w:sz w:val="22"/>
        </w:rPr>
        <w:fldChar w:fldCharType="end"/>
      </w:r>
      <w:bookmarkEnd w:id="4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5" w:name="Dropdown13"/>
      <w:r>
        <w:rPr>
          <w:rFonts w:ascii="Arial" w:hAnsi="Arial"/>
          <w:sz w:val="22"/>
        </w:rPr>
        <w:instrText xml:space="preserve"> FORMDROPDOWN </w:instrText>
      </w:r>
      <w:r w:rsidR="004A33DF">
        <w:rPr>
          <w:rFonts w:ascii="Arial" w:hAnsi="Arial"/>
          <w:sz w:val="22"/>
        </w:rPr>
      </w:r>
      <w:r w:rsidR="004A33DF">
        <w:rPr>
          <w:rFonts w:ascii="Arial" w:hAnsi="Arial"/>
          <w:sz w:val="22"/>
        </w:rPr>
        <w:fldChar w:fldCharType="separate"/>
      </w:r>
      <w:r>
        <w:rPr>
          <w:rFonts w:ascii="Arial" w:hAnsi="Arial"/>
          <w:sz w:val="22"/>
        </w:rPr>
        <w:fldChar w:fldCharType="end"/>
      </w:r>
      <w:bookmarkEnd w:id="4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2DBB7F3" w14:textId="77777777" w:rsidR="00DA5C18" w:rsidRDefault="00DA5C18">
      <w:pPr>
        <w:rPr>
          <w:rFonts w:ascii="Arial" w:hAnsi="Arial"/>
          <w:sz w:val="22"/>
        </w:rPr>
      </w:pPr>
    </w:p>
    <w:p w14:paraId="222CC94F" w14:textId="77777777" w:rsidR="00DA5C18" w:rsidRDefault="00DA5C18">
      <w:pPr>
        <w:rPr>
          <w:rFonts w:ascii="Arial" w:hAnsi="Arial"/>
          <w:b/>
          <w:sz w:val="22"/>
          <w:u w:val="single"/>
        </w:rPr>
      </w:pPr>
      <w:r>
        <w:rPr>
          <w:rFonts w:ascii="Arial" w:hAnsi="Arial"/>
          <w:b/>
          <w:sz w:val="22"/>
          <w:u w:val="single"/>
        </w:rPr>
        <w:t>General Information</w:t>
      </w:r>
    </w:p>
    <w:p w14:paraId="2B33A1FC" w14:textId="77777777" w:rsidR="00DA5C18" w:rsidRDefault="00DA5C18">
      <w:pPr>
        <w:rPr>
          <w:rFonts w:ascii="Arial" w:hAnsi="Arial"/>
          <w:sz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96"/>
      </w:tblGrid>
      <w:tr w:rsidR="00DA5C18" w14:paraId="57DA770E" w14:textId="77777777" w:rsidTr="0096151F">
        <w:tc>
          <w:tcPr>
            <w:tcW w:w="4505" w:type="dxa"/>
          </w:tcPr>
          <w:p w14:paraId="76DA028E" w14:textId="77777777" w:rsidR="00DA5C18" w:rsidRDefault="00DA5C18" w:rsidP="00090A6D">
            <w:pPr>
              <w:tabs>
                <w:tab w:val="left" w:pos="3424"/>
              </w:tabs>
              <w:rPr>
                <w:rFonts w:ascii="Arial" w:hAnsi="Arial"/>
                <w:sz w:val="22"/>
              </w:rPr>
            </w:pPr>
            <w:r>
              <w:rPr>
                <w:rFonts w:ascii="Arial" w:hAnsi="Arial"/>
                <w:sz w:val="22"/>
              </w:rPr>
              <w:t>Responsible Official:</w:t>
            </w:r>
          </w:p>
        </w:tc>
        <w:tc>
          <w:tcPr>
            <w:tcW w:w="5796" w:type="dxa"/>
          </w:tcPr>
          <w:p w14:paraId="117C1502" w14:textId="77777777" w:rsidR="00AD726E" w:rsidRPr="00533703" w:rsidRDefault="00AD726E" w:rsidP="00AD726E">
            <w:pPr>
              <w:rPr>
                <w:rFonts w:ascii="Arial" w:hAnsi="Arial" w:cs="Arial"/>
                <w:sz w:val="22"/>
                <w:szCs w:val="22"/>
              </w:rPr>
            </w:pPr>
            <w:bookmarkStart w:id="46" w:name="Text25"/>
            <w:r w:rsidRPr="00533703">
              <w:rPr>
                <w:rFonts w:ascii="Arial" w:hAnsi="Arial" w:cs="Arial"/>
                <w:sz w:val="22"/>
                <w:szCs w:val="22"/>
              </w:rPr>
              <w:t xml:space="preserve">1. </w:t>
            </w:r>
            <w:r>
              <w:rPr>
                <w:rFonts w:ascii="Arial" w:hAnsi="Arial" w:cs="Arial"/>
                <w:sz w:val="22"/>
                <w:szCs w:val="22"/>
              </w:rPr>
              <w:t>Margaret Guillaumin</w:t>
            </w:r>
            <w:r w:rsidRPr="00533703">
              <w:rPr>
                <w:rFonts w:ascii="Arial" w:hAnsi="Arial" w:cs="Arial"/>
                <w:sz w:val="22"/>
                <w:szCs w:val="22"/>
              </w:rPr>
              <w:t xml:space="preserve">, </w:t>
            </w:r>
            <w:r w:rsidRPr="00533703">
              <w:rPr>
                <w:rFonts w:ascii="Arial" w:hAnsi="Arial" w:cs="Arial"/>
                <w:sz w:val="22"/>
                <w:szCs w:val="22"/>
              </w:rPr>
              <w:fldChar w:fldCharType="begin" w:fldLock="1">
                <w:ffData>
                  <w:name w:val="RO_Title"/>
                  <w:enabled/>
                  <w:calcOnExit/>
                  <w:statusText w:type="text" w:val="Enter the title of the responsible official."/>
                  <w:textInput/>
                </w:ffData>
              </w:fldChar>
            </w:r>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Pr="00533703">
              <w:rPr>
                <w:rFonts w:ascii="Arial" w:hAnsi="Arial" w:cs="Arial"/>
                <w:sz w:val="22"/>
                <w:szCs w:val="22"/>
              </w:rPr>
              <w:t>Plant Manager</w:t>
            </w:r>
            <w:r w:rsidRPr="00533703">
              <w:rPr>
                <w:rFonts w:ascii="Arial" w:hAnsi="Arial" w:cs="Arial"/>
                <w:sz w:val="22"/>
                <w:szCs w:val="22"/>
              </w:rPr>
              <w:fldChar w:fldCharType="end"/>
            </w:r>
          </w:p>
          <w:p w14:paraId="603E961C" w14:textId="77777777" w:rsidR="00AD726E" w:rsidRPr="00533703" w:rsidRDefault="00AD726E" w:rsidP="00AD726E">
            <w:pPr>
              <w:rPr>
                <w:rFonts w:ascii="Arial" w:hAnsi="Arial" w:cs="Arial"/>
                <w:sz w:val="22"/>
                <w:szCs w:val="22"/>
              </w:rPr>
            </w:pPr>
            <w:r w:rsidRPr="00533703">
              <w:rPr>
                <w:rFonts w:ascii="Arial" w:hAnsi="Arial" w:cs="Arial"/>
                <w:sz w:val="22"/>
                <w:szCs w:val="22"/>
              </w:rPr>
              <w:t>Section 1, Main Boiler</w:t>
            </w:r>
          </w:p>
          <w:p w14:paraId="5C11ACB4" w14:textId="77777777" w:rsidR="00AD726E" w:rsidRPr="00533703" w:rsidRDefault="00AD726E" w:rsidP="00AD726E">
            <w:pPr>
              <w:rPr>
                <w:rFonts w:ascii="Arial" w:hAnsi="Arial" w:cs="Arial"/>
                <w:sz w:val="22"/>
                <w:szCs w:val="22"/>
              </w:rPr>
            </w:pPr>
            <w:r w:rsidRPr="00533703">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533703">
              <w:rPr>
                <w:rFonts w:ascii="Arial" w:hAnsi="Arial" w:cs="Arial"/>
                <w:sz w:val="22"/>
                <w:szCs w:val="22"/>
              </w:rPr>
              <w:instrText xml:space="preserve"> FORMTEXT </w:instrText>
            </w:r>
            <w:r w:rsidRPr="00533703">
              <w:rPr>
                <w:rFonts w:ascii="Arial" w:hAnsi="Arial" w:cs="Arial"/>
                <w:sz w:val="22"/>
                <w:szCs w:val="22"/>
              </w:rPr>
            </w:r>
            <w:r w:rsidRPr="00533703">
              <w:rPr>
                <w:rFonts w:ascii="Arial" w:hAnsi="Arial" w:cs="Arial"/>
                <w:sz w:val="22"/>
                <w:szCs w:val="22"/>
              </w:rPr>
              <w:fldChar w:fldCharType="separate"/>
            </w:r>
            <w:r w:rsidRPr="00533703">
              <w:rPr>
                <w:rFonts w:ascii="Arial" w:hAnsi="Arial" w:cs="Arial"/>
                <w:sz w:val="22"/>
                <w:szCs w:val="22"/>
              </w:rPr>
              <w:t>810-324-3218</w:t>
            </w:r>
            <w:r w:rsidRPr="00533703">
              <w:rPr>
                <w:rFonts w:ascii="Arial" w:hAnsi="Arial" w:cs="Arial"/>
                <w:sz w:val="22"/>
                <w:szCs w:val="22"/>
              </w:rPr>
              <w:fldChar w:fldCharType="end"/>
            </w:r>
          </w:p>
          <w:p w14:paraId="0E3E9681" w14:textId="77777777" w:rsidR="00857B2C" w:rsidRPr="00533703" w:rsidRDefault="00857B2C" w:rsidP="00857B2C">
            <w:pPr>
              <w:rPr>
                <w:rFonts w:ascii="Arial" w:hAnsi="Arial" w:cs="Arial"/>
                <w:sz w:val="22"/>
                <w:szCs w:val="22"/>
              </w:rPr>
            </w:pPr>
          </w:p>
          <w:p w14:paraId="122092C8" w14:textId="77777777" w:rsidR="00857B2C" w:rsidRPr="00533703" w:rsidRDefault="00857B2C" w:rsidP="00857B2C">
            <w:pPr>
              <w:rPr>
                <w:rFonts w:ascii="Arial" w:hAnsi="Arial" w:cs="Arial"/>
                <w:sz w:val="22"/>
                <w:szCs w:val="22"/>
              </w:rPr>
            </w:pPr>
            <w:r w:rsidRPr="00533703">
              <w:rPr>
                <w:rFonts w:ascii="Arial" w:hAnsi="Arial" w:cs="Arial"/>
                <w:sz w:val="22"/>
                <w:szCs w:val="22"/>
              </w:rPr>
              <w:t>2. Ryan A. Randazzo, Plant Manager Fossil Generation</w:t>
            </w:r>
          </w:p>
          <w:p w14:paraId="06ABB3D0" w14:textId="77777777" w:rsidR="00857B2C" w:rsidRPr="00533703" w:rsidRDefault="00857B2C" w:rsidP="00857B2C">
            <w:pPr>
              <w:rPr>
                <w:rFonts w:ascii="Arial" w:hAnsi="Arial" w:cs="Arial"/>
                <w:sz w:val="22"/>
                <w:szCs w:val="22"/>
              </w:rPr>
            </w:pPr>
            <w:r w:rsidRPr="00533703">
              <w:rPr>
                <w:rFonts w:ascii="Arial" w:hAnsi="Arial" w:cs="Arial"/>
                <w:sz w:val="22"/>
                <w:szCs w:val="22"/>
              </w:rPr>
              <w:t>Section 2, Combustion Turbine Generators</w:t>
            </w:r>
          </w:p>
          <w:p w14:paraId="4FF3D25F" w14:textId="3E820E2E" w:rsidR="00DA5C18" w:rsidRDefault="00857B2C" w:rsidP="00090A6D">
            <w:pPr>
              <w:rPr>
                <w:rFonts w:ascii="Arial" w:hAnsi="Arial"/>
                <w:sz w:val="22"/>
              </w:rPr>
            </w:pPr>
            <w:r w:rsidRPr="00533703">
              <w:rPr>
                <w:rFonts w:ascii="Arial" w:hAnsi="Arial" w:cs="Arial"/>
                <w:sz w:val="22"/>
                <w:szCs w:val="22"/>
              </w:rPr>
              <w:t>734-231-1140</w:t>
            </w:r>
            <w:bookmarkEnd w:id="46"/>
          </w:p>
        </w:tc>
      </w:tr>
      <w:tr w:rsidR="00DA5C18" w14:paraId="370016FB" w14:textId="77777777" w:rsidTr="0096151F">
        <w:tc>
          <w:tcPr>
            <w:tcW w:w="4505" w:type="dxa"/>
          </w:tcPr>
          <w:p w14:paraId="7316272E" w14:textId="77777777" w:rsidR="00DA5C18" w:rsidRDefault="00DA5C18">
            <w:pPr>
              <w:rPr>
                <w:rFonts w:ascii="Arial" w:hAnsi="Arial"/>
                <w:sz w:val="22"/>
              </w:rPr>
            </w:pPr>
            <w:r>
              <w:rPr>
                <w:rFonts w:ascii="Arial" w:hAnsi="Arial"/>
                <w:sz w:val="22"/>
              </w:rPr>
              <w:t>AQD Contact:</w:t>
            </w:r>
          </w:p>
        </w:tc>
        <w:bookmarkStart w:id="47" w:name="Text28"/>
        <w:tc>
          <w:tcPr>
            <w:tcW w:w="5796" w:type="dxa"/>
          </w:tcPr>
          <w:p w14:paraId="33E9FA69" w14:textId="77777777" w:rsidR="00DA5C18" w:rsidRPr="00CA06E7" w:rsidRDefault="00DA5C18" w:rsidP="00090A6D">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3563" w:rsidRPr="00043563">
              <w:rPr>
                <w:rFonts w:ascii="Arial" w:hAnsi="Arial" w:cs="Arial"/>
                <w:noProof/>
                <w:sz w:val="22"/>
                <w:szCs w:val="22"/>
              </w:rPr>
              <w:t>Robert Elmouchi</w:t>
            </w:r>
            <w:r>
              <w:rPr>
                <w:rFonts w:ascii="Arial" w:hAnsi="Arial" w:cs="Arial"/>
                <w:sz w:val="22"/>
                <w:szCs w:val="22"/>
              </w:rPr>
              <w:fldChar w:fldCharType="end"/>
            </w:r>
            <w:bookmarkEnd w:id="47"/>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8" w:name="Text22"/>
            <w:r w:rsidRPr="00CA06E7">
              <w:rPr>
                <w:rFonts w:ascii="Arial" w:hAnsi="Arial" w:cs="Arial"/>
                <w:sz w:val="22"/>
                <w:szCs w:val="22"/>
              </w:rPr>
              <w:instrText xml:space="preserve"> FORMTEXT </w:instrText>
            </w:r>
            <w:r w:rsidR="004A33DF">
              <w:rPr>
                <w:rFonts w:ascii="Arial" w:hAnsi="Arial" w:cs="Arial"/>
                <w:sz w:val="22"/>
                <w:szCs w:val="22"/>
              </w:rPr>
            </w:r>
            <w:r w:rsidR="004A33DF">
              <w:rPr>
                <w:rFonts w:ascii="Arial" w:hAnsi="Arial" w:cs="Arial"/>
                <w:sz w:val="22"/>
                <w:szCs w:val="22"/>
              </w:rPr>
              <w:fldChar w:fldCharType="separate"/>
            </w:r>
            <w:r w:rsidRPr="00CA06E7">
              <w:rPr>
                <w:rFonts w:ascii="Arial" w:hAnsi="Arial" w:cs="Arial"/>
                <w:sz w:val="22"/>
                <w:szCs w:val="22"/>
              </w:rPr>
              <w:fldChar w:fldCharType="end"/>
            </w:r>
            <w:bookmarkEnd w:id="48"/>
            <w:r w:rsidRPr="00CA06E7">
              <w:rPr>
                <w:rFonts w:ascii="Arial" w:hAnsi="Arial" w:cs="Arial"/>
                <w:sz w:val="22"/>
                <w:szCs w:val="22"/>
              </w:rPr>
              <w:t xml:space="preserve">, </w:t>
            </w:r>
            <w:bookmarkStart w:id="49"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04633">
              <w:rPr>
                <w:rFonts w:ascii="Arial" w:hAnsi="Arial" w:cs="Arial"/>
                <w:noProof/>
                <w:sz w:val="22"/>
                <w:szCs w:val="22"/>
              </w:rPr>
              <w:t>Environmental Quality Analyst</w:t>
            </w:r>
            <w:r>
              <w:rPr>
                <w:rFonts w:ascii="Arial" w:hAnsi="Arial" w:cs="Arial"/>
                <w:sz w:val="22"/>
                <w:szCs w:val="22"/>
              </w:rPr>
              <w:fldChar w:fldCharType="end"/>
            </w:r>
            <w:bookmarkEnd w:id="49"/>
          </w:p>
          <w:p w14:paraId="32385ACC" w14:textId="77777777" w:rsidR="00DA5C18" w:rsidRDefault="00DA5C18" w:rsidP="00090A6D">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885A95">
              <w:rPr>
                <w:rFonts w:ascii="Arial" w:hAnsi="Arial" w:cs="Arial"/>
                <w:noProof/>
                <w:sz w:val="22"/>
                <w:szCs w:val="22"/>
              </w:rPr>
              <w:t>586-753-3736</w:t>
            </w:r>
            <w:r w:rsidRPr="00CA06E7">
              <w:rPr>
                <w:rFonts w:ascii="Arial" w:hAnsi="Arial" w:cs="Arial"/>
                <w:sz w:val="22"/>
                <w:szCs w:val="22"/>
              </w:rPr>
              <w:fldChar w:fldCharType="end"/>
            </w:r>
          </w:p>
        </w:tc>
      </w:tr>
    </w:tbl>
    <w:p w14:paraId="197E70FB" w14:textId="77777777" w:rsidR="00DA5C18" w:rsidRDefault="00DA5C18">
      <w:pPr>
        <w:jc w:val="both"/>
        <w:rPr>
          <w:rFonts w:ascii="Arial" w:hAnsi="Arial"/>
          <w:sz w:val="22"/>
        </w:rPr>
      </w:pPr>
    </w:p>
    <w:p w14:paraId="22C0FFD6" w14:textId="77777777" w:rsidR="00DA5C18" w:rsidRDefault="00DA5C18">
      <w:pPr>
        <w:rPr>
          <w:rFonts w:ascii="Arial" w:hAnsi="Arial"/>
          <w:b/>
          <w:sz w:val="22"/>
          <w:u w:val="single"/>
        </w:rPr>
      </w:pPr>
      <w:bookmarkStart w:id="50" w:name="_Toc482691123"/>
      <w:r>
        <w:rPr>
          <w:rFonts w:ascii="Arial" w:hAnsi="Arial"/>
          <w:b/>
          <w:sz w:val="22"/>
          <w:u w:val="single"/>
        </w:rPr>
        <w:t>Summary of Pertinent Comments</w:t>
      </w:r>
      <w:bookmarkEnd w:id="50"/>
    </w:p>
    <w:p w14:paraId="6123867D" w14:textId="77777777" w:rsidR="00DA5C18" w:rsidRDefault="00DA5C18">
      <w:pPr>
        <w:rPr>
          <w:rFonts w:ascii="Arial" w:hAnsi="Arial"/>
          <w:b/>
          <w:sz w:val="22"/>
          <w:u w:val="single"/>
        </w:rPr>
      </w:pPr>
    </w:p>
    <w:p w14:paraId="2AEB49C5" w14:textId="77777777" w:rsidR="00DA5C18" w:rsidRDefault="00121EBD">
      <w:pPr>
        <w:jc w:val="both"/>
        <w:rPr>
          <w:rFonts w:ascii="Arial" w:hAnsi="Arial"/>
          <w:sz w:val="22"/>
        </w:rPr>
      </w:pPr>
      <w:r>
        <w:rPr>
          <w:rFonts w:ascii="Arial" w:hAnsi="Arial"/>
          <w:sz w:val="22"/>
        </w:rPr>
        <w:t>The following comments from the USEPA were received by the AQD.</w:t>
      </w:r>
    </w:p>
    <w:p w14:paraId="1F79D4AC" w14:textId="77777777" w:rsidR="00121EBD" w:rsidRDefault="00121EBD">
      <w:pPr>
        <w:jc w:val="both"/>
        <w:rPr>
          <w:rFonts w:ascii="Arial" w:hAnsi="Arial"/>
          <w:sz w:val="22"/>
        </w:rPr>
      </w:pPr>
    </w:p>
    <w:p w14:paraId="1FE0969D" w14:textId="45445077" w:rsidR="00121EBD" w:rsidRPr="00AA25E6" w:rsidRDefault="00121EBD" w:rsidP="00EC31B5">
      <w:pPr>
        <w:ind w:left="360" w:hanging="360"/>
        <w:jc w:val="both"/>
        <w:rPr>
          <w:rFonts w:ascii="Arial" w:hAnsi="Arial"/>
          <w:sz w:val="22"/>
          <w:szCs w:val="22"/>
        </w:rPr>
      </w:pPr>
      <w:r w:rsidRPr="00090A19">
        <w:rPr>
          <w:rFonts w:ascii="Arial" w:hAnsi="Arial"/>
          <w:sz w:val="22"/>
          <w:szCs w:val="22"/>
        </w:rPr>
        <w:t>1.</w:t>
      </w:r>
      <w:r w:rsidRPr="00090A19">
        <w:rPr>
          <w:rFonts w:ascii="Arial" w:hAnsi="Arial"/>
          <w:sz w:val="22"/>
          <w:szCs w:val="22"/>
        </w:rPr>
        <w:tab/>
        <w:t>EUBOILER1, page 1</w:t>
      </w:r>
      <w:r w:rsidR="00F70D51">
        <w:rPr>
          <w:rFonts w:ascii="Arial" w:hAnsi="Arial"/>
          <w:sz w:val="22"/>
          <w:szCs w:val="22"/>
        </w:rPr>
        <w:t>7</w:t>
      </w:r>
      <w:r w:rsidRPr="00090A19">
        <w:rPr>
          <w:rFonts w:ascii="Arial" w:hAnsi="Arial"/>
          <w:sz w:val="22"/>
          <w:szCs w:val="22"/>
        </w:rPr>
        <w:t xml:space="preserve">: </w:t>
      </w:r>
      <w:r w:rsidR="00D73104">
        <w:rPr>
          <w:rFonts w:ascii="Arial" w:hAnsi="Arial"/>
          <w:sz w:val="22"/>
          <w:szCs w:val="22"/>
        </w:rPr>
        <w:t xml:space="preserve"> </w:t>
      </w:r>
      <w:r w:rsidRPr="00090A19">
        <w:rPr>
          <w:rFonts w:ascii="Arial" w:hAnsi="Arial"/>
          <w:sz w:val="22"/>
          <w:szCs w:val="22"/>
        </w:rPr>
        <w:t xml:space="preserve">Sulfur dioxide (SO2), particulate matter (PM), and nitrogen oxides (NOx) all have pounds per hour limits that do not appear to originate in the New Source Performance Standards for Fossil-Fuel-Fired Steam Generators (40 CFR Part 60 Subpart D). </w:t>
      </w:r>
      <w:r w:rsidR="00D73104">
        <w:rPr>
          <w:rFonts w:ascii="Arial" w:hAnsi="Arial"/>
          <w:sz w:val="22"/>
          <w:szCs w:val="22"/>
        </w:rPr>
        <w:t xml:space="preserve"> </w:t>
      </w:r>
      <w:r w:rsidRPr="00090A19">
        <w:rPr>
          <w:rFonts w:ascii="Arial" w:hAnsi="Arial"/>
          <w:sz w:val="22"/>
          <w:szCs w:val="22"/>
        </w:rPr>
        <w:t xml:space="preserve">Please specify the origin and </w:t>
      </w:r>
      <w:r w:rsidRPr="00AA25E6">
        <w:rPr>
          <w:rFonts w:ascii="Arial" w:hAnsi="Arial"/>
          <w:sz w:val="22"/>
          <w:szCs w:val="22"/>
        </w:rPr>
        <w:t>authority for these conditions in accordance with 40 CFR 70.6(a)(1)(i).</w:t>
      </w:r>
    </w:p>
    <w:p w14:paraId="05FECD7F" w14:textId="77777777" w:rsidR="00850668" w:rsidRPr="00AA25E6" w:rsidRDefault="00850668">
      <w:pPr>
        <w:jc w:val="both"/>
        <w:rPr>
          <w:rFonts w:ascii="Arial" w:hAnsi="Arial"/>
          <w:sz w:val="22"/>
          <w:szCs w:val="22"/>
        </w:rPr>
      </w:pPr>
    </w:p>
    <w:p w14:paraId="1B1E270E" w14:textId="77777777" w:rsidR="00850668" w:rsidRPr="00AA25E6" w:rsidRDefault="00850668" w:rsidP="00E85ACF">
      <w:pPr>
        <w:ind w:left="360"/>
        <w:contextualSpacing/>
        <w:jc w:val="both"/>
        <w:rPr>
          <w:rFonts w:ascii="Arial" w:hAnsi="Arial" w:cs="Arial"/>
          <w:b/>
          <w:sz w:val="22"/>
          <w:szCs w:val="22"/>
        </w:rPr>
      </w:pPr>
      <w:r w:rsidRPr="00AA25E6">
        <w:rPr>
          <w:rFonts w:ascii="Arial" w:hAnsi="Arial" w:cs="Arial"/>
          <w:b/>
          <w:sz w:val="22"/>
          <w:szCs w:val="22"/>
        </w:rPr>
        <w:t xml:space="preserve">AQD RESPONSE: </w:t>
      </w:r>
      <w:bookmarkStart w:id="51" w:name="_Hlk496258667"/>
    </w:p>
    <w:p w14:paraId="6ECCF41D" w14:textId="77777777" w:rsidR="00850668" w:rsidRPr="00AA25E6" w:rsidRDefault="00850668" w:rsidP="00E85ACF">
      <w:pPr>
        <w:ind w:left="360"/>
        <w:contextualSpacing/>
        <w:jc w:val="both"/>
        <w:rPr>
          <w:rFonts w:ascii="Arial" w:hAnsi="Arial" w:cs="Arial"/>
          <w:sz w:val="22"/>
          <w:szCs w:val="22"/>
        </w:rPr>
      </w:pPr>
      <w:r w:rsidRPr="00AA25E6">
        <w:rPr>
          <w:rFonts w:ascii="Arial" w:hAnsi="Arial" w:cs="Arial"/>
          <w:sz w:val="22"/>
          <w:szCs w:val="22"/>
        </w:rPr>
        <w:t xml:space="preserve">The hourly </w:t>
      </w:r>
      <w:r w:rsidRPr="00AA25E6">
        <w:rPr>
          <w:rFonts w:ascii="Arial" w:hAnsi="Arial" w:cs="Arial"/>
          <w:b/>
          <w:sz w:val="22"/>
          <w:szCs w:val="22"/>
        </w:rPr>
        <w:t>SO2</w:t>
      </w:r>
      <w:r w:rsidRPr="00AA25E6">
        <w:rPr>
          <w:rFonts w:ascii="Arial" w:hAnsi="Arial" w:cs="Arial"/>
          <w:sz w:val="22"/>
          <w:szCs w:val="22"/>
        </w:rPr>
        <w:t xml:space="preserve"> emission limit is based upon the 40 CFR 60.43(a)(1) SO2 emission limit times the maximum rated heat input of 7,200 MMBtu/hr.</w:t>
      </w:r>
      <w:bookmarkEnd w:id="51"/>
      <w:r w:rsidRPr="00AA25E6">
        <w:rPr>
          <w:rFonts w:ascii="Arial" w:hAnsi="Arial" w:cs="Arial"/>
          <w:sz w:val="22"/>
          <w:szCs w:val="22"/>
        </w:rPr>
        <w:t xml:space="preserve">  </w:t>
      </w:r>
    </w:p>
    <w:p w14:paraId="47BDE6EF" w14:textId="77777777" w:rsidR="00821C1E" w:rsidRPr="00AA25E6" w:rsidRDefault="00821C1E" w:rsidP="00E85ACF">
      <w:pPr>
        <w:ind w:left="360"/>
        <w:contextualSpacing/>
        <w:jc w:val="both"/>
        <w:rPr>
          <w:rFonts w:ascii="Arial" w:hAnsi="Arial" w:cs="Arial"/>
          <w:sz w:val="22"/>
          <w:szCs w:val="22"/>
        </w:rPr>
      </w:pPr>
    </w:p>
    <w:p w14:paraId="5B5135F7" w14:textId="77777777" w:rsidR="00850668" w:rsidRPr="00AA25E6" w:rsidRDefault="00850668" w:rsidP="00E85ACF">
      <w:pPr>
        <w:ind w:left="360"/>
        <w:contextualSpacing/>
        <w:jc w:val="both"/>
        <w:rPr>
          <w:rFonts w:ascii="Arial" w:hAnsi="Arial" w:cs="Arial"/>
          <w:sz w:val="22"/>
          <w:szCs w:val="22"/>
        </w:rPr>
      </w:pPr>
      <w:r w:rsidRPr="00AA25E6">
        <w:rPr>
          <w:rFonts w:ascii="Arial" w:hAnsi="Arial" w:cs="Arial"/>
          <w:sz w:val="22"/>
          <w:szCs w:val="22"/>
        </w:rPr>
        <w:t xml:space="preserve">The hourly </w:t>
      </w:r>
      <w:r w:rsidRPr="00AA25E6">
        <w:rPr>
          <w:rFonts w:ascii="Arial" w:hAnsi="Arial" w:cs="Arial"/>
          <w:b/>
          <w:sz w:val="22"/>
          <w:szCs w:val="22"/>
        </w:rPr>
        <w:t>PM</w:t>
      </w:r>
      <w:r w:rsidRPr="00AA25E6">
        <w:rPr>
          <w:rFonts w:ascii="Arial" w:hAnsi="Arial" w:cs="Arial"/>
          <w:sz w:val="22"/>
          <w:szCs w:val="22"/>
        </w:rPr>
        <w:t xml:space="preserve"> emission limit is based upon the 40 CFR 60.42(a)(1) PM emission limit times the maximum heat input of 7,200 MMBtu/hr</w:t>
      </w:r>
      <w:r w:rsidR="00821C1E" w:rsidRPr="00AA25E6">
        <w:rPr>
          <w:rFonts w:ascii="Arial" w:hAnsi="Arial" w:cs="Arial"/>
          <w:sz w:val="22"/>
          <w:szCs w:val="22"/>
        </w:rPr>
        <w:t>.</w:t>
      </w:r>
    </w:p>
    <w:p w14:paraId="55902816" w14:textId="77777777" w:rsidR="00850668" w:rsidRPr="00AA25E6" w:rsidRDefault="00850668" w:rsidP="00E85ACF">
      <w:pPr>
        <w:ind w:left="360"/>
        <w:contextualSpacing/>
        <w:jc w:val="both"/>
        <w:rPr>
          <w:rFonts w:ascii="Arial" w:hAnsi="Arial" w:cs="Arial"/>
          <w:sz w:val="22"/>
          <w:szCs w:val="22"/>
        </w:rPr>
      </w:pPr>
    </w:p>
    <w:p w14:paraId="165EA84A" w14:textId="77777777" w:rsidR="00850668" w:rsidRPr="00AA25E6" w:rsidRDefault="00850668" w:rsidP="00E85ACF">
      <w:pPr>
        <w:ind w:left="360"/>
        <w:contextualSpacing/>
        <w:jc w:val="both"/>
        <w:rPr>
          <w:rFonts w:ascii="Arial" w:hAnsi="Arial" w:cs="Arial"/>
          <w:sz w:val="22"/>
          <w:szCs w:val="22"/>
        </w:rPr>
      </w:pPr>
      <w:r w:rsidRPr="00AA25E6">
        <w:rPr>
          <w:rFonts w:ascii="Arial" w:hAnsi="Arial" w:cs="Arial"/>
          <w:sz w:val="22"/>
          <w:szCs w:val="22"/>
        </w:rPr>
        <w:t xml:space="preserve">The hourly </w:t>
      </w:r>
      <w:r w:rsidRPr="00AA25E6">
        <w:rPr>
          <w:rFonts w:ascii="Arial" w:hAnsi="Arial" w:cs="Arial"/>
          <w:b/>
          <w:sz w:val="22"/>
          <w:szCs w:val="22"/>
        </w:rPr>
        <w:t>NOx</w:t>
      </w:r>
      <w:r w:rsidRPr="00AA25E6">
        <w:rPr>
          <w:rFonts w:ascii="Arial" w:hAnsi="Arial" w:cs="Arial"/>
          <w:sz w:val="22"/>
          <w:szCs w:val="22"/>
        </w:rPr>
        <w:t xml:space="preserve"> emission limit is based upon the 40 CFR 60.44(a)(1) NOx emission limit times the maximum heat input of 7,200 MMBtu/hr.  </w:t>
      </w:r>
    </w:p>
    <w:p w14:paraId="486ADF9F" w14:textId="77777777" w:rsidR="00821C1E" w:rsidRPr="00AA25E6" w:rsidRDefault="00821C1E" w:rsidP="00E85ACF">
      <w:pPr>
        <w:ind w:left="360"/>
        <w:contextualSpacing/>
        <w:jc w:val="both"/>
        <w:rPr>
          <w:rFonts w:ascii="Arial" w:hAnsi="Arial" w:cs="Arial"/>
          <w:sz w:val="22"/>
          <w:szCs w:val="22"/>
        </w:rPr>
      </w:pPr>
    </w:p>
    <w:p w14:paraId="0C54D9C2" w14:textId="688BF969" w:rsidR="00980E44" w:rsidRDefault="00DF4FB3" w:rsidP="00E85ACF">
      <w:pPr>
        <w:ind w:left="360"/>
        <w:contextualSpacing/>
        <w:jc w:val="both"/>
        <w:rPr>
          <w:rFonts w:ascii="Arial" w:hAnsi="Arial" w:cs="Arial"/>
          <w:sz w:val="22"/>
          <w:szCs w:val="22"/>
        </w:rPr>
      </w:pPr>
      <w:r w:rsidRPr="00AA25E6">
        <w:rPr>
          <w:rFonts w:ascii="Arial" w:hAnsi="Arial" w:cs="Arial"/>
          <w:sz w:val="22"/>
          <w:szCs w:val="22"/>
        </w:rPr>
        <w:t>To clarify the relation between the Part 60 emission limit and the hourly emission limit, the MDEQ/AQD (AQD) has split each of the SO2, PM and NOX emission limit underlying applicable requirements cells in EUBOILER1, I.1, 2 and 3 into two rows and added the underlying applicable requirement of R</w:t>
      </w:r>
      <w:r w:rsidR="00D73104">
        <w:rPr>
          <w:rFonts w:ascii="Arial" w:hAnsi="Arial" w:cs="Arial"/>
          <w:sz w:val="22"/>
          <w:szCs w:val="22"/>
        </w:rPr>
        <w:t> </w:t>
      </w:r>
      <w:r w:rsidRPr="00AA25E6">
        <w:rPr>
          <w:rFonts w:ascii="Arial" w:hAnsi="Arial" w:cs="Arial"/>
          <w:sz w:val="22"/>
          <w:szCs w:val="22"/>
        </w:rPr>
        <w:t>336.1201(3) to each hourly limit.</w:t>
      </w:r>
    </w:p>
    <w:p w14:paraId="57070C7D" w14:textId="77777777" w:rsidR="00E85ACF" w:rsidRPr="00AA25E6" w:rsidRDefault="00E85ACF" w:rsidP="00E85ACF">
      <w:pPr>
        <w:ind w:left="360"/>
        <w:contextualSpacing/>
        <w:jc w:val="both"/>
        <w:rPr>
          <w:rFonts w:ascii="Arial" w:hAnsi="Arial" w:cs="Arial"/>
          <w:sz w:val="22"/>
          <w:szCs w:val="22"/>
        </w:rPr>
      </w:pPr>
    </w:p>
    <w:p w14:paraId="2E32AB4A" w14:textId="31300483" w:rsidR="00CE3152" w:rsidRPr="00AA25E6" w:rsidRDefault="00CE3152" w:rsidP="00E85ACF">
      <w:pPr>
        <w:pStyle w:val="ListParagraph"/>
        <w:numPr>
          <w:ilvl w:val="0"/>
          <w:numId w:val="15"/>
        </w:numPr>
        <w:ind w:left="360"/>
        <w:jc w:val="both"/>
        <w:rPr>
          <w:rFonts w:ascii="Arial" w:hAnsi="Arial" w:cs="Arial"/>
          <w:sz w:val="22"/>
          <w:szCs w:val="22"/>
        </w:rPr>
      </w:pPr>
      <w:r w:rsidRPr="00AA25E6">
        <w:rPr>
          <w:rFonts w:ascii="Arial" w:hAnsi="Arial" w:cs="Arial"/>
          <w:sz w:val="22"/>
          <w:szCs w:val="22"/>
        </w:rPr>
        <w:t xml:space="preserve">[AQD designation </w:t>
      </w:r>
      <w:r w:rsidRPr="00AA25E6">
        <w:rPr>
          <w:rFonts w:ascii="Arial" w:hAnsi="Arial" w:cs="Arial"/>
          <w:b/>
          <w:sz w:val="22"/>
          <w:szCs w:val="22"/>
        </w:rPr>
        <w:t>2.a</w:t>
      </w:r>
      <w:r w:rsidRPr="00AA25E6">
        <w:rPr>
          <w:rFonts w:ascii="Arial" w:hAnsi="Arial" w:cs="Arial"/>
          <w:sz w:val="22"/>
          <w:szCs w:val="22"/>
        </w:rPr>
        <w:t xml:space="preserve">] </w:t>
      </w:r>
      <w:r w:rsidR="00E85ACF">
        <w:rPr>
          <w:rFonts w:ascii="Arial" w:hAnsi="Arial" w:cs="Arial"/>
          <w:sz w:val="22"/>
          <w:szCs w:val="22"/>
        </w:rPr>
        <w:t xml:space="preserve"> </w:t>
      </w:r>
      <w:r w:rsidRPr="00AA25E6">
        <w:rPr>
          <w:rFonts w:ascii="Arial" w:hAnsi="Arial" w:cs="Arial"/>
          <w:sz w:val="22"/>
          <w:szCs w:val="22"/>
        </w:rPr>
        <w:t xml:space="preserve">EUBOILER1, page 16: </w:t>
      </w:r>
      <w:r w:rsidR="00D73104">
        <w:rPr>
          <w:rFonts w:ascii="Arial" w:hAnsi="Arial" w:cs="Arial"/>
          <w:sz w:val="22"/>
          <w:szCs w:val="22"/>
        </w:rPr>
        <w:t xml:space="preserve"> </w:t>
      </w:r>
      <w:r w:rsidRPr="00AA25E6">
        <w:rPr>
          <w:rFonts w:ascii="Arial" w:hAnsi="Arial" w:cs="Arial"/>
          <w:sz w:val="22"/>
          <w:szCs w:val="22"/>
        </w:rPr>
        <w:t xml:space="preserve">The PM emission limits reference SC V.2. for the monitoring/testing method. </w:t>
      </w:r>
      <w:r w:rsidR="00D73104">
        <w:rPr>
          <w:rFonts w:ascii="Arial" w:hAnsi="Arial" w:cs="Arial"/>
          <w:sz w:val="22"/>
          <w:szCs w:val="22"/>
        </w:rPr>
        <w:t xml:space="preserve"> </w:t>
      </w:r>
      <w:r w:rsidRPr="00AA25E6">
        <w:rPr>
          <w:rFonts w:ascii="Arial" w:hAnsi="Arial" w:cs="Arial"/>
          <w:sz w:val="22"/>
          <w:szCs w:val="22"/>
        </w:rPr>
        <w:t xml:space="preserve">While this condition can be used to determine compliance during a </w:t>
      </w:r>
      <w:r w:rsidRPr="00AA25E6">
        <w:rPr>
          <w:rFonts w:ascii="Arial" w:hAnsi="Arial" w:cs="Arial"/>
          <w:sz w:val="22"/>
          <w:szCs w:val="22"/>
        </w:rPr>
        <w:lastRenderedPageBreak/>
        <w:t>performance test, the permit does not address how the permittee will show on-going compliance with any operating parameters established during the test.</w:t>
      </w:r>
      <w:r w:rsidR="00D73104">
        <w:rPr>
          <w:rFonts w:ascii="Arial" w:hAnsi="Arial" w:cs="Arial"/>
          <w:sz w:val="22"/>
          <w:szCs w:val="22"/>
        </w:rPr>
        <w:t xml:space="preserve"> </w:t>
      </w:r>
      <w:r w:rsidRPr="00AA25E6">
        <w:rPr>
          <w:rFonts w:ascii="Arial" w:hAnsi="Arial" w:cs="Arial"/>
          <w:sz w:val="22"/>
          <w:szCs w:val="22"/>
        </w:rPr>
        <w:t xml:space="preserve"> Is additional monitoring required for any operating parameters to assure that the permit includes sufficient monitoring in accordance with 40 CFR 70.6(c)(1)? </w:t>
      </w:r>
    </w:p>
    <w:p w14:paraId="68E1F81E" w14:textId="77777777" w:rsidR="006C6EC5" w:rsidRPr="006A26D2" w:rsidRDefault="006C6EC5" w:rsidP="006C6EC5">
      <w:pPr>
        <w:pStyle w:val="ListParagraph"/>
        <w:rPr>
          <w:rFonts w:ascii="Arial" w:hAnsi="Arial" w:cs="Arial"/>
          <w:b/>
          <w:sz w:val="22"/>
          <w:szCs w:val="22"/>
        </w:rPr>
      </w:pPr>
    </w:p>
    <w:p w14:paraId="3FF8869E" w14:textId="77777777" w:rsidR="006C6EC5" w:rsidRPr="006A26D2" w:rsidRDefault="006C6EC5" w:rsidP="00E85ACF">
      <w:pPr>
        <w:pStyle w:val="ListParagraph"/>
        <w:ind w:left="360"/>
        <w:jc w:val="both"/>
        <w:rPr>
          <w:rFonts w:ascii="Arial" w:hAnsi="Arial" w:cs="Arial"/>
          <w:b/>
          <w:sz w:val="22"/>
          <w:szCs w:val="22"/>
        </w:rPr>
      </w:pPr>
      <w:r w:rsidRPr="006A26D2">
        <w:rPr>
          <w:rFonts w:ascii="Arial" w:hAnsi="Arial" w:cs="Arial"/>
          <w:b/>
          <w:sz w:val="22"/>
          <w:szCs w:val="22"/>
        </w:rPr>
        <w:t xml:space="preserve">AQD RESPONSE: </w:t>
      </w:r>
    </w:p>
    <w:p w14:paraId="3C512E92" w14:textId="7B9C8BC6" w:rsidR="00CE3152" w:rsidRDefault="006C6EC5" w:rsidP="00E85ACF">
      <w:pPr>
        <w:pStyle w:val="ListParagraph"/>
        <w:ind w:left="360"/>
        <w:jc w:val="both"/>
        <w:rPr>
          <w:rFonts w:ascii="Arial" w:hAnsi="Arial" w:cs="Arial"/>
          <w:sz w:val="22"/>
          <w:szCs w:val="22"/>
        </w:rPr>
      </w:pPr>
      <w:r w:rsidRPr="006A26D2">
        <w:rPr>
          <w:rFonts w:ascii="Arial" w:hAnsi="Arial" w:cs="Arial"/>
          <w:sz w:val="22"/>
          <w:szCs w:val="22"/>
        </w:rPr>
        <w:t xml:space="preserve">SC V.2 requires PM emission rate testing every third year.  The third PM limit in the Emission Limits table is 0.10 lb. per 1,000 lbs. of exhaust gases on a wet basis, corrected to 50% excess air.  The 2013 measured PM emission rate was 0.003 pound. The 2016 emission rate was 0.001 pound.  Per these two emission tests, the actual PM emission rate from EUBOILER1 is approximately two orders of magnitude less than the permit limit.  Furthermore, the permittee has a COM monitoring EUBOILER1.  The AQD considers the actual low emission rate, compliance with opacity limits, and emission testing every three years to be a sufficient demonstration of ongoing compliance.  </w:t>
      </w:r>
      <w:r w:rsidR="001F6D7F" w:rsidRPr="006A26D2">
        <w:rPr>
          <w:rFonts w:ascii="Arial" w:hAnsi="Arial" w:cs="Arial"/>
          <w:sz w:val="22"/>
          <w:szCs w:val="22"/>
        </w:rPr>
        <w:t>Additionally</w:t>
      </w:r>
      <w:r w:rsidRPr="006A26D2">
        <w:rPr>
          <w:rFonts w:ascii="Arial" w:hAnsi="Arial" w:cs="Arial"/>
          <w:sz w:val="22"/>
          <w:szCs w:val="22"/>
        </w:rPr>
        <w:t>, the AQD believes Special Conditions III.1, 2 and 3 ensure continuous compliance.  Therefore, the AQD does not perceive a need for additional monitoring of operating parameters.</w:t>
      </w:r>
    </w:p>
    <w:p w14:paraId="3FAB1A6D" w14:textId="77777777" w:rsidR="00E85ACF" w:rsidRPr="00AA25E6" w:rsidRDefault="00E85ACF" w:rsidP="00E85ACF">
      <w:pPr>
        <w:pStyle w:val="ListParagraph"/>
        <w:ind w:left="360"/>
        <w:jc w:val="both"/>
        <w:rPr>
          <w:rFonts w:ascii="Arial" w:hAnsi="Arial" w:cs="Arial"/>
          <w:sz w:val="22"/>
          <w:szCs w:val="22"/>
        </w:rPr>
      </w:pPr>
    </w:p>
    <w:p w14:paraId="11746258" w14:textId="2BE2A26A" w:rsidR="00850668" w:rsidRPr="00AA25E6" w:rsidRDefault="006C6EC5" w:rsidP="00E85ACF">
      <w:pPr>
        <w:ind w:left="360"/>
        <w:jc w:val="both"/>
        <w:rPr>
          <w:rFonts w:ascii="Arial" w:hAnsi="Arial" w:cs="Arial"/>
          <w:sz w:val="22"/>
          <w:szCs w:val="22"/>
        </w:rPr>
      </w:pPr>
      <w:r w:rsidRPr="00AA25E6">
        <w:rPr>
          <w:rFonts w:ascii="Arial" w:hAnsi="Arial" w:cs="Arial"/>
          <w:sz w:val="22"/>
          <w:szCs w:val="22"/>
        </w:rPr>
        <w:t xml:space="preserve">[AQD designation </w:t>
      </w:r>
      <w:r w:rsidRPr="00AA25E6">
        <w:rPr>
          <w:rFonts w:ascii="Arial" w:hAnsi="Arial" w:cs="Arial"/>
          <w:b/>
          <w:sz w:val="22"/>
          <w:szCs w:val="22"/>
        </w:rPr>
        <w:t>2.b</w:t>
      </w:r>
      <w:r w:rsidRPr="00AA25E6">
        <w:rPr>
          <w:rFonts w:ascii="Arial" w:hAnsi="Arial" w:cs="Arial"/>
          <w:sz w:val="22"/>
          <w:szCs w:val="22"/>
        </w:rPr>
        <w:t xml:space="preserve">] </w:t>
      </w:r>
      <w:r w:rsidR="00E85ACF">
        <w:rPr>
          <w:rFonts w:ascii="Arial" w:hAnsi="Arial" w:cs="Arial"/>
          <w:sz w:val="22"/>
          <w:szCs w:val="22"/>
        </w:rPr>
        <w:t xml:space="preserve"> </w:t>
      </w:r>
      <w:r w:rsidRPr="00AA25E6">
        <w:rPr>
          <w:rFonts w:ascii="Arial" w:hAnsi="Arial" w:cs="Arial"/>
          <w:sz w:val="22"/>
          <w:szCs w:val="22"/>
        </w:rPr>
        <w:t>This question also applies to the PM and NOx limits for EUWESTAUXBOILER.</w:t>
      </w:r>
    </w:p>
    <w:p w14:paraId="38ED9280" w14:textId="77777777" w:rsidR="006C6EC5" w:rsidRPr="006A26D2" w:rsidRDefault="006C6EC5" w:rsidP="00E85ACF">
      <w:pPr>
        <w:ind w:left="720"/>
        <w:jc w:val="both"/>
        <w:rPr>
          <w:rFonts w:ascii="Arial" w:hAnsi="Arial"/>
          <w:sz w:val="22"/>
          <w:szCs w:val="22"/>
        </w:rPr>
      </w:pPr>
    </w:p>
    <w:p w14:paraId="0D1A0BC0" w14:textId="77777777" w:rsidR="006C6EC5" w:rsidRPr="006A26D2" w:rsidRDefault="006C6EC5" w:rsidP="00E85ACF">
      <w:pPr>
        <w:ind w:left="360"/>
        <w:jc w:val="both"/>
        <w:rPr>
          <w:rFonts w:ascii="Arial" w:hAnsi="Arial"/>
          <w:b/>
          <w:sz w:val="22"/>
          <w:szCs w:val="22"/>
        </w:rPr>
      </w:pPr>
      <w:r w:rsidRPr="006A26D2">
        <w:rPr>
          <w:rFonts w:ascii="Arial" w:hAnsi="Arial"/>
          <w:b/>
          <w:sz w:val="22"/>
          <w:szCs w:val="22"/>
        </w:rPr>
        <w:t xml:space="preserve">AQD RESPONSE: </w:t>
      </w:r>
    </w:p>
    <w:p w14:paraId="3B4170A9" w14:textId="77777777" w:rsidR="006C6EC5" w:rsidRPr="00AA25E6" w:rsidRDefault="006C6EC5" w:rsidP="00E85ACF">
      <w:pPr>
        <w:ind w:left="360"/>
        <w:jc w:val="both"/>
        <w:rPr>
          <w:rFonts w:ascii="Arial" w:hAnsi="Arial"/>
          <w:sz w:val="22"/>
          <w:szCs w:val="22"/>
        </w:rPr>
      </w:pPr>
      <w:r w:rsidRPr="006A26D2">
        <w:rPr>
          <w:rFonts w:ascii="Arial" w:hAnsi="Arial"/>
          <w:sz w:val="22"/>
          <w:szCs w:val="22"/>
        </w:rPr>
        <w:t>EUWESTAUXBOILER is a limited use boiler.  The AQD believes Special Conditions III.1, 2 and 3 ensure continuous compliance.  Furthermore, special conditions V.2 and V.3 allows for emission testing if and when the AQD has concerns with PM and/or NOx emissions.  Therefore, the AQD does not perceive a need for additional monitoring of operating parameters.</w:t>
      </w:r>
    </w:p>
    <w:p w14:paraId="588BC7CE" w14:textId="77777777" w:rsidR="006C6EC5" w:rsidRPr="00AA25E6" w:rsidRDefault="006C6EC5" w:rsidP="00E85ACF">
      <w:pPr>
        <w:ind w:left="720"/>
        <w:jc w:val="both"/>
        <w:rPr>
          <w:rFonts w:ascii="Arial" w:hAnsi="Arial"/>
          <w:sz w:val="22"/>
          <w:szCs w:val="22"/>
        </w:rPr>
      </w:pPr>
    </w:p>
    <w:p w14:paraId="057CFD76" w14:textId="696AA5D0" w:rsidR="00121EBD" w:rsidRPr="00E85ACF" w:rsidRDefault="00247200" w:rsidP="00E85ACF">
      <w:pPr>
        <w:pStyle w:val="ListParagraph"/>
        <w:numPr>
          <w:ilvl w:val="0"/>
          <w:numId w:val="15"/>
        </w:numPr>
        <w:ind w:left="360"/>
        <w:jc w:val="both"/>
        <w:rPr>
          <w:rFonts w:ascii="Arial" w:hAnsi="Arial"/>
          <w:sz w:val="22"/>
          <w:szCs w:val="22"/>
        </w:rPr>
      </w:pPr>
      <w:r w:rsidRPr="00E85ACF">
        <w:rPr>
          <w:rFonts w:ascii="Arial" w:hAnsi="Arial" w:cs="Arial"/>
          <w:sz w:val="22"/>
          <w:szCs w:val="22"/>
        </w:rPr>
        <w:t>EUBOILER1, page 1</w:t>
      </w:r>
      <w:r w:rsidR="00F70D51" w:rsidRPr="00E85ACF">
        <w:rPr>
          <w:rFonts w:ascii="Arial" w:hAnsi="Arial" w:cs="Arial"/>
          <w:sz w:val="22"/>
          <w:szCs w:val="22"/>
        </w:rPr>
        <w:t>8</w:t>
      </w:r>
      <w:r w:rsidRPr="00E85ACF">
        <w:rPr>
          <w:rFonts w:ascii="Arial" w:hAnsi="Arial" w:cs="Arial"/>
          <w:sz w:val="22"/>
          <w:szCs w:val="22"/>
        </w:rPr>
        <w:t xml:space="preserve">: </w:t>
      </w:r>
      <w:r w:rsidR="00E85ACF" w:rsidRPr="00E85ACF">
        <w:rPr>
          <w:rFonts w:ascii="Arial" w:hAnsi="Arial" w:cs="Arial"/>
          <w:sz w:val="22"/>
          <w:szCs w:val="22"/>
        </w:rPr>
        <w:t xml:space="preserve"> </w:t>
      </w:r>
      <w:r w:rsidRPr="00E85ACF">
        <w:rPr>
          <w:rFonts w:ascii="Arial" w:hAnsi="Arial" w:cs="Arial"/>
          <w:sz w:val="22"/>
          <w:szCs w:val="22"/>
        </w:rPr>
        <w:t>The material limits associated with the used oil list the broad authority of Rule 201(3) as the underlying applicable requirement. It appears that these material limits likely originated from a state toxics rule, which would be state-only enforceable. Please review the material limits and associated requirements for EUBOILER1 to verify whether these conditions should reference footnote 2, federally enforceable pursuant to Rule 201(1)(a), or footnote 1, state only enforceable pursuant to Rule 201(1)(b) and update the underlying applicable requirement as necessary.</w:t>
      </w:r>
    </w:p>
    <w:p w14:paraId="27144041" w14:textId="77777777" w:rsidR="00DA5C18" w:rsidRPr="00E85ACF" w:rsidRDefault="00DA5C18" w:rsidP="00E85ACF">
      <w:pPr>
        <w:jc w:val="both"/>
        <w:rPr>
          <w:rFonts w:ascii="Arial" w:hAnsi="Arial"/>
          <w:sz w:val="22"/>
          <w:szCs w:val="22"/>
        </w:rPr>
      </w:pPr>
    </w:p>
    <w:p w14:paraId="4EF1D3C8" w14:textId="77777777" w:rsidR="00EC31B5" w:rsidRPr="00E85ACF" w:rsidRDefault="00EC31B5" w:rsidP="00E85ACF">
      <w:pPr>
        <w:ind w:left="360"/>
        <w:jc w:val="both"/>
        <w:rPr>
          <w:rFonts w:ascii="Arial" w:hAnsi="Arial" w:cs="Arial"/>
          <w:b/>
          <w:color w:val="000000" w:themeColor="text1"/>
          <w:sz w:val="22"/>
          <w:szCs w:val="22"/>
        </w:rPr>
      </w:pPr>
      <w:r w:rsidRPr="00E85ACF">
        <w:rPr>
          <w:rFonts w:ascii="Arial" w:hAnsi="Arial" w:cs="Arial"/>
          <w:b/>
          <w:color w:val="000000" w:themeColor="text1"/>
          <w:sz w:val="22"/>
          <w:szCs w:val="22"/>
        </w:rPr>
        <w:t xml:space="preserve">AQD RESPONSE: </w:t>
      </w:r>
    </w:p>
    <w:p w14:paraId="2E567527" w14:textId="210DFD39" w:rsidR="00EC31B5" w:rsidRPr="00E85ACF" w:rsidRDefault="00EC31B5" w:rsidP="00E85ACF">
      <w:pPr>
        <w:ind w:left="360"/>
        <w:jc w:val="both"/>
        <w:rPr>
          <w:rFonts w:ascii="Arial" w:hAnsi="Arial" w:cs="Arial"/>
          <w:color w:val="000000" w:themeColor="text1"/>
          <w:sz w:val="22"/>
          <w:szCs w:val="22"/>
        </w:rPr>
      </w:pPr>
      <w:r w:rsidRPr="00E85ACF">
        <w:rPr>
          <w:rFonts w:ascii="Arial" w:hAnsi="Arial" w:cs="Arial"/>
          <w:color w:val="000000" w:themeColor="text1"/>
          <w:sz w:val="22"/>
          <w:szCs w:val="22"/>
        </w:rPr>
        <w:t>For EUBOILER1, The specification used oil material limits are specified in 40 CFR 279.11 and the PCB UAR is 40 CFR 761.20(e).  The AQD has updated the Material Limits table with the appropriate UARs.  Therefore, footnote 2 is appropriate.</w:t>
      </w:r>
    </w:p>
    <w:p w14:paraId="30B825D6" w14:textId="77777777" w:rsidR="00E85ACF" w:rsidRPr="00E85ACF" w:rsidRDefault="00E85ACF" w:rsidP="00E85ACF">
      <w:pPr>
        <w:ind w:left="720"/>
        <w:jc w:val="both"/>
        <w:rPr>
          <w:rFonts w:ascii="Arial" w:hAnsi="Arial" w:cs="Arial"/>
          <w:color w:val="000000" w:themeColor="text1"/>
          <w:sz w:val="22"/>
          <w:szCs w:val="22"/>
        </w:rPr>
      </w:pPr>
    </w:p>
    <w:p w14:paraId="45D9164F" w14:textId="4E8A42E9" w:rsidR="00EC31B5" w:rsidRPr="00E85ACF" w:rsidRDefault="006A27EC" w:rsidP="00E85ACF">
      <w:pPr>
        <w:pStyle w:val="ListParagraph"/>
        <w:numPr>
          <w:ilvl w:val="0"/>
          <w:numId w:val="15"/>
        </w:numPr>
        <w:ind w:left="360"/>
        <w:jc w:val="both"/>
        <w:rPr>
          <w:rFonts w:ascii="Arial" w:hAnsi="Arial"/>
          <w:sz w:val="22"/>
          <w:szCs w:val="22"/>
        </w:rPr>
      </w:pPr>
      <w:r w:rsidRPr="00E85ACF">
        <w:rPr>
          <w:rFonts w:ascii="Arial" w:hAnsi="Arial"/>
          <w:sz w:val="22"/>
          <w:szCs w:val="22"/>
        </w:rPr>
        <w:t xml:space="preserve">EUBOILER1, page 17: </w:t>
      </w:r>
      <w:r w:rsidR="00E85ACF">
        <w:rPr>
          <w:rFonts w:ascii="Arial" w:hAnsi="Arial"/>
          <w:sz w:val="22"/>
          <w:szCs w:val="22"/>
        </w:rPr>
        <w:t xml:space="preserve"> </w:t>
      </w:r>
      <w:r w:rsidRPr="00E85ACF">
        <w:rPr>
          <w:rFonts w:ascii="Arial" w:hAnsi="Arial"/>
          <w:sz w:val="22"/>
          <w:szCs w:val="22"/>
        </w:rPr>
        <w:t xml:space="preserve">Note a of the emissions table states that the sulfur limit of R 336.1401 has been subsumed with into SC I.1. </w:t>
      </w:r>
      <w:r w:rsidR="00E85ACF">
        <w:rPr>
          <w:rFonts w:ascii="Arial" w:hAnsi="Arial"/>
          <w:sz w:val="22"/>
          <w:szCs w:val="22"/>
        </w:rPr>
        <w:t xml:space="preserve"> </w:t>
      </w:r>
      <w:r w:rsidRPr="00E85ACF">
        <w:rPr>
          <w:rFonts w:ascii="Arial" w:hAnsi="Arial"/>
          <w:sz w:val="22"/>
          <w:szCs w:val="22"/>
        </w:rPr>
        <w:t>However, the Staff Report states that the ROP does not include any streamlined/subsumed requirements.  Please supplement the permit record to show the process MDEQ used to determine the set of permit terms and conditions that would assure compliance with all applicable requirements for EUBOILER1 in accordance with EPA’s “White Paper Number 2.”</w:t>
      </w:r>
      <w:r w:rsidR="0096151F">
        <w:rPr>
          <w:rFonts w:ascii="Arial" w:hAnsi="Arial"/>
          <w:sz w:val="22"/>
          <w:szCs w:val="22"/>
        </w:rPr>
        <w:t xml:space="preserve"> </w:t>
      </w:r>
      <w:r w:rsidR="00E85ACF">
        <w:rPr>
          <w:rFonts w:ascii="Arial" w:hAnsi="Arial"/>
          <w:sz w:val="22"/>
          <w:szCs w:val="22"/>
        </w:rPr>
        <w:t xml:space="preserve"> </w:t>
      </w:r>
      <w:r w:rsidRPr="00E85ACF">
        <w:rPr>
          <w:rFonts w:ascii="Arial" w:hAnsi="Arial"/>
          <w:sz w:val="22"/>
          <w:szCs w:val="22"/>
        </w:rPr>
        <w:t xml:space="preserve">This comment also applies for the streamlined/subsumed requirement for </w:t>
      </w:r>
      <w:bookmarkStart w:id="52" w:name="_Hlk499812732"/>
      <w:r w:rsidRPr="00E85ACF">
        <w:rPr>
          <w:rFonts w:ascii="Arial" w:hAnsi="Arial"/>
          <w:sz w:val="22"/>
          <w:szCs w:val="22"/>
        </w:rPr>
        <w:t xml:space="preserve">EUWESTAUXBOILER </w:t>
      </w:r>
      <w:bookmarkEnd w:id="52"/>
      <w:r w:rsidRPr="00E85ACF">
        <w:rPr>
          <w:rFonts w:ascii="Arial" w:hAnsi="Arial"/>
          <w:sz w:val="22"/>
          <w:szCs w:val="22"/>
        </w:rPr>
        <w:t xml:space="preserve">on page 26.  </w:t>
      </w:r>
    </w:p>
    <w:p w14:paraId="3439B6EE" w14:textId="77777777" w:rsidR="00EB5665" w:rsidRPr="00E85ACF" w:rsidRDefault="00EB5665" w:rsidP="00E85ACF">
      <w:pPr>
        <w:jc w:val="both"/>
        <w:rPr>
          <w:rFonts w:ascii="Arial" w:hAnsi="Arial"/>
          <w:sz w:val="22"/>
          <w:szCs w:val="22"/>
        </w:rPr>
      </w:pPr>
    </w:p>
    <w:p w14:paraId="252BA752" w14:textId="2D8A81D3" w:rsidR="006A27EC" w:rsidRPr="00E85ACF" w:rsidRDefault="006A27EC" w:rsidP="00E85ACF">
      <w:pPr>
        <w:ind w:left="360"/>
        <w:jc w:val="both"/>
        <w:rPr>
          <w:rFonts w:ascii="Arial" w:hAnsi="Arial" w:cs="Arial"/>
          <w:sz w:val="22"/>
          <w:szCs w:val="22"/>
        </w:rPr>
      </w:pPr>
      <w:r w:rsidRPr="00E85ACF">
        <w:rPr>
          <w:rFonts w:ascii="Arial" w:hAnsi="Arial" w:cs="Arial"/>
          <w:b/>
          <w:sz w:val="22"/>
          <w:szCs w:val="22"/>
        </w:rPr>
        <w:t xml:space="preserve">AQD RESPONSE: </w:t>
      </w:r>
    </w:p>
    <w:p w14:paraId="77A72312" w14:textId="72F87A20" w:rsidR="00664C21" w:rsidRPr="00E85ACF" w:rsidRDefault="001F3338" w:rsidP="00E85ACF">
      <w:pPr>
        <w:pStyle w:val="ListParagraph"/>
        <w:ind w:left="360"/>
        <w:jc w:val="both"/>
        <w:rPr>
          <w:rFonts w:ascii="Arial" w:hAnsi="Arial" w:cs="Arial"/>
          <w:b/>
          <w:sz w:val="22"/>
          <w:szCs w:val="22"/>
          <w:u w:val="single"/>
        </w:rPr>
      </w:pPr>
      <w:r w:rsidRPr="00E85ACF">
        <w:rPr>
          <w:rFonts w:ascii="Arial" w:hAnsi="Arial" w:cs="Arial"/>
          <w:b/>
          <w:sz w:val="22"/>
          <w:szCs w:val="22"/>
          <w:u w:val="single"/>
        </w:rPr>
        <w:t>Streamlined/Subsumed Requirements</w:t>
      </w:r>
    </w:p>
    <w:p w14:paraId="16BECCFC" w14:textId="4E6E4703" w:rsidR="006A27EC" w:rsidRPr="00E85ACF" w:rsidRDefault="006A27EC" w:rsidP="00E85ACF">
      <w:pPr>
        <w:pStyle w:val="ListParagraph"/>
        <w:ind w:left="360"/>
        <w:jc w:val="both"/>
        <w:rPr>
          <w:rFonts w:ascii="Arial" w:hAnsi="Arial" w:cs="Arial"/>
          <w:sz w:val="22"/>
          <w:szCs w:val="22"/>
        </w:rPr>
      </w:pPr>
      <w:r w:rsidRPr="00E85ACF">
        <w:rPr>
          <w:rFonts w:ascii="Arial" w:hAnsi="Arial" w:cs="Arial"/>
          <w:sz w:val="22"/>
          <w:szCs w:val="22"/>
        </w:rPr>
        <w:t>EUBOILER1 and EUWESTAUXBOILER have sulfur dioxide (SO</w:t>
      </w:r>
      <w:r w:rsidRPr="00E85ACF">
        <w:rPr>
          <w:rFonts w:ascii="Arial" w:hAnsi="Arial" w:cs="Arial"/>
          <w:sz w:val="22"/>
          <w:szCs w:val="22"/>
          <w:vertAlign w:val="subscript"/>
        </w:rPr>
        <w:t>2</w:t>
      </w:r>
      <w:r w:rsidRPr="00E85ACF">
        <w:rPr>
          <w:rFonts w:ascii="Arial" w:hAnsi="Arial" w:cs="Arial"/>
          <w:sz w:val="22"/>
          <w:szCs w:val="22"/>
        </w:rPr>
        <w:t>) limits of 0.80 lb. per million Btu heat input, which the permit notes as equivalent to using oil fuels with 0.78% sulfur content and a heat value of 19,390 Btu’s per pound.  This limit, per 40 CFR 63.43(a)(1), is more stringent than the MDEQ R 336.1401(1),(2) and Table 41 maximum average sulfur content of 1.0 percent by weight, which is equivalent to 1.11 pounds of SO</w:t>
      </w:r>
      <w:r w:rsidRPr="00E85ACF">
        <w:rPr>
          <w:rFonts w:ascii="Arial" w:hAnsi="Arial" w:cs="Arial"/>
          <w:sz w:val="22"/>
          <w:szCs w:val="22"/>
          <w:vertAlign w:val="subscript"/>
        </w:rPr>
        <w:t>2</w:t>
      </w:r>
      <w:r w:rsidRPr="00E85ACF">
        <w:rPr>
          <w:rFonts w:ascii="Arial" w:hAnsi="Arial" w:cs="Arial"/>
          <w:sz w:val="22"/>
          <w:szCs w:val="22"/>
        </w:rPr>
        <w:t xml:space="preserve"> per million Btu of heat input for liquid fuel at 18,000 Btu per pound.  </w:t>
      </w:r>
    </w:p>
    <w:p w14:paraId="30CA8B02" w14:textId="3F1BBE9E" w:rsidR="00E85ACF" w:rsidRDefault="00E85ACF">
      <w:pPr>
        <w:rPr>
          <w:rFonts w:ascii="Arial" w:hAnsi="Arial" w:cs="Arial"/>
          <w:sz w:val="22"/>
          <w:szCs w:val="22"/>
        </w:rPr>
      </w:pPr>
      <w:r>
        <w:rPr>
          <w:rFonts w:ascii="Arial" w:hAnsi="Arial" w:cs="Arial"/>
          <w:sz w:val="22"/>
          <w:szCs w:val="22"/>
        </w:rPr>
        <w:br w:type="page"/>
      </w:r>
    </w:p>
    <w:p w14:paraId="65438CB0" w14:textId="69FE884E" w:rsidR="006A27EC" w:rsidRPr="00E85ACF" w:rsidRDefault="006A27EC" w:rsidP="00E85ACF">
      <w:pPr>
        <w:pStyle w:val="ListParagraph"/>
        <w:ind w:left="360"/>
        <w:rPr>
          <w:rFonts w:ascii="Arial" w:hAnsi="Arial" w:cs="Arial"/>
          <w:sz w:val="22"/>
          <w:szCs w:val="22"/>
        </w:rPr>
      </w:pPr>
      <w:r w:rsidRPr="00E85ACF">
        <w:rPr>
          <w:rFonts w:ascii="Arial" w:hAnsi="Arial" w:cs="Arial"/>
          <w:sz w:val="22"/>
          <w:szCs w:val="22"/>
        </w:rPr>
        <w:lastRenderedPageBreak/>
        <w:t>The following calculation demonstrates that the 40 CFR 63.43(a)(1) SO</w:t>
      </w:r>
      <w:r w:rsidRPr="00E85ACF">
        <w:rPr>
          <w:rFonts w:ascii="Arial" w:hAnsi="Arial" w:cs="Arial"/>
          <w:sz w:val="22"/>
          <w:szCs w:val="22"/>
          <w:vertAlign w:val="subscript"/>
        </w:rPr>
        <w:t>2</w:t>
      </w:r>
      <w:r w:rsidRPr="00E85ACF">
        <w:rPr>
          <w:rFonts w:ascii="Arial" w:hAnsi="Arial" w:cs="Arial"/>
          <w:sz w:val="22"/>
          <w:szCs w:val="22"/>
        </w:rPr>
        <w:t xml:space="preserve"> emission limit is </w:t>
      </w:r>
      <w:r w:rsidR="001F3338" w:rsidRPr="00E85ACF">
        <w:rPr>
          <w:rFonts w:ascii="Arial" w:hAnsi="Arial" w:cs="Arial"/>
          <w:sz w:val="22"/>
          <w:szCs w:val="22"/>
        </w:rPr>
        <w:t>equal to</w:t>
      </w:r>
      <w:r w:rsidRPr="00E85ACF">
        <w:rPr>
          <w:rFonts w:ascii="Arial" w:hAnsi="Arial" w:cs="Arial"/>
          <w:sz w:val="22"/>
          <w:szCs w:val="22"/>
        </w:rPr>
        <w:t xml:space="preserve"> the R 336.1401(1), (2) and Table 41 SO</w:t>
      </w:r>
      <w:r w:rsidRPr="00E85ACF">
        <w:rPr>
          <w:rFonts w:ascii="Arial" w:hAnsi="Arial" w:cs="Arial"/>
          <w:sz w:val="22"/>
          <w:szCs w:val="22"/>
          <w:vertAlign w:val="subscript"/>
        </w:rPr>
        <w:t>2</w:t>
      </w:r>
      <w:r w:rsidRPr="00E85ACF">
        <w:rPr>
          <w:rFonts w:ascii="Arial" w:hAnsi="Arial" w:cs="Arial"/>
          <w:sz w:val="22"/>
          <w:szCs w:val="22"/>
        </w:rPr>
        <w:t xml:space="preserve"> emission limit:</w:t>
      </w:r>
    </w:p>
    <w:p w14:paraId="6B792848" w14:textId="01B8A109" w:rsidR="006A27EC" w:rsidRPr="00AA25E6" w:rsidRDefault="006A27EC" w:rsidP="00E85ACF">
      <w:pPr>
        <w:pStyle w:val="ListParagraph"/>
        <w:spacing w:after="240" w:line="252" w:lineRule="auto"/>
        <w:ind w:hanging="360"/>
        <w:rPr>
          <w:rFonts w:ascii="Arial" w:hAnsi="Arial" w:cs="Arial"/>
          <w:sz w:val="24"/>
          <w:szCs w:val="24"/>
        </w:rPr>
      </w:pPr>
      <w:r w:rsidRPr="006A26D2">
        <w:rPr>
          <w:noProof/>
        </w:rPr>
        <w:drawing>
          <wp:inline distT="0" distB="0" distL="0" distR="0" wp14:anchorId="7A88BE51" wp14:editId="6AFA1625">
            <wp:extent cx="6484620" cy="117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4620" cy="1173480"/>
                    </a:xfrm>
                    <a:prstGeom prst="rect">
                      <a:avLst/>
                    </a:prstGeom>
                    <a:noFill/>
                    <a:ln>
                      <a:noFill/>
                    </a:ln>
                  </pic:spPr>
                </pic:pic>
              </a:graphicData>
            </a:graphic>
          </wp:inline>
        </w:drawing>
      </w:r>
    </w:p>
    <w:p w14:paraId="23068FF7" w14:textId="0A7F127C" w:rsidR="009F1B6D" w:rsidRPr="00AA25E6" w:rsidRDefault="009F1B6D" w:rsidP="006A27EC">
      <w:pPr>
        <w:pStyle w:val="ListParagraph"/>
        <w:spacing w:after="240" w:line="252" w:lineRule="auto"/>
        <w:rPr>
          <w:rFonts w:ascii="Arial" w:hAnsi="Arial" w:cs="Arial"/>
          <w:sz w:val="24"/>
          <w:szCs w:val="24"/>
        </w:rPr>
      </w:pPr>
    </w:p>
    <w:p w14:paraId="38B26D92" w14:textId="43BD208A" w:rsidR="009F1B6D" w:rsidRPr="00AA25E6" w:rsidRDefault="009F1B6D" w:rsidP="00E85ACF">
      <w:pPr>
        <w:pStyle w:val="ListParagraph"/>
        <w:numPr>
          <w:ilvl w:val="0"/>
          <w:numId w:val="15"/>
        </w:numPr>
        <w:ind w:left="360"/>
        <w:jc w:val="both"/>
        <w:rPr>
          <w:rFonts w:ascii="Arial" w:hAnsi="Arial" w:cs="Arial"/>
          <w:sz w:val="22"/>
          <w:szCs w:val="22"/>
        </w:rPr>
      </w:pPr>
      <w:r w:rsidRPr="00AA25E6">
        <w:rPr>
          <w:rFonts w:ascii="Arial" w:hAnsi="Arial" w:cs="Arial"/>
          <w:sz w:val="22"/>
          <w:szCs w:val="22"/>
        </w:rPr>
        <w:t xml:space="preserve">[AQD Designation </w:t>
      </w:r>
      <w:r w:rsidRPr="00AA25E6">
        <w:rPr>
          <w:rFonts w:ascii="Arial" w:hAnsi="Arial" w:cs="Arial"/>
          <w:b/>
          <w:sz w:val="22"/>
          <w:szCs w:val="22"/>
        </w:rPr>
        <w:t>5.a.</w:t>
      </w:r>
      <w:r w:rsidRPr="00AA25E6">
        <w:rPr>
          <w:rFonts w:ascii="Arial" w:hAnsi="Arial" w:cs="Arial"/>
          <w:sz w:val="22"/>
          <w:szCs w:val="22"/>
        </w:rPr>
        <w:t xml:space="preserve">]  EUEASTAUXBOILER, page 22; EUWESTAUXBOILER, page 27: The NOx testing/sampling requirement (SC V.1. for EUEASTAUXBOILER and SC V.3 for EUWESTAUXBOILER) includes a high-level citation to Appendix A of 40 CFR Part 60 as the monitoring/testing method. Likewise, the PM testing/sampling requirement for EUWESTAUXBOILER (SC V.2.) also includes a high-level citation to Appendix A of 40 CFR Part 60. Please list a specific test method in accordance with 40 CFR 70.6(a)(3). </w:t>
      </w:r>
    </w:p>
    <w:p w14:paraId="185D5209" w14:textId="7A2C36A5" w:rsidR="009D30F4" w:rsidRPr="00AA25E6" w:rsidRDefault="009D30F4" w:rsidP="009D30F4">
      <w:pPr>
        <w:rPr>
          <w:rFonts w:ascii="Arial" w:hAnsi="Arial" w:cs="Arial"/>
        </w:rPr>
      </w:pPr>
    </w:p>
    <w:p w14:paraId="127C3F95" w14:textId="77777777" w:rsidR="00090A19" w:rsidRPr="00E85ACF" w:rsidRDefault="009D30F4" w:rsidP="00E85ACF">
      <w:pPr>
        <w:ind w:left="360"/>
        <w:contextualSpacing/>
        <w:rPr>
          <w:rFonts w:ascii="Arial" w:hAnsi="Arial" w:cs="Arial"/>
          <w:color w:val="000000" w:themeColor="text1"/>
          <w:sz w:val="22"/>
          <w:szCs w:val="22"/>
        </w:rPr>
      </w:pPr>
      <w:r w:rsidRPr="00E85ACF">
        <w:rPr>
          <w:rFonts w:ascii="Arial" w:hAnsi="Arial" w:cs="Arial"/>
          <w:b/>
          <w:color w:val="000000" w:themeColor="text1"/>
          <w:sz w:val="22"/>
          <w:szCs w:val="22"/>
        </w:rPr>
        <w:t xml:space="preserve">AQD RESPONSE: </w:t>
      </w:r>
      <w:bookmarkStart w:id="53" w:name="_Hlk503444407"/>
    </w:p>
    <w:p w14:paraId="6A81D82B" w14:textId="195FFD11" w:rsidR="009D30F4" w:rsidRPr="00E85ACF" w:rsidRDefault="009D30F4" w:rsidP="00CA19BB">
      <w:pPr>
        <w:ind w:left="360"/>
        <w:contextualSpacing/>
        <w:jc w:val="both"/>
        <w:rPr>
          <w:rFonts w:ascii="Arial" w:hAnsi="Arial" w:cs="Arial"/>
          <w:color w:val="000000" w:themeColor="text1"/>
          <w:sz w:val="22"/>
          <w:szCs w:val="22"/>
        </w:rPr>
      </w:pPr>
      <w:r w:rsidRPr="00E85ACF">
        <w:rPr>
          <w:rFonts w:ascii="Arial" w:hAnsi="Arial" w:cs="Arial"/>
          <w:color w:val="000000" w:themeColor="text1"/>
          <w:sz w:val="22"/>
          <w:szCs w:val="22"/>
        </w:rPr>
        <w:t xml:space="preserve">The following text has been added to EUEASTAUXBOILER SC V.1, “Testing of NOx emission rates shall be performed using EPA Method 7E…”   </w:t>
      </w:r>
    </w:p>
    <w:p w14:paraId="3B632AFB" w14:textId="77777777" w:rsidR="00090A19" w:rsidRPr="00E85ACF" w:rsidRDefault="00090A19" w:rsidP="00CA19BB">
      <w:pPr>
        <w:ind w:left="360"/>
        <w:contextualSpacing/>
        <w:jc w:val="both"/>
        <w:rPr>
          <w:rFonts w:ascii="Arial" w:hAnsi="Arial" w:cs="Arial"/>
          <w:color w:val="000000" w:themeColor="text1"/>
          <w:sz w:val="22"/>
          <w:szCs w:val="22"/>
        </w:rPr>
      </w:pPr>
    </w:p>
    <w:p w14:paraId="3E9CF733" w14:textId="77777777" w:rsidR="00090A19" w:rsidRPr="00E85ACF" w:rsidRDefault="009D30F4" w:rsidP="00CA19BB">
      <w:pPr>
        <w:ind w:left="360"/>
        <w:contextualSpacing/>
        <w:jc w:val="both"/>
        <w:rPr>
          <w:rFonts w:ascii="Arial" w:hAnsi="Arial" w:cs="Arial"/>
          <w:color w:val="000000" w:themeColor="text1"/>
          <w:sz w:val="22"/>
          <w:szCs w:val="22"/>
        </w:rPr>
      </w:pPr>
      <w:bookmarkStart w:id="54" w:name="_Hlk503444651"/>
      <w:bookmarkEnd w:id="53"/>
      <w:r w:rsidRPr="00E85ACF">
        <w:rPr>
          <w:rFonts w:ascii="Arial" w:hAnsi="Arial" w:cs="Arial"/>
          <w:color w:val="000000" w:themeColor="text1"/>
          <w:sz w:val="22"/>
          <w:szCs w:val="22"/>
        </w:rPr>
        <w:t xml:space="preserve">The following text has been added to EUWESTAUXBOILER SC V.2, “Testing of PM emission rates shall be performed using EPA Method 5…”   </w:t>
      </w:r>
    </w:p>
    <w:p w14:paraId="3C3E44AF" w14:textId="77777777" w:rsidR="00090A19" w:rsidRPr="00E85ACF" w:rsidRDefault="00090A19" w:rsidP="00CA19BB">
      <w:pPr>
        <w:ind w:left="360"/>
        <w:contextualSpacing/>
        <w:jc w:val="both"/>
        <w:rPr>
          <w:rFonts w:ascii="Arial" w:hAnsi="Arial" w:cs="Arial"/>
          <w:color w:val="000000" w:themeColor="text1"/>
          <w:sz w:val="22"/>
          <w:szCs w:val="22"/>
        </w:rPr>
      </w:pPr>
    </w:p>
    <w:p w14:paraId="124EC93C" w14:textId="2688544E" w:rsidR="009D30F4" w:rsidRPr="00E85ACF" w:rsidRDefault="00090A19" w:rsidP="00CA19BB">
      <w:pPr>
        <w:ind w:left="360"/>
        <w:contextualSpacing/>
        <w:jc w:val="both"/>
        <w:rPr>
          <w:rFonts w:ascii="Arial" w:hAnsi="Arial" w:cs="Arial"/>
          <w:sz w:val="22"/>
          <w:szCs w:val="22"/>
        </w:rPr>
      </w:pPr>
      <w:r w:rsidRPr="00E85ACF">
        <w:rPr>
          <w:rFonts w:ascii="Arial" w:hAnsi="Arial" w:cs="Arial"/>
          <w:color w:val="000000" w:themeColor="text1"/>
          <w:sz w:val="22"/>
          <w:szCs w:val="22"/>
        </w:rPr>
        <w:t>The following text has been added to EUWESTAUXBOILER</w:t>
      </w:r>
      <w:r w:rsidR="009D30F4" w:rsidRPr="00E85ACF">
        <w:rPr>
          <w:rFonts w:ascii="Arial" w:hAnsi="Arial" w:cs="Arial"/>
          <w:color w:val="000000" w:themeColor="text1"/>
          <w:sz w:val="22"/>
          <w:szCs w:val="22"/>
        </w:rPr>
        <w:t xml:space="preserve"> SC V.3, “Testing of NOx emission rates shall be performed using EPA Method 7E...”</w:t>
      </w:r>
    </w:p>
    <w:bookmarkEnd w:id="54"/>
    <w:p w14:paraId="738AAD94" w14:textId="6AD45010" w:rsidR="009D30F4" w:rsidRPr="00E85ACF" w:rsidRDefault="009D30F4" w:rsidP="00E85ACF">
      <w:pPr>
        <w:ind w:left="360"/>
        <w:contextualSpacing/>
        <w:jc w:val="both"/>
        <w:rPr>
          <w:rFonts w:ascii="Arial" w:hAnsi="Arial" w:cs="Arial"/>
          <w:sz w:val="22"/>
          <w:szCs w:val="22"/>
        </w:rPr>
      </w:pPr>
      <w:r w:rsidRPr="00E85ACF">
        <w:rPr>
          <w:rFonts w:ascii="Arial" w:hAnsi="Arial" w:cs="Arial"/>
          <w:sz w:val="22"/>
          <w:szCs w:val="22"/>
        </w:rPr>
        <w:br/>
      </w:r>
      <w:r w:rsidRPr="002F2B72">
        <w:rPr>
          <w:rFonts w:ascii="Arial" w:hAnsi="Arial" w:cs="Arial"/>
          <w:sz w:val="22"/>
          <w:szCs w:val="22"/>
        </w:rPr>
        <w:t>[AQ</w:t>
      </w:r>
      <w:r w:rsidRPr="00E85ACF">
        <w:rPr>
          <w:rFonts w:ascii="Arial" w:hAnsi="Arial" w:cs="Arial"/>
          <w:sz w:val="22"/>
          <w:szCs w:val="22"/>
        </w:rPr>
        <w:t xml:space="preserve">D Designation </w:t>
      </w:r>
      <w:r w:rsidRPr="00E85ACF">
        <w:rPr>
          <w:rFonts w:ascii="Arial" w:hAnsi="Arial" w:cs="Arial"/>
          <w:b/>
          <w:sz w:val="22"/>
          <w:szCs w:val="22"/>
        </w:rPr>
        <w:t>5.b.</w:t>
      </w:r>
      <w:r w:rsidRPr="002F2B72">
        <w:rPr>
          <w:rFonts w:ascii="Arial" w:hAnsi="Arial" w:cs="Arial"/>
          <w:sz w:val="22"/>
          <w:szCs w:val="22"/>
        </w:rPr>
        <w:t>]</w:t>
      </w:r>
      <w:r w:rsidRPr="00E85ACF">
        <w:rPr>
          <w:rFonts w:ascii="Arial" w:hAnsi="Arial" w:cs="Arial"/>
          <w:sz w:val="22"/>
          <w:szCs w:val="22"/>
        </w:rPr>
        <w:t xml:space="preserve">  USEPA (cont.) Furthermore, these testing/sampling conditions do not include a frequency for testing. </w:t>
      </w:r>
      <w:r w:rsidR="00E85ACF">
        <w:rPr>
          <w:rFonts w:ascii="Arial" w:hAnsi="Arial" w:cs="Arial"/>
          <w:sz w:val="22"/>
          <w:szCs w:val="22"/>
        </w:rPr>
        <w:t xml:space="preserve"> </w:t>
      </w:r>
      <w:r w:rsidRPr="00E85ACF">
        <w:rPr>
          <w:rFonts w:ascii="Arial" w:hAnsi="Arial" w:cs="Arial"/>
          <w:sz w:val="22"/>
          <w:szCs w:val="22"/>
        </w:rPr>
        <w:t>Please justify that lack of a testing schedule by explaining how compliance with applicable requirements will be assured in accordance with 40 CFR 70.6(c)(1).</w:t>
      </w:r>
    </w:p>
    <w:p w14:paraId="2A31FC1B" w14:textId="77777777" w:rsidR="009D30F4" w:rsidRPr="00E85ACF" w:rsidRDefault="009D30F4" w:rsidP="00E85ACF">
      <w:pPr>
        <w:ind w:left="360"/>
        <w:jc w:val="both"/>
        <w:rPr>
          <w:rFonts w:ascii="Arial" w:hAnsi="Arial" w:cs="Arial"/>
          <w:b/>
          <w:color w:val="FF0000"/>
          <w:sz w:val="22"/>
          <w:szCs w:val="22"/>
        </w:rPr>
      </w:pPr>
    </w:p>
    <w:p w14:paraId="5AA15CAB" w14:textId="25687AEF" w:rsidR="009D30F4" w:rsidRPr="00E85ACF" w:rsidRDefault="009D30F4" w:rsidP="00E85ACF">
      <w:pPr>
        <w:ind w:left="360"/>
        <w:jc w:val="both"/>
        <w:rPr>
          <w:rFonts w:ascii="Arial" w:hAnsi="Arial" w:cs="Arial"/>
          <w:sz w:val="22"/>
          <w:szCs w:val="22"/>
        </w:rPr>
      </w:pPr>
      <w:r w:rsidRPr="00E85ACF">
        <w:rPr>
          <w:rFonts w:ascii="Arial" w:hAnsi="Arial" w:cs="Arial"/>
          <w:b/>
          <w:color w:val="000000" w:themeColor="text1"/>
          <w:sz w:val="22"/>
          <w:szCs w:val="22"/>
        </w:rPr>
        <w:t xml:space="preserve">AQD RESPONSE:  </w:t>
      </w:r>
      <w:r w:rsidRPr="00E85ACF">
        <w:rPr>
          <w:rFonts w:ascii="Arial" w:hAnsi="Arial" w:cs="Arial"/>
          <w:sz w:val="22"/>
          <w:szCs w:val="22"/>
        </w:rPr>
        <w:t xml:space="preserve">EUWESTAUXBOILER is a limited use boiler fired with No. 2, No. 6 oil or blends thereof.  Per the MDEQ/AQD inspection conducted on August 4, 2017, “EUWESTAUXBOILER did not operate in 2016 and has not operated in 2017 to the date of this inspection (August 4, 2017). </w:t>
      </w:r>
      <w:r w:rsidR="00E85ACF">
        <w:rPr>
          <w:rFonts w:ascii="Arial" w:hAnsi="Arial" w:cs="Arial"/>
          <w:sz w:val="22"/>
          <w:szCs w:val="22"/>
        </w:rPr>
        <w:t xml:space="preserve"> </w:t>
      </w:r>
      <w:r w:rsidRPr="00E85ACF">
        <w:rPr>
          <w:rFonts w:ascii="Arial" w:hAnsi="Arial" w:cs="Arial"/>
          <w:sz w:val="22"/>
          <w:szCs w:val="22"/>
        </w:rPr>
        <w:t>As of this inspection, EUWESTAUXBOILER was not operable and would need maintenance before operating again. DTE has elected to keep this emission unit permitted in the event DTE elects to return this emission unit to operating condition.”  40 CFR 63.7510(e) and (40 CFR 63.7510(j), which are the UAR’s under EUWESTAUXBOILER special condition III.2, requires an initial tune-up after re-start of the affected source.  Furthermore, special condition III.3 requires that tune-ups must be conducted no more than five years (61 months) after the previous tune-up.  The MDEQ interprets these legally enforceable requirements to be sufficient requirements for compliant operation of this emission unit.</w:t>
      </w:r>
    </w:p>
    <w:p w14:paraId="0D394CAF" w14:textId="77777777" w:rsidR="009D30F4" w:rsidRPr="00AA25E6" w:rsidRDefault="009D30F4" w:rsidP="009D30F4">
      <w:pPr>
        <w:rPr>
          <w:rFonts w:ascii="Arial" w:hAnsi="Arial" w:cs="Arial"/>
          <w:sz w:val="22"/>
          <w:szCs w:val="22"/>
        </w:rPr>
      </w:pPr>
    </w:p>
    <w:p w14:paraId="66A58707" w14:textId="5AEB57B4" w:rsidR="00090A19" w:rsidRPr="00AA25E6" w:rsidRDefault="00090A19" w:rsidP="00E85ACF">
      <w:pPr>
        <w:pStyle w:val="ListParagraph"/>
        <w:numPr>
          <w:ilvl w:val="0"/>
          <w:numId w:val="15"/>
        </w:numPr>
        <w:ind w:left="360"/>
        <w:jc w:val="both"/>
        <w:rPr>
          <w:rFonts w:ascii="Arial" w:hAnsi="Arial" w:cs="Arial"/>
          <w:sz w:val="22"/>
          <w:szCs w:val="22"/>
        </w:rPr>
      </w:pPr>
      <w:r w:rsidRPr="00AA25E6">
        <w:rPr>
          <w:rFonts w:ascii="Arial" w:hAnsi="Arial" w:cs="Arial"/>
          <w:sz w:val="22"/>
          <w:szCs w:val="22"/>
        </w:rPr>
        <w:t>EUWESTAUXBOILER, page 2</w:t>
      </w:r>
      <w:r w:rsidR="00CB28C4">
        <w:rPr>
          <w:rFonts w:ascii="Arial" w:hAnsi="Arial" w:cs="Arial"/>
          <w:sz w:val="22"/>
          <w:szCs w:val="22"/>
        </w:rPr>
        <w:t>7</w:t>
      </w:r>
      <w:r w:rsidRPr="00AA25E6">
        <w:rPr>
          <w:rFonts w:ascii="Arial" w:hAnsi="Arial" w:cs="Arial"/>
          <w:sz w:val="22"/>
          <w:szCs w:val="22"/>
        </w:rPr>
        <w:t xml:space="preserve">: Some of the PM emission limits reference SC VI.1. as the monitoring/testing method. SC VI.1. requires the verification of visible emissions. Is Method 9 the appropriate monitoring/testing method for these limits? </w:t>
      </w:r>
    </w:p>
    <w:p w14:paraId="05E48F38" w14:textId="0F6990C7" w:rsidR="00090A19" w:rsidRPr="00AA25E6" w:rsidRDefault="00090A19" w:rsidP="00090A19">
      <w:pPr>
        <w:pStyle w:val="ListParagraph"/>
        <w:rPr>
          <w:rFonts w:ascii="Arial" w:hAnsi="Arial" w:cs="Arial"/>
          <w:sz w:val="22"/>
          <w:szCs w:val="22"/>
        </w:rPr>
      </w:pPr>
    </w:p>
    <w:p w14:paraId="5FE3E9FF" w14:textId="1FD61E9F" w:rsidR="00090A19" w:rsidRPr="00AA25E6" w:rsidRDefault="00090A19" w:rsidP="00E85ACF">
      <w:pPr>
        <w:pStyle w:val="ListParagraph"/>
        <w:ind w:left="360"/>
        <w:jc w:val="both"/>
        <w:rPr>
          <w:rFonts w:ascii="Arial" w:hAnsi="Arial" w:cs="Arial"/>
          <w:sz w:val="22"/>
          <w:szCs w:val="22"/>
        </w:rPr>
      </w:pPr>
      <w:r w:rsidRPr="006A26D2">
        <w:rPr>
          <w:rFonts w:ascii="Arial" w:hAnsi="Arial" w:cs="Arial"/>
          <w:b/>
          <w:sz w:val="22"/>
          <w:szCs w:val="22"/>
        </w:rPr>
        <w:t>AQD RESPONSE:</w:t>
      </w:r>
      <w:r w:rsidRPr="006A26D2">
        <w:rPr>
          <w:rFonts w:ascii="Arial" w:hAnsi="Arial" w:cs="Arial"/>
          <w:sz w:val="22"/>
          <w:szCs w:val="22"/>
        </w:rPr>
        <w:t xml:space="preserve">  The MDEQ/AQD believes that the application of Method 9 in conjunction with the initial tune-up per SC III.2, subsequent tune-ups required per SC III.3 and the visible emission observation schedule outlined in Appendix 3.5-1 are appropriate indicators of ongoing compliant operation of EUWESTAUXBOILER, which is a limited use boiler.  Furthermore, SC V.2 establishes the authority of the MDEQ to request the permittee verify PM emission rates from EUWESTAUXBOILER, by testing at owner's expense, in accordance with Department requirements should the MDEQ have a compliance concern regarding the PM emission rate from EUWESTAUXBOILER.</w:t>
      </w:r>
    </w:p>
    <w:p w14:paraId="746180A4" w14:textId="26FEE386" w:rsidR="00090A19" w:rsidRPr="00AA25E6" w:rsidRDefault="00090A19" w:rsidP="00090A19">
      <w:pPr>
        <w:pStyle w:val="ListParagraph"/>
        <w:ind w:left="1440"/>
        <w:rPr>
          <w:rFonts w:ascii="Arial" w:hAnsi="Arial" w:cs="Arial"/>
          <w:sz w:val="22"/>
          <w:szCs w:val="22"/>
        </w:rPr>
      </w:pPr>
    </w:p>
    <w:p w14:paraId="6039EDFC" w14:textId="1F3361B7" w:rsidR="00D56F83" w:rsidRPr="00AA25E6" w:rsidRDefault="00D56F83" w:rsidP="00165817">
      <w:pPr>
        <w:pStyle w:val="ListParagraph"/>
        <w:numPr>
          <w:ilvl w:val="0"/>
          <w:numId w:val="15"/>
        </w:numPr>
        <w:ind w:left="360"/>
        <w:jc w:val="both"/>
        <w:rPr>
          <w:rFonts w:ascii="Arial" w:hAnsi="Arial" w:cs="Arial"/>
          <w:sz w:val="22"/>
          <w:szCs w:val="22"/>
        </w:rPr>
      </w:pPr>
      <w:r w:rsidRPr="00AA25E6">
        <w:rPr>
          <w:rFonts w:ascii="Arial" w:hAnsi="Arial" w:cs="Arial"/>
          <w:sz w:val="22"/>
          <w:szCs w:val="22"/>
        </w:rPr>
        <w:lastRenderedPageBreak/>
        <w:t>EUWESTAUXBOILER, page 2</w:t>
      </w:r>
      <w:r w:rsidR="00BF7C5E">
        <w:rPr>
          <w:rFonts w:ascii="Arial" w:hAnsi="Arial" w:cs="Arial"/>
          <w:sz w:val="22"/>
          <w:szCs w:val="22"/>
        </w:rPr>
        <w:t>7</w:t>
      </w:r>
      <w:r w:rsidRPr="00AA25E6">
        <w:rPr>
          <w:rFonts w:ascii="Arial" w:hAnsi="Arial" w:cs="Arial"/>
          <w:sz w:val="22"/>
          <w:szCs w:val="22"/>
        </w:rPr>
        <w:t xml:space="preserve">: </w:t>
      </w:r>
      <w:r w:rsidR="00165817">
        <w:rPr>
          <w:rFonts w:ascii="Arial" w:hAnsi="Arial" w:cs="Arial"/>
          <w:sz w:val="22"/>
          <w:szCs w:val="22"/>
        </w:rPr>
        <w:t xml:space="preserve"> </w:t>
      </w:r>
      <w:r w:rsidRPr="00AA25E6">
        <w:rPr>
          <w:rFonts w:ascii="Arial" w:hAnsi="Arial" w:cs="Arial"/>
          <w:sz w:val="22"/>
          <w:szCs w:val="22"/>
        </w:rPr>
        <w:t xml:space="preserve">Under time period/operating scenario for SC I.1., a note is listed. This note states that a requirement has been subsumed under this streamlined requirement and does not provide information about the time period/operating scenario associated with these limits. Please list a time period/operating scenario to be used for determining compliance with this emission limit in accordance with 40 CFR 70.6(a)(3) and (c)(1). </w:t>
      </w:r>
    </w:p>
    <w:p w14:paraId="33C32095" w14:textId="79B12081" w:rsidR="00D56F83" w:rsidRPr="00AA25E6" w:rsidRDefault="00D56F83" w:rsidP="00E85ACF">
      <w:pPr>
        <w:pStyle w:val="ListParagraph"/>
        <w:jc w:val="both"/>
        <w:rPr>
          <w:rFonts w:ascii="Arial" w:hAnsi="Arial" w:cs="Arial"/>
          <w:sz w:val="22"/>
          <w:szCs w:val="22"/>
        </w:rPr>
      </w:pPr>
    </w:p>
    <w:p w14:paraId="1B38EEA0" w14:textId="2F3CCBB8" w:rsidR="00D56F83" w:rsidRPr="00AA25E6" w:rsidRDefault="00D56F83" w:rsidP="00165817">
      <w:pPr>
        <w:pStyle w:val="ListParagraph"/>
        <w:ind w:left="360"/>
        <w:jc w:val="both"/>
        <w:rPr>
          <w:rFonts w:ascii="Arial" w:hAnsi="Arial" w:cs="Arial"/>
          <w:sz w:val="22"/>
          <w:szCs w:val="22"/>
        </w:rPr>
      </w:pPr>
      <w:r w:rsidRPr="006A26D2">
        <w:rPr>
          <w:rFonts w:ascii="Arial" w:hAnsi="Arial" w:cs="Arial"/>
          <w:b/>
          <w:sz w:val="22"/>
          <w:szCs w:val="22"/>
        </w:rPr>
        <w:t>AQD RESPONSE:</w:t>
      </w:r>
      <w:r w:rsidRPr="006A26D2">
        <w:rPr>
          <w:rFonts w:ascii="Arial" w:hAnsi="Arial" w:cs="Arial"/>
          <w:sz w:val="22"/>
          <w:szCs w:val="22"/>
        </w:rPr>
        <w:t xml:space="preserve"> </w:t>
      </w:r>
      <w:r w:rsidR="00165817">
        <w:rPr>
          <w:rFonts w:ascii="Arial" w:hAnsi="Arial" w:cs="Arial"/>
          <w:sz w:val="22"/>
          <w:szCs w:val="22"/>
        </w:rPr>
        <w:t xml:space="preserve"> </w:t>
      </w:r>
      <w:r w:rsidRPr="006A26D2">
        <w:rPr>
          <w:rFonts w:ascii="Arial" w:hAnsi="Arial" w:cs="Arial"/>
          <w:sz w:val="22"/>
          <w:szCs w:val="22"/>
        </w:rPr>
        <w:t>The MDEQ/AQD has split the</w:t>
      </w:r>
      <w:r w:rsidR="00C157A9" w:rsidRPr="006A26D2">
        <w:rPr>
          <w:rFonts w:ascii="Arial" w:hAnsi="Arial" w:cs="Arial"/>
          <w:sz w:val="22"/>
          <w:szCs w:val="22"/>
        </w:rPr>
        <w:t xml:space="preserve"> I.1</w:t>
      </w:r>
      <w:r w:rsidRPr="006A26D2">
        <w:rPr>
          <w:rFonts w:ascii="Arial" w:hAnsi="Arial" w:cs="Arial"/>
          <w:sz w:val="22"/>
          <w:szCs w:val="22"/>
        </w:rPr>
        <w:t xml:space="preserve"> Time Period/Operating Scenario row into two cells.  The upper cell now identifies the time period as </w:t>
      </w:r>
      <w:r w:rsidR="00C157A9" w:rsidRPr="006A26D2">
        <w:rPr>
          <w:rFonts w:ascii="Arial" w:hAnsi="Arial" w:cs="Arial"/>
          <w:sz w:val="22"/>
          <w:szCs w:val="22"/>
        </w:rPr>
        <w:t>“As-fired fuel.”</w:t>
      </w:r>
      <w:r w:rsidRPr="006A26D2">
        <w:rPr>
          <w:rFonts w:ascii="Arial" w:hAnsi="Arial" w:cs="Arial"/>
          <w:sz w:val="22"/>
          <w:szCs w:val="22"/>
        </w:rPr>
        <w:t xml:space="preserve">  The lower cell identifies the time period as </w:t>
      </w:r>
      <w:r w:rsidR="00C157A9" w:rsidRPr="006A26D2">
        <w:rPr>
          <w:rFonts w:ascii="Arial" w:hAnsi="Arial" w:cs="Arial"/>
          <w:sz w:val="22"/>
          <w:szCs w:val="22"/>
        </w:rPr>
        <w:t>“H</w:t>
      </w:r>
      <w:r w:rsidRPr="006A26D2">
        <w:rPr>
          <w:rFonts w:ascii="Arial" w:hAnsi="Arial" w:cs="Arial"/>
          <w:sz w:val="22"/>
          <w:szCs w:val="22"/>
        </w:rPr>
        <w:t>ourly.</w:t>
      </w:r>
      <w:r w:rsidR="00C157A9" w:rsidRPr="006A26D2">
        <w:rPr>
          <w:rFonts w:ascii="Arial" w:hAnsi="Arial" w:cs="Arial"/>
          <w:sz w:val="22"/>
          <w:szCs w:val="22"/>
        </w:rPr>
        <w:t>”</w:t>
      </w:r>
    </w:p>
    <w:p w14:paraId="7E4CACA5" w14:textId="77777777" w:rsidR="00D56F83" w:rsidRPr="00AA25E6" w:rsidRDefault="00D56F83" w:rsidP="00E85ACF">
      <w:pPr>
        <w:pStyle w:val="ListParagraph"/>
        <w:jc w:val="both"/>
        <w:rPr>
          <w:rFonts w:ascii="Arial" w:hAnsi="Arial" w:cs="Arial"/>
          <w:sz w:val="22"/>
          <w:szCs w:val="22"/>
        </w:rPr>
      </w:pPr>
    </w:p>
    <w:p w14:paraId="129D8573" w14:textId="6D3A4CDA" w:rsidR="00D56F83" w:rsidRPr="00AA25E6" w:rsidRDefault="00D56F83" w:rsidP="00165817">
      <w:pPr>
        <w:pStyle w:val="ListParagraph"/>
        <w:numPr>
          <w:ilvl w:val="0"/>
          <w:numId w:val="15"/>
        </w:numPr>
        <w:ind w:left="360"/>
        <w:jc w:val="both"/>
        <w:rPr>
          <w:rFonts w:ascii="Arial" w:hAnsi="Arial" w:cs="Arial"/>
          <w:sz w:val="22"/>
          <w:szCs w:val="22"/>
        </w:rPr>
      </w:pPr>
      <w:r w:rsidRPr="00AA25E6">
        <w:rPr>
          <w:rFonts w:ascii="Arial" w:hAnsi="Arial" w:cs="Arial"/>
          <w:sz w:val="22"/>
          <w:szCs w:val="22"/>
        </w:rPr>
        <w:t>EUWESTAUXBOILER, page 2</w:t>
      </w:r>
      <w:r w:rsidR="00F77DBE" w:rsidRPr="00AA25E6">
        <w:rPr>
          <w:rFonts w:ascii="Arial" w:hAnsi="Arial" w:cs="Arial"/>
          <w:sz w:val="22"/>
          <w:szCs w:val="22"/>
        </w:rPr>
        <w:t>8</w:t>
      </w:r>
      <w:r w:rsidRPr="00AA25E6">
        <w:rPr>
          <w:rFonts w:ascii="Arial" w:hAnsi="Arial" w:cs="Arial"/>
          <w:sz w:val="22"/>
          <w:szCs w:val="22"/>
        </w:rPr>
        <w:t xml:space="preserve">: SC V.1. requires the permittee to analyze and record the sulfur content of the oil fuels. </w:t>
      </w:r>
      <w:r w:rsidR="00165817">
        <w:rPr>
          <w:rFonts w:ascii="Arial" w:hAnsi="Arial" w:cs="Arial"/>
          <w:sz w:val="22"/>
          <w:szCs w:val="22"/>
        </w:rPr>
        <w:t xml:space="preserve"> </w:t>
      </w:r>
      <w:r w:rsidRPr="00AA25E6">
        <w:rPr>
          <w:rFonts w:ascii="Arial" w:hAnsi="Arial" w:cs="Arial"/>
          <w:sz w:val="22"/>
          <w:szCs w:val="22"/>
        </w:rPr>
        <w:t xml:space="preserve">A similar condition for EUBOILER1 references Appendix 3.1-1 Fuel Oil Sulfur Monitoring. </w:t>
      </w:r>
      <w:r w:rsidR="00165817">
        <w:rPr>
          <w:rFonts w:ascii="Arial" w:hAnsi="Arial" w:cs="Arial"/>
          <w:sz w:val="22"/>
          <w:szCs w:val="22"/>
        </w:rPr>
        <w:t xml:space="preserve"> </w:t>
      </w:r>
      <w:r w:rsidRPr="00AA25E6">
        <w:rPr>
          <w:rFonts w:ascii="Arial" w:hAnsi="Arial" w:cs="Arial"/>
          <w:sz w:val="22"/>
          <w:szCs w:val="22"/>
        </w:rPr>
        <w:t xml:space="preserve">Please review Appendix 3.1-1 and consider if the information contained there may be relevant for compliance with the sulfur emission limits in accordance with 40 CFR 70.6(a)(3) and (c)(1). </w:t>
      </w:r>
    </w:p>
    <w:p w14:paraId="62B78980" w14:textId="700A77D2" w:rsidR="00D56F83" w:rsidRPr="00AA25E6" w:rsidRDefault="00D56F83" w:rsidP="00D56F83">
      <w:pPr>
        <w:rPr>
          <w:rFonts w:ascii="Arial" w:hAnsi="Arial" w:cs="Arial"/>
          <w:sz w:val="22"/>
          <w:szCs w:val="22"/>
        </w:rPr>
      </w:pPr>
    </w:p>
    <w:p w14:paraId="5CA3A34E" w14:textId="47F2D47F" w:rsidR="00D56F83" w:rsidRPr="006A26D2" w:rsidRDefault="00D56F83" w:rsidP="00165817">
      <w:pPr>
        <w:ind w:left="360"/>
        <w:jc w:val="both"/>
        <w:rPr>
          <w:rFonts w:ascii="Arial" w:hAnsi="Arial" w:cs="Arial"/>
          <w:sz w:val="22"/>
          <w:szCs w:val="22"/>
        </w:rPr>
      </w:pPr>
      <w:r w:rsidRPr="006A26D2">
        <w:rPr>
          <w:rFonts w:ascii="Arial" w:hAnsi="Arial" w:cs="Arial"/>
          <w:b/>
          <w:sz w:val="22"/>
          <w:szCs w:val="22"/>
        </w:rPr>
        <w:t>AQD RESPONSE:</w:t>
      </w:r>
      <w:r w:rsidRPr="006A26D2">
        <w:rPr>
          <w:rFonts w:ascii="Arial" w:hAnsi="Arial" w:cs="Arial"/>
          <w:sz w:val="22"/>
          <w:szCs w:val="22"/>
        </w:rPr>
        <w:t xml:space="preserve"> The </w:t>
      </w:r>
      <w:r w:rsidR="00C157A9" w:rsidRPr="006A26D2">
        <w:rPr>
          <w:rFonts w:ascii="Arial" w:hAnsi="Arial" w:cs="Arial"/>
          <w:sz w:val="22"/>
          <w:szCs w:val="22"/>
        </w:rPr>
        <w:t>AQD</w:t>
      </w:r>
      <w:r w:rsidRPr="006A26D2">
        <w:rPr>
          <w:rFonts w:ascii="Arial" w:hAnsi="Arial" w:cs="Arial"/>
          <w:sz w:val="22"/>
          <w:szCs w:val="22"/>
        </w:rPr>
        <w:t xml:space="preserve"> added a reference to Appendix 1-3.1 to EUWESTAUXBOILER SC V.1.  </w:t>
      </w:r>
      <w:r w:rsidR="0090393F" w:rsidRPr="006A26D2">
        <w:rPr>
          <w:rFonts w:ascii="Arial" w:hAnsi="Arial" w:cs="Arial"/>
          <w:sz w:val="22"/>
          <w:szCs w:val="22"/>
        </w:rPr>
        <w:t xml:space="preserve">MDEQ added language to App 3-1.1 to clarify that the fuel analyses values obtained by Appendix 3-1.1 will be used by permittee to calculate SO2, emission rate (lb/hr) from </w:t>
      </w:r>
      <w:r w:rsidR="00C675B5" w:rsidRPr="006A26D2">
        <w:rPr>
          <w:rFonts w:ascii="Arial" w:hAnsi="Arial" w:cs="Arial"/>
          <w:sz w:val="22"/>
          <w:szCs w:val="22"/>
        </w:rPr>
        <w:t>EUWESTAUXBOILER</w:t>
      </w:r>
      <w:r w:rsidR="0090393F" w:rsidRPr="006A26D2">
        <w:rPr>
          <w:rFonts w:ascii="Arial" w:hAnsi="Arial" w:cs="Arial"/>
          <w:sz w:val="22"/>
          <w:szCs w:val="22"/>
        </w:rPr>
        <w:t>.</w:t>
      </w:r>
    </w:p>
    <w:p w14:paraId="3029DC85" w14:textId="24D1EEC3" w:rsidR="00D56F83" w:rsidRPr="00AA25E6" w:rsidRDefault="00D56F83" w:rsidP="00D56F83">
      <w:pPr>
        <w:ind w:left="1440"/>
        <w:rPr>
          <w:rFonts w:ascii="Arial" w:hAnsi="Arial" w:cs="Arial"/>
          <w:sz w:val="22"/>
          <w:szCs w:val="22"/>
        </w:rPr>
      </w:pPr>
    </w:p>
    <w:p w14:paraId="24C1629E" w14:textId="4CA4C247" w:rsidR="00D56F83" w:rsidRPr="00AA25E6" w:rsidRDefault="00C10962" w:rsidP="00165817">
      <w:pPr>
        <w:pStyle w:val="ListParagraph"/>
        <w:numPr>
          <w:ilvl w:val="0"/>
          <w:numId w:val="15"/>
        </w:numPr>
        <w:ind w:left="360"/>
        <w:jc w:val="both"/>
        <w:rPr>
          <w:rFonts w:ascii="Arial" w:hAnsi="Arial" w:cs="Arial"/>
          <w:sz w:val="22"/>
          <w:szCs w:val="22"/>
        </w:rPr>
      </w:pPr>
      <w:r w:rsidRPr="00AA25E6">
        <w:rPr>
          <w:rFonts w:ascii="Arial" w:hAnsi="Arial" w:cs="Arial"/>
          <w:sz w:val="22"/>
          <w:szCs w:val="22"/>
        </w:rPr>
        <w:t xml:space="preserve">FG-CTGS, page </w:t>
      </w:r>
      <w:r w:rsidR="00BF7C5E">
        <w:rPr>
          <w:rFonts w:ascii="Arial" w:hAnsi="Arial" w:cs="Arial"/>
          <w:sz w:val="22"/>
          <w:szCs w:val="22"/>
        </w:rPr>
        <w:t>78</w:t>
      </w:r>
      <w:r w:rsidRPr="00AA25E6">
        <w:rPr>
          <w:rFonts w:ascii="Arial" w:hAnsi="Arial" w:cs="Arial"/>
          <w:sz w:val="22"/>
          <w:szCs w:val="22"/>
        </w:rPr>
        <w:t>: The monitoring/testing method for the formaldehyde and PM limits reference SC V.6 which is not contained in the draft permit. Please review this reference and revise accordingly.</w:t>
      </w:r>
    </w:p>
    <w:p w14:paraId="3300126C" w14:textId="2F130A56" w:rsidR="00D56F83" w:rsidRPr="00AA25E6" w:rsidRDefault="00D56F83" w:rsidP="00165817">
      <w:pPr>
        <w:jc w:val="both"/>
        <w:rPr>
          <w:rFonts w:ascii="Arial" w:hAnsi="Arial" w:cs="Arial"/>
          <w:sz w:val="22"/>
          <w:szCs w:val="22"/>
        </w:rPr>
      </w:pPr>
    </w:p>
    <w:p w14:paraId="088043F6" w14:textId="23B8DD59" w:rsidR="00C10962" w:rsidRPr="00AA25E6" w:rsidRDefault="00C10962" w:rsidP="00165817">
      <w:pPr>
        <w:ind w:left="360"/>
        <w:jc w:val="both"/>
        <w:rPr>
          <w:rFonts w:ascii="Arial" w:hAnsi="Arial" w:cs="Arial"/>
          <w:sz w:val="22"/>
          <w:szCs w:val="22"/>
        </w:rPr>
      </w:pPr>
      <w:r w:rsidRPr="006A26D2">
        <w:rPr>
          <w:rFonts w:ascii="Arial" w:hAnsi="Arial" w:cs="Arial"/>
          <w:b/>
          <w:sz w:val="22"/>
          <w:szCs w:val="22"/>
        </w:rPr>
        <w:t>AQD RESPONSE:</w:t>
      </w:r>
      <w:r w:rsidRPr="006A26D2">
        <w:rPr>
          <w:rFonts w:ascii="Arial" w:hAnsi="Arial" w:cs="Arial"/>
          <w:sz w:val="22"/>
          <w:szCs w:val="22"/>
        </w:rPr>
        <w:t xml:space="preserve"> The </w:t>
      </w:r>
      <w:r w:rsidR="00C157A9" w:rsidRPr="006A26D2">
        <w:rPr>
          <w:rFonts w:ascii="Arial" w:hAnsi="Arial" w:cs="Arial"/>
          <w:sz w:val="22"/>
          <w:szCs w:val="22"/>
        </w:rPr>
        <w:t>AQD</w:t>
      </w:r>
      <w:r w:rsidRPr="006A26D2">
        <w:rPr>
          <w:rFonts w:ascii="Arial" w:hAnsi="Arial" w:cs="Arial"/>
          <w:sz w:val="22"/>
          <w:szCs w:val="22"/>
        </w:rPr>
        <w:t xml:space="preserve"> changed three SC V.6 references to SC V.4</w:t>
      </w:r>
      <w:r w:rsidR="00C157A9" w:rsidRPr="006A26D2">
        <w:rPr>
          <w:rFonts w:ascii="Arial" w:hAnsi="Arial" w:cs="Arial"/>
          <w:sz w:val="22"/>
          <w:szCs w:val="22"/>
        </w:rPr>
        <w:t xml:space="preserve"> because SC V.6 is an invalid reference</w:t>
      </w:r>
      <w:r w:rsidRPr="006A26D2">
        <w:rPr>
          <w:rFonts w:ascii="Arial" w:hAnsi="Arial" w:cs="Arial"/>
          <w:sz w:val="22"/>
          <w:szCs w:val="22"/>
        </w:rPr>
        <w:t>.</w:t>
      </w:r>
    </w:p>
    <w:p w14:paraId="3656229D" w14:textId="77777777" w:rsidR="00C10962" w:rsidRPr="00AA25E6" w:rsidRDefault="00C10962" w:rsidP="00165817">
      <w:pPr>
        <w:jc w:val="both"/>
        <w:rPr>
          <w:rFonts w:ascii="Arial" w:hAnsi="Arial" w:cs="Arial"/>
          <w:sz w:val="22"/>
          <w:szCs w:val="22"/>
        </w:rPr>
      </w:pPr>
    </w:p>
    <w:p w14:paraId="3FB16F59" w14:textId="16CA3802" w:rsidR="00D11DED" w:rsidRPr="00AA25E6" w:rsidRDefault="00D11DED" w:rsidP="00165817">
      <w:pPr>
        <w:pStyle w:val="ListParagraph"/>
        <w:numPr>
          <w:ilvl w:val="0"/>
          <w:numId w:val="15"/>
        </w:numPr>
        <w:ind w:left="360"/>
        <w:jc w:val="both"/>
        <w:rPr>
          <w:rFonts w:ascii="Arial" w:hAnsi="Arial" w:cs="Arial"/>
          <w:sz w:val="22"/>
          <w:szCs w:val="22"/>
        </w:rPr>
      </w:pPr>
      <w:r w:rsidRPr="00AA25E6">
        <w:rPr>
          <w:rFonts w:ascii="Arial" w:hAnsi="Arial" w:cs="Arial"/>
          <w:sz w:val="22"/>
          <w:szCs w:val="22"/>
        </w:rPr>
        <w:t xml:space="preserve">FG-CTGS: The Staff Report states that predictive  emissions monitoring system (PEMS) are installed to measure NOx emissions from the combustion turbines. Please verify if PEMS are required as part of an applicable requirement, and update and include monitoring requirements as applicable.  </w:t>
      </w:r>
    </w:p>
    <w:p w14:paraId="47F4C676" w14:textId="205E3E06" w:rsidR="009F1B6D" w:rsidRPr="00AA25E6" w:rsidRDefault="009F1B6D" w:rsidP="00165817">
      <w:pPr>
        <w:pStyle w:val="ListParagraph"/>
        <w:spacing w:after="240" w:line="252" w:lineRule="auto"/>
        <w:ind w:left="360"/>
        <w:jc w:val="both"/>
        <w:rPr>
          <w:rFonts w:ascii="Arial" w:hAnsi="Arial" w:cs="Arial"/>
          <w:sz w:val="22"/>
          <w:szCs w:val="22"/>
        </w:rPr>
      </w:pPr>
    </w:p>
    <w:p w14:paraId="5A7E2D11" w14:textId="4086B9E8" w:rsidR="00D11DED" w:rsidRPr="006A26D2" w:rsidRDefault="00D11DED" w:rsidP="00165817">
      <w:pPr>
        <w:pStyle w:val="ListParagraph"/>
        <w:ind w:left="360"/>
        <w:jc w:val="both"/>
        <w:rPr>
          <w:rFonts w:ascii="Arial" w:hAnsi="Arial" w:cs="Arial"/>
          <w:sz w:val="22"/>
          <w:szCs w:val="22"/>
        </w:rPr>
      </w:pPr>
      <w:r w:rsidRPr="006A26D2">
        <w:rPr>
          <w:rFonts w:ascii="Arial" w:hAnsi="Arial" w:cs="Arial"/>
          <w:b/>
          <w:sz w:val="22"/>
          <w:szCs w:val="22"/>
        </w:rPr>
        <w:t>AQD RESPONSE:</w:t>
      </w:r>
      <w:r w:rsidRPr="006A26D2">
        <w:rPr>
          <w:rFonts w:ascii="Arial" w:hAnsi="Arial" w:cs="Arial"/>
          <w:sz w:val="22"/>
          <w:szCs w:val="22"/>
        </w:rPr>
        <w:t xml:space="preserve"> Per 40 CFR 75.2(a), FG-CTGS is subject to 40 CFR Part 75 - Continuous Emission Monitoring because each emission unit in this flexible group is subject to Acid Rain emission limitations.  Per 40 CFR Part 75.1(b) this flexible group is required to install CEMS to monitor NOx emissions.  Per Appendix E to Part 75 - Optional NOX Emissions Estimation Protocol for Gas-Fired Peaking Units and Oil-Fired Peaking Units, 1.1 states, “This NOX emissions estimation procedure may be used in lieu of a continuous NOX emission monitoring system (lb/mmBtu) for determining the average NOX emission rate and hourly NOX rate from gas-fired peaking units and oil-fired peaking units as defined in </w:t>
      </w:r>
      <w:r w:rsidR="004D4789">
        <w:rPr>
          <w:rFonts w:ascii="Arial" w:hAnsi="Arial" w:cs="Arial"/>
          <w:sz w:val="22"/>
          <w:szCs w:val="22"/>
        </w:rPr>
        <w:t xml:space="preserve">40 CFR </w:t>
      </w:r>
      <w:r w:rsidRPr="006A26D2">
        <w:rPr>
          <w:rFonts w:ascii="Arial" w:hAnsi="Arial" w:cs="Arial"/>
          <w:sz w:val="22"/>
          <w:szCs w:val="22"/>
        </w:rPr>
        <w:t>72.2 of this chapter.”  Therefore, per Appendix E to Part 75, the permittee is using PEMS to estimate emissions from the natural gas-fired peaking units.</w:t>
      </w:r>
      <w:r w:rsidR="00662DF0" w:rsidRPr="006A26D2">
        <w:rPr>
          <w:rFonts w:ascii="Arial" w:hAnsi="Arial" w:cs="Arial"/>
          <w:sz w:val="22"/>
          <w:szCs w:val="22"/>
        </w:rPr>
        <w:t xml:space="preserve">  Appendix 7-2 </w:t>
      </w:r>
      <w:r w:rsidR="008E7E07" w:rsidRPr="006A26D2">
        <w:rPr>
          <w:rFonts w:ascii="Arial" w:hAnsi="Arial" w:cs="Arial"/>
          <w:sz w:val="22"/>
          <w:szCs w:val="22"/>
        </w:rPr>
        <w:t>specifies the monitoring requirements and the requirement to develop correlation curve</w:t>
      </w:r>
      <w:r w:rsidR="00D24F55" w:rsidRPr="006A26D2">
        <w:rPr>
          <w:rFonts w:ascii="Arial" w:hAnsi="Arial" w:cs="Arial"/>
          <w:sz w:val="22"/>
          <w:szCs w:val="22"/>
        </w:rPr>
        <w:t>s</w:t>
      </w:r>
      <w:r w:rsidR="008E7E07" w:rsidRPr="006A26D2">
        <w:rPr>
          <w:rFonts w:ascii="Arial" w:hAnsi="Arial" w:cs="Arial"/>
          <w:sz w:val="22"/>
          <w:szCs w:val="22"/>
        </w:rPr>
        <w:t xml:space="preserve">, which are </w:t>
      </w:r>
      <w:r w:rsidR="00D24F55" w:rsidRPr="006A26D2">
        <w:rPr>
          <w:rFonts w:ascii="Arial" w:hAnsi="Arial" w:cs="Arial"/>
          <w:sz w:val="22"/>
          <w:szCs w:val="22"/>
        </w:rPr>
        <w:t>used to predict emission rates.</w:t>
      </w:r>
    </w:p>
    <w:p w14:paraId="12DB1339" w14:textId="3D3AF526" w:rsidR="00D24F55" w:rsidRPr="00AA25E6" w:rsidRDefault="00D24F55" w:rsidP="00165817">
      <w:pPr>
        <w:pStyle w:val="ListParagraph"/>
        <w:ind w:left="360"/>
        <w:jc w:val="both"/>
        <w:rPr>
          <w:rFonts w:ascii="Arial" w:hAnsi="Arial" w:cs="Arial"/>
          <w:sz w:val="22"/>
          <w:szCs w:val="22"/>
        </w:rPr>
      </w:pPr>
    </w:p>
    <w:p w14:paraId="19DB76B1" w14:textId="4658EA5B" w:rsidR="00D24F55" w:rsidRPr="00AA25E6" w:rsidRDefault="00D24F55" w:rsidP="00CA19BB">
      <w:pPr>
        <w:pStyle w:val="ListParagraph"/>
        <w:ind w:left="360"/>
        <w:jc w:val="both"/>
        <w:rPr>
          <w:rFonts w:ascii="Arial" w:hAnsi="Arial" w:cs="Arial"/>
          <w:sz w:val="22"/>
          <w:szCs w:val="22"/>
        </w:rPr>
      </w:pPr>
      <w:r w:rsidRPr="00AA25E6">
        <w:rPr>
          <w:rFonts w:ascii="Arial" w:hAnsi="Arial" w:cs="Arial"/>
          <w:sz w:val="22"/>
          <w:szCs w:val="22"/>
        </w:rPr>
        <w:t xml:space="preserve">The underlying applicable requirements of </w:t>
      </w:r>
      <w:bookmarkStart w:id="55" w:name="_Hlk503461925"/>
      <w:r w:rsidRPr="006A26D2">
        <w:rPr>
          <w:rFonts w:ascii="Arial" w:hAnsi="Arial" w:cs="Arial"/>
          <w:sz w:val="22"/>
          <w:szCs w:val="22"/>
        </w:rPr>
        <w:t xml:space="preserve">40 CFR 75.2(a) and 40 CFR Part 75.1(b) </w:t>
      </w:r>
      <w:bookmarkEnd w:id="55"/>
      <w:r w:rsidRPr="00AA25E6">
        <w:rPr>
          <w:rFonts w:ascii="Arial" w:hAnsi="Arial" w:cs="Arial"/>
          <w:sz w:val="22"/>
          <w:szCs w:val="22"/>
        </w:rPr>
        <w:t xml:space="preserve">have been added to FG-CTGS, VI.3.a. </w:t>
      </w:r>
    </w:p>
    <w:p w14:paraId="220B4506" w14:textId="77777777" w:rsidR="006A27EC" w:rsidRPr="00AA25E6" w:rsidRDefault="006A27EC">
      <w:pPr>
        <w:jc w:val="both"/>
        <w:rPr>
          <w:rFonts w:ascii="Arial" w:hAnsi="Arial"/>
          <w:sz w:val="22"/>
          <w:szCs w:val="22"/>
        </w:rPr>
      </w:pPr>
    </w:p>
    <w:p w14:paraId="3863F612" w14:textId="59C22246" w:rsidR="00DA5C18" w:rsidRPr="00AA25E6" w:rsidRDefault="00DA5C18">
      <w:pPr>
        <w:rPr>
          <w:rFonts w:ascii="Arial" w:hAnsi="Arial"/>
          <w:b/>
          <w:sz w:val="22"/>
          <w:szCs w:val="22"/>
          <w:u w:val="single"/>
        </w:rPr>
      </w:pPr>
      <w:bookmarkStart w:id="56" w:name="_Toc482691124"/>
      <w:r w:rsidRPr="00AA25E6">
        <w:rPr>
          <w:rFonts w:ascii="Arial" w:hAnsi="Arial"/>
          <w:b/>
          <w:sz w:val="22"/>
          <w:szCs w:val="22"/>
          <w:u w:val="single"/>
        </w:rPr>
        <w:t xml:space="preserve">Changes to the </w:t>
      </w:r>
      <w:r w:rsidR="00151E4C" w:rsidRPr="00AA25E6">
        <w:rPr>
          <w:rFonts w:ascii="Arial" w:hAnsi="Arial" w:cs="Arial"/>
          <w:b/>
          <w:sz w:val="22"/>
          <w:szCs w:val="22"/>
          <w:u w:val="single"/>
        </w:rPr>
        <w:t>August 7, 2017,</w:t>
      </w:r>
      <w:r w:rsidRPr="00AA25E6">
        <w:rPr>
          <w:rFonts w:ascii="Arial" w:hAnsi="Arial"/>
          <w:b/>
          <w:sz w:val="22"/>
          <w:szCs w:val="22"/>
          <w:u w:val="single"/>
        </w:rPr>
        <w:t xml:space="preserve"> </w:t>
      </w:r>
      <w:r w:rsidRPr="00AA25E6">
        <w:rPr>
          <w:rFonts w:ascii="Arial" w:hAnsi="Arial"/>
          <w:b/>
          <w:sz w:val="22"/>
          <w:szCs w:val="22"/>
          <w:u w:val="single"/>
        </w:rPr>
        <w:fldChar w:fldCharType="begin" w:fldLock="1">
          <w:ffData>
            <w:name w:val="dropdown12"/>
            <w:enabled/>
            <w:calcOnExit/>
            <w:ddList>
              <w:listEntry w:val="Draft"/>
              <w:listEntry w:val="Proposed"/>
            </w:ddList>
          </w:ffData>
        </w:fldChar>
      </w:r>
      <w:r w:rsidRPr="00AA25E6">
        <w:rPr>
          <w:rFonts w:ascii="Arial" w:hAnsi="Arial"/>
          <w:b/>
          <w:sz w:val="22"/>
          <w:szCs w:val="22"/>
          <w:u w:val="single"/>
        </w:rPr>
        <w:instrText xml:space="preserve"> FORMDROPDOWN </w:instrText>
      </w:r>
      <w:r w:rsidR="004A33DF">
        <w:rPr>
          <w:rFonts w:ascii="Arial" w:hAnsi="Arial"/>
          <w:b/>
          <w:sz w:val="22"/>
          <w:szCs w:val="22"/>
          <w:u w:val="single"/>
        </w:rPr>
      </w:r>
      <w:r w:rsidR="004A33DF">
        <w:rPr>
          <w:rFonts w:ascii="Arial" w:hAnsi="Arial"/>
          <w:b/>
          <w:sz w:val="22"/>
          <w:szCs w:val="22"/>
          <w:u w:val="single"/>
        </w:rPr>
        <w:fldChar w:fldCharType="separate"/>
      </w:r>
      <w:r w:rsidRPr="00AA25E6">
        <w:rPr>
          <w:rFonts w:ascii="Arial" w:hAnsi="Arial"/>
          <w:b/>
          <w:sz w:val="22"/>
          <w:szCs w:val="22"/>
          <w:u w:val="single"/>
        </w:rPr>
        <w:fldChar w:fldCharType="end"/>
      </w:r>
      <w:r w:rsidRPr="00AA25E6">
        <w:rPr>
          <w:rFonts w:ascii="Arial" w:hAnsi="Arial"/>
          <w:b/>
          <w:sz w:val="22"/>
          <w:szCs w:val="22"/>
          <w:u w:val="single"/>
        </w:rPr>
        <w:t xml:space="preserve"> </w:t>
      </w:r>
      <w:smartTag w:uri="urn:schemas-microsoft-com:office:smarttags" w:element="stockticker">
        <w:r w:rsidRPr="00AA25E6">
          <w:rPr>
            <w:rFonts w:ascii="Arial" w:hAnsi="Arial"/>
            <w:b/>
            <w:sz w:val="22"/>
            <w:szCs w:val="22"/>
            <w:u w:val="single"/>
          </w:rPr>
          <w:t>ROP</w:t>
        </w:r>
      </w:smartTag>
      <w:bookmarkEnd w:id="56"/>
    </w:p>
    <w:p w14:paraId="6DE3E4AE" w14:textId="77777777" w:rsidR="00DA5C18" w:rsidRPr="00AA25E6" w:rsidRDefault="00DA5C18">
      <w:pPr>
        <w:rPr>
          <w:rFonts w:ascii="Arial" w:hAnsi="Arial"/>
          <w:b/>
          <w:sz w:val="22"/>
          <w:szCs w:val="22"/>
        </w:rPr>
      </w:pPr>
    </w:p>
    <w:p w14:paraId="6848C07E" w14:textId="71EFA720" w:rsidR="00090A6D" w:rsidRPr="00AA25E6" w:rsidRDefault="00090A6D" w:rsidP="00CA19BB">
      <w:pPr>
        <w:jc w:val="both"/>
        <w:rPr>
          <w:rFonts w:ascii="Arial" w:hAnsi="Arial"/>
          <w:sz w:val="22"/>
          <w:szCs w:val="22"/>
        </w:rPr>
      </w:pPr>
      <w:r w:rsidRPr="00AA25E6">
        <w:rPr>
          <w:rFonts w:ascii="Arial" w:hAnsi="Arial"/>
          <w:sz w:val="22"/>
          <w:szCs w:val="22"/>
        </w:rPr>
        <w:t xml:space="preserve">The changes to the Draft ROP are identified below.  </w:t>
      </w:r>
      <w:r w:rsidR="00914E9B" w:rsidRPr="00AA25E6">
        <w:rPr>
          <w:rFonts w:ascii="Arial" w:hAnsi="Arial"/>
          <w:sz w:val="22"/>
          <w:szCs w:val="22"/>
        </w:rPr>
        <w:t>P</w:t>
      </w:r>
      <w:r w:rsidRPr="00AA25E6">
        <w:rPr>
          <w:rFonts w:ascii="Arial" w:hAnsi="Arial"/>
          <w:sz w:val="22"/>
          <w:szCs w:val="22"/>
        </w:rPr>
        <w:t>aragraph</w:t>
      </w:r>
      <w:r w:rsidR="00914E9B" w:rsidRPr="00AA25E6">
        <w:rPr>
          <w:rFonts w:ascii="Arial" w:hAnsi="Arial"/>
          <w:sz w:val="22"/>
          <w:szCs w:val="22"/>
        </w:rPr>
        <w:t xml:space="preserve"> numbers </w:t>
      </w:r>
      <w:r w:rsidR="00F40BAF" w:rsidRPr="00AA25E6">
        <w:rPr>
          <w:rFonts w:ascii="Arial" w:hAnsi="Arial"/>
          <w:sz w:val="22"/>
          <w:szCs w:val="22"/>
        </w:rPr>
        <w:t>1</w:t>
      </w:r>
      <w:r w:rsidR="00914E9B" w:rsidRPr="00AA25E6">
        <w:rPr>
          <w:rFonts w:ascii="Arial" w:hAnsi="Arial"/>
          <w:sz w:val="22"/>
          <w:szCs w:val="22"/>
        </w:rPr>
        <w:t xml:space="preserve"> through </w:t>
      </w:r>
      <w:r w:rsidR="00F40BAF" w:rsidRPr="00AA25E6">
        <w:rPr>
          <w:rFonts w:ascii="Arial" w:hAnsi="Arial"/>
          <w:sz w:val="22"/>
          <w:szCs w:val="22"/>
        </w:rPr>
        <w:t>10</w:t>
      </w:r>
      <w:r w:rsidRPr="00AA25E6">
        <w:rPr>
          <w:rFonts w:ascii="Arial" w:hAnsi="Arial"/>
          <w:sz w:val="22"/>
          <w:szCs w:val="22"/>
        </w:rPr>
        <w:t xml:space="preserve"> below correspond to the comment number</w:t>
      </w:r>
      <w:r w:rsidR="00914E9B" w:rsidRPr="00AA25E6">
        <w:rPr>
          <w:rFonts w:ascii="Arial" w:hAnsi="Arial"/>
          <w:sz w:val="22"/>
          <w:szCs w:val="22"/>
        </w:rPr>
        <w:t xml:space="preserve">s </w:t>
      </w:r>
      <w:r w:rsidR="00F40BAF" w:rsidRPr="00AA25E6">
        <w:rPr>
          <w:rFonts w:ascii="Arial" w:hAnsi="Arial"/>
          <w:sz w:val="22"/>
          <w:szCs w:val="22"/>
        </w:rPr>
        <w:t>1</w:t>
      </w:r>
      <w:r w:rsidR="00914E9B" w:rsidRPr="00AA25E6">
        <w:rPr>
          <w:rFonts w:ascii="Arial" w:hAnsi="Arial"/>
          <w:sz w:val="22"/>
          <w:szCs w:val="22"/>
        </w:rPr>
        <w:t xml:space="preserve"> through </w:t>
      </w:r>
      <w:r w:rsidR="00F40BAF" w:rsidRPr="00AA25E6">
        <w:rPr>
          <w:rFonts w:ascii="Arial" w:hAnsi="Arial"/>
          <w:sz w:val="22"/>
          <w:szCs w:val="22"/>
        </w:rPr>
        <w:t>10</w:t>
      </w:r>
      <w:r w:rsidRPr="00AA25E6">
        <w:rPr>
          <w:rFonts w:ascii="Arial" w:hAnsi="Arial"/>
          <w:sz w:val="22"/>
          <w:szCs w:val="22"/>
        </w:rPr>
        <w:t xml:space="preserve"> in the section above.</w:t>
      </w:r>
    </w:p>
    <w:p w14:paraId="4A0D87D3" w14:textId="77777777" w:rsidR="00090A6D" w:rsidRPr="00AA25E6" w:rsidRDefault="00090A6D">
      <w:pPr>
        <w:rPr>
          <w:rFonts w:ascii="Arial" w:hAnsi="Arial"/>
          <w:sz w:val="22"/>
        </w:rPr>
      </w:pPr>
    </w:p>
    <w:p w14:paraId="042092A1" w14:textId="48B183F6" w:rsidR="006A27EC" w:rsidRDefault="0018045F" w:rsidP="003A491D">
      <w:pPr>
        <w:pStyle w:val="ListParagraph"/>
        <w:numPr>
          <w:ilvl w:val="0"/>
          <w:numId w:val="14"/>
        </w:numPr>
        <w:spacing w:after="240" w:line="252" w:lineRule="auto"/>
        <w:ind w:left="360"/>
        <w:jc w:val="both"/>
        <w:rPr>
          <w:rFonts w:ascii="Arial" w:hAnsi="Arial" w:cs="Arial"/>
          <w:sz w:val="22"/>
          <w:szCs w:val="22"/>
        </w:rPr>
      </w:pPr>
      <w:bookmarkStart w:id="57" w:name="_Hlk503441631"/>
      <w:r w:rsidRPr="00165817">
        <w:rPr>
          <w:rFonts w:ascii="Arial" w:hAnsi="Arial" w:cs="Arial"/>
          <w:sz w:val="22"/>
          <w:szCs w:val="22"/>
        </w:rPr>
        <w:t xml:space="preserve">To clarify the relation between the Part 60 emission limit and the hourly emission limit, the MDEQ/AQD (AQD) has split each of the SO2, PM and NOX emission limit </w:t>
      </w:r>
      <w:r w:rsidR="00F508FE" w:rsidRPr="00165817">
        <w:rPr>
          <w:rFonts w:ascii="Arial" w:hAnsi="Arial" w:cs="Arial"/>
          <w:sz w:val="22"/>
          <w:szCs w:val="22"/>
        </w:rPr>
        <w:t>underlying applicabl</w:t>
      </w:r>
      <w:r w:rsidR="00DF4FB3" w:rsidRPr="00165817">
        <w:rPr>
          <w:rFonts w:ascii="Arial" w:hAnsi="Arial" w:cs="Arial"/>
          <w:sz w:val="22"/>
          <w:szCs w:val="22"/>
        </w:rPr>
        <w:t>e requirements cells</w:t>
      </w:r>
      <w:r w:rsidRPr="00165817">
        <w:rPr>
          <w:rFonts w:ascii="Arial" w:hAnsi="Arial" w:cs="Arial"/>
          <w:sz w:val="22"/>
          <w:szCs w:val="22"/>
        </w:rPr>
        <w:t xml:space="preserve"> in EUBOILER1, I.1, 2 and 3 into two rows and added the underlying applicable requirement of R</w:t>
      </w:r>
      <w:r w:rsidR="00CA19BB">
        <w:rPr>
          <w:rFonts w:ascii="Arial" w:hAnsi="Arial" w:cs="Arial"/>
          <w:sz w:val="22"/>
          <w:szCs w:val="22"/>
        </w:rPr>
        <w:t> </w:t>
      </w:r>
      <w:r w:rsidRPr="00165817">
        <w:rPr>
          <w:rFonts w:ascii="Arial" w:hAnsi="Arial" w:cs="Arial"/>
          <w:sz w:val="22"/>
          <w:szCs w:val="22"/>
        </w:rPr>
        <w:t>336.1201(3) to each hourly limit.</w:t>
      </w:r>
    </w:p>
    <w:p w14:paraId="0BD32467" w14:textId="77777777" w:rsidR="003A491D" w:rsidRDefault="003A491D" w:rsidP="003A491D">
      <w:pPr>
        <w:pStyle w:val="ListParagraph"/>
        <w:spacing w:after="240" w:line="252" w:lineRule="auto"/>
        <w:ind w:left="360"/>
        <w:jc w:val="both"/>
        <w:rPr>
          <w:rFonts w:ascii="Arial" w:hAnsi="Arial" w:cs="Arial"/>
          <w:sz w:val="22"/>
          <w:szCs w:val="22"/>
        </w:rPr>
      </w:pPr>
    </w:p>
    <w:bookmarkEnd w:id="57"/>
    <w:p w14:paraId="29015EB8" w14:textId="77777777" w:rsidR="000F73C3" w:rsidRPr="00165817" w:rsidRDefault="006A27EC" w:rsidP="00220C25">
      <w:pPr>
        <w:pStyle w:val="ListParagraph"/>
        <w:numPr>
          <w:ilvl w:val="0"/>
          <w:numId w:val="14"/>
        </w:numPr>
        <w:ind w:left="360"/>
        <w:jc w:val="both"/>
        <w:rPr>
          <w:rFonts w:ascii="Arial" w:hAnsi="Arial" w:cs="Arial"/>
          <w:sz w:val="22"/>
          <w:szCs w:val="22"/>
        </w:rPr>
      </w:pPr>
      <w:r w:rsidRPr="00165817">
        <w:rPr>
          <w:rFonts w:ascii="Arial" w:hAnsi="Arial" w:cs="Arial"/>
          <w:sz w:val="22"/>
          <w:szCs w:val="22"/>
        </w:rPr>
        <w:t>No changes were made to the Draft ROP in response to USEPA comment number 2.</w:t>
      </w:r>
      <w:r w:rsidR="00090A6D" w:rsidRPr="00165817">
        <w:rPr>
          <w:rFonts w:ascii="Arial" w:hAnsi="Arial" w:cs="Arial"/>
          <w:sz w:val="22"/>
          <w:szCs w:val="22"/>
        </w:rPr>
        <w:t xml:space="preserve">  </w:t>
      </w:r>
    </w:p>
    <w:p w14:paraId="349B8619" w14:textId="77777777" w:rsidR="00EB5665" w:rsidRPr="00165817" w:rsidRDefault="00EB5665" w:rsidP="00165817">
      <w:pPr>
        <w:pStyle w:val="ListParagraph"/>
        <w:jc w:val="both"/>
        <w:rPr>
          <w:rFonts w:ascii="Arial" w:hAnsi="Arial" w:cs="Arial"/>
          <w:sz w:val="22"/>
          <w:szCs w:val="22"/>
        </w:rPr>
      </w:pPr>
    </w:p>
    <w:p w14:paraId="4D742AF9" w14:textId="582E3FD2" w:rsidR="00EB5665" w:rsidRPr="00165817" w:rsidRDefault="00EB5665" w:rsidP="00220C25">
      <w:pPr>
        <w:pStyle w:val="ListParagraph"/>
        <w:numPr>
          <w:ilvl w:val="0"/>
          <w:numId w:val="17"/>
        </w:numPr>
        <w:ind w:left="360"/>
        <w:jc w:val="both"/>
        <w:rPr>
          <w:rFonts w:ascii="Arial" w:hAnsi="Arial" w:cs="Arial"/>
          <w:sz w:val="22"/>
          <w:szCs w:val="22"/>
        </w:rPr>
      </w:pPr>
      <w:r w:rsidRPr="00165817">
        <w:rPr>
          <w:rFonts w:ascii="Arial" w:hAnsi="Arial" w:cs="Arial"/>
          <w:color w:val="000000" w:themeColor="text1"/>
          <w:sz w:val="22"/>
          <w:szCs w:val="22"/>
        </w:rPr>
        <w:t>The AQD has updated the EUBOILER1, Material Limits table with the appropriate UARs as follows: 40 CFR 279.11 for halogens, lead, cadmium, chromium, arsenic and flashpoint; 40 CFR 761.20(e) for PCB.</w:t>
      </w:r>
    </w:p>
    <w:p w14:paraId="7CA16DA4" w14:textId="77777777" w:rsidR="006A27EC" w:rsidRPr="00165817" w:rsidRDefault="006A27EC" w:rsidP="00220C25">
      <w:pPr>
        <w:pStyle w:val="ListParagraph"/>
        <w:ind w:left="360" w:hanging="360"/>
        <w:jc w:val="both"/>
        <w:rPr>
          <w:rFonts w:ascii="Arial" w:hAnsi="Arial" w:cs="Arial"/>
          <w:sz w:val="22"/>
          <w:szCs w:val="22"/>
        </w:rPr>
      </w:pPr>
    </w:p>
    <w:p w14:paraId="17BAE543" w14:textId="77777777" w:rsidR="005A04F8" w:rsidRPr="00165817" w:rsidRDefault="006A27EC"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 xml:space="preserve">No changes were made to the Draft ROP in response to USEPA comment number 4. </w:t>
      </w:r>
    </w:p>
    <w:p w14:paraId="57F82EF4" w14:textId="7383860F" w:rsidR="006A27EC" w:rsidRPr="00165817" w:rsidRDefault="006A27EC" w:rsidP="00220C25">
      <w:pPr>
        <w:pStyle w:val="ListParagraph"/>
        <w:ind w:left="360" w:hanging="360"/>
        <w:jc w:val="both"/>
        <w:rPr>
          <w:rFonts w:ascii="Arial" w:hAnsi="Arial" w:cs="Arial"/>
          <w:sz w:val="22"/>
          <w:szCs w:val="22"/>
        </w:rPr>
      </w:pPr>
      <w:r w:rsidRPr="00165817">
        <w:rPr>
          <w:rFonts w:ascii="Arial" w:hAnsi="Arial" w:cs="Arial"/>
          <w:sz w:val="22"/>
          <w:szCs w:val="22"/>
        </w:rPr>
        <w:t xml:space="preserve"> </w:t>
      </w:r>
    </w:p>
    <w:p w14:paraId="699C4692" w14:textId="77777777" w:rsidR="005D3CDE" w:rsidRPr="00165817" w:rsidRDefault="005D3CDE"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 xml:space="preserve">[AQD Designation </w:t>
      </w:r>
      <w:r w:rsidRPr="00165817">
        <w:rPr>
          <w:rFonts w:ascii="Arial" w:hAnsi="Arial" w:cs="Arial"/>
          <w:b/>
          <w:sz w:val="22"/>
          <w:szCs w:val="22"/>
        </w:rPr>
        <w:t>5.a.</w:t>
      </w:r>
      <w:r w:rsidRPr="00165817">
        <w:rPr>
          <w:rFonts w:ascii="Arial" w:hAnsi="Arial" w:cs="Arial"/>
          <w:sz w:val="22"/>
          <w:szCs w:val="22"/>
        </w:rPr>
        <w:t xml:space="preserve">]  </w:t>
      </w:r>
    </w:p>
    <w:p w14:paraId="61DA4380" w14:textId="5B79697F" w:rsidR="00855494" w:rsidRPr="00165817" w:rsidRDefault="005D3CDE" w:rsidP="00220C25">
      <w:pPr>
        <w:ind w:left="360"/>
        <w:jc w:val="both"/>
        <w:rPr>
          <w:rFonts w:ascii="Arial" w:hAnsi="Arial" w:cs="Arial"/>
          <w:sz w:val="22"/>
          <w:szCs w:val="22"/>
        </w:rPr>
      </w:pPr>
      <w:r w:rsidRPr="00165817">
        <w:rPr>
          <w:rFonts w:ascii="Arial" w:hAnsi="Arial" w:cs="Arial"/>
          <w:sz w:val="22"/>
          <w:szCs w:val="22"/>
        </w:rPr>
        <w:t xml:space="preserve">The following text has been added to EUEASTAUXBOILER SC V.1, “Testing of NOx emission rates shall be performed using EPA Method 7E…”   </w:t>
      </w:r>
    </w:p>
    <w:p w14:paraId="5BD10DCB" w14:textId="5344CAEF" w:rsidR="005D3CDE" w:rsidRPr="00165817" w:rsidRDefault="005D3CDE" w:rsidP="00165817">
      <w:pPr>
        <w:ind w:left="720"/>
        <w:jc w:val="both"/>
        <w:rPr>
          <w:rFonts w:ascii="Arial" w:hAnsi="Arial" w:cs="Arial"/>
          <w:sz w:val="22"/>
          <w:szCs w:val="22"/>
        </w:rPr>
      </w:pPr>
    </w:p>
    <w:p w14:paraId="112A24B8" w14:textId="337D4277" w:rsidR="005D3CDE" w:rsidRPr="00165817" w:rsidRDefault="005D3CDE" w:rsidP="00220C25">
      <w:pPr>
        <w:ind w:left="360"/>
        <w:jc w:val="both"/>
        <w:rPr>
          <w:rFonts w:ascii="Arial" w:hAnsi="Arial" w:cs="Arial"/>
          <w:sz w:val="22"/>
          <w:szCs w:val="22"/>
        </w:rPr>
      </w:pPr>
      <w:r w:rsidRPr="00165817">
        <w:rPr>
          <w:rFonts w:ascii="Arial" w:hAnsi="Arial" w:cs="Arial"/>
          <w:sz w:val="22"/>
          <w:szCs w:val="22"/>
        </w:rPr>
        <w:t>The following text has been added to EUWESTAUXBOILER SC V.2, “Testing of PM emission rates shall be performed using EPA Method 5…”, and SC V.3, “Testing of NOx emission rates shall be performed using EPA Method 7E...”</w:t>
      </w:r>
    </w:p>
    <w:p w14:paraId="26B911D8" w14:textId="77777777" w:rsidR="005D3CDE" w:rsidRPr="00165817" w:rsidRDefault="005D3CDE" w:rsidP="00220C25">
      <w:pPr>
        <w:pStyle w:val="ListParagraph"/>
        <w:ind w:left="360"/>
        <w:jc w:val="both"/>
        <w:rPr>
          <w:rFonts w:ascii="Arial" w:hAnsi="Arial" w:cs="Arial"/>
          <w:sz w:val="22"/>
          <w:szCs w:val="22"/>
        </w:rPr>
      </w:pPr>
    </w:p>
    <w:p w14:paraId="047CD74F" w14:textId="2646C179" w:rsidR="005D3CDE" w:rsidRPr="00165817" w:rsidRDefault="005D3CDE" w:rsidP="00220C25">
      <w:pPr>
        <w:pStyle w:val="ListParagraph"/>
        <w:ind w:left="360"/>
        <w:jc w:val="both"/>
        <w:rPr>
          <w:rFonts w:ascii="Arial" w:hAnsi="Arial" w:cs="Arial"/>
          <w:sz w:val="22"/>
          <w:szCs w:val="22"/>
        </w:rPr>
      </w:pPr>
      <w:r w:rsidRPr="002F2B72">
        <w:rPr>
          <w:rFonts w:ascii="Arial" w:hAnsi="Arial" w:cs="Arial"/>
          <w:sz w:val="22"/>
          <w:szCs w:val="22"/>
        </w:rPr>
        <w:t>[A</w:t>
      </w:r>
      <w:r w:rsidRPr="00165817">
        <w:rPr>
          <w:rFonts w:ascii="Arial" w:hAnsi="Arial" w:cs="Arial"/>
          <w:sz w:val="22"/>
          <w:szCs w:val="22"/>
        </w:rPr>
        <w:t xml:space="preserve">QD Designation </w:t>
      </w:r>
      <w:r w:rsidRPr="00165817">
        <w:rPr>
          <w:rFonts w:ascii="Arial" w:hAnsi="Arial" w:cs="Arial"/>
          <w:b/>
          <w:sz w:val="22"/>
          <w:szCs w:val="22"/>
        </w:rPr>
        <w:t>5.b.</w:t>
      </w:r>
      <w:r w:rsidRPr="002F2B72">
        <w:rPr>
          <w:rFonts w:ascii="Arial" w:hAnsi="Arial" w:cs="Arial"/>
          <w:sz w:val="22"/>
          <w:szCs w:val="22"/>
        </w:rPr>
        <w:t>]</w:t>
      </w:r>
      <w:r w:rsidRPr="00165817">
        <w:rPr>
          <w:rFonts w:ascii="Arial" w:hAnsi="Arial" w:cs="Arial"/>
          <w:sz w:val="22"/>
          <w:szCs w:val="22"/>
        </w:rPr>
        <w:t xml:space="preserve">  No changes were made to the Draft ROP in response to the USEPA comment.</w:t>
      </w:r>
    </w:p>
    <w:p w14:paraId="38D89AB1" w14:textId="77777777" w:rsidR="005D3CDE" w:rsidRPr="00165817" w:rsidRDefault="005D3CDE" w:rsidP="00165817">
      <w:pPr>
        <w:jc w:val="both"/>
        <w:rPr>
          <w:rFonts w:ascii="Arial" w:hAnsi="Arial" w:cs="Arial"/>
          <w:sz w:val="22"/>
          <w:szCs w:val="22"/>
        </w:rPr>
      </w:pPr>
    </w:p>
    <w:p w14:paraId="41BBAD0A" w14:textId="0D7C99FF" w:rsidR="00C157A9" w:rsidRPr="00165817" w:rsidRDefault="00C157A9"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 xml:space="preserve">No changes were made to the Draft ROP in response to USEPA comment number 6.  </w:t>
      </w:r>
    </w:p>
    <w:p w14:paraId="148E4175" w14:textId="43698261" w:rsidR="00855494" w:rsidRPr="00165817" w:rsidRDefault="00855494" w:rsidP="00220C25">
      <w:pPr>
        <w:ind w:left="360"/>
        <w:jc w:val="both"/>
        <w:rPr>
          <w:rFonts w:ascii="Arial" w:hAnsi="Arial" w:cs="Arial"/>
          <w:sz w:val="22"/>
          <w:szCs w:val="22"/>
        </w:rPr>
      </w:pPr>
    </w:p>
    <w:p w14:paraId="181E9F81" w14:textId="3AF902B6" w:rsidR="00D24F55" w:rsidRPr="00165817" w:rsidRDefault="00C157A9"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MDEQ/AQD has split the I.1 Time Period/Operating Scenario row into two cells.  The upper cell now identifies the time period as “As-fired fuel.”  The lower cell identifies the time period as “Hourly.”</w:t>
      </w:r>
    </w:p>
    <w:p w14:paraId="7DE9C832" w14:textId="77777777" w:rsidR="00C157A9" w:rsidRPr="00165817" w:rsidRDefault="00C157A9" w:rsidP="00220C25">
      <w:pPr>
        <w:ind w:left="360"/>
        <w:jc w:val="both"/>
        <w:rPr>
          <w:rFonts w:ascii="Arial" w:hAnsi="Arial" w:cs="Arial"/>
          <w:sz w:val="22"/>
          <w:szCs w:val="22"/>
        </w:rPr>
      </w:pPr>
    </w:p>
    <w:p w14:paraId="4774A24C" w14:textId="73F51DED" w:rsidR="00D24F55" w:rsidRPr="00165817" w:rsidRDefault="00C157A9"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 xml:space="preserve">The AQD added a reference to Appendix 1-3.1 to EUWESTAUXBOILER SC V.1.  </w:t>
      </w:r>
    </w:p>
    <w:p w14:paraId="011EE528" w14:textId="77777777" w:rsidR="00C157A9" w:rsidRPr="00165817" w:rsidRDefault="00C157A9" w:rsidP="00220C25">
      <w:pPr>
        <w:pStyle w:val="ListParagraph"/>
        <w:ind w:left="360"/>
        <w:jc w:val="both"/>
        <w:rPr>
          <w:rFonts w:ascii="Arial" w:hAnsi="Arial" w:cs="Arial"/>
          <w:sz w:val="22"/>
          <w:szCs w:val="22"/>
        </w:rPr>
      </w:pPr>
    </w:p>
    <w:p w14:paraId="6B669F74" w14:textId="30680130" w:rsidR="00C157A9" w:rsidRPr="00165817" w:rsidRDefault="00C157A9"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AQD changed three SC V.6 references to SC V.4.</w:t>
      </w:r>
    </w:p>
    <w:p w14:paraId="27C13D30" w14:textId="77777777" w:rsidR="00C157A9" w:rsidRPr="00165817" w:rsidRDefault="00C157A9" w:rsidP="00220C25">
      <w:pPr>
        <w:pStyle w:val="ListParagraph"/>
        <w:ind w:left="360"/>
        <w:jc w:val="both"/>
        <w:rPr>
          <w:rFonts w:ascii="Arial" w:hAnsi="Arial" w:cs="Arial"/>
          <w:sz w:val="22"/>
          <w:szCs w:val="22"/>
        </w:rPr>
      </w:pPr>
    </w:p>
    <w:p w14:paraId="15DD4DA4" w14:textId="6693D335" w:rsidR="00D24F55" w:rsidRPr="00165817" w:rsidRDefault="007474D4"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underlying applicable requirements of 40 CFR 75.2(a) and 40 CFR Part 75.1(b) have been added to FG-CTGS, VI.3.a.</w:t>
      </w:r>
    </w:p>
    <w:p w14:paraId="7F99D732" w14:textId="77777777" w:rsidR="007474D4" w:rsidRPr="00165817" w:rsidRDefault="007474D4" w:rsidP="00220C25">
      <w:pPr>
        <w:ind w:left="360"/>
        <w:jc w:val="both"/>
        <w:rPr>
          <w:rFonts w:ascii="Arial" w:hAnsi="Arial" w:cs="Arial"/>
          <w:sz w:val="22"/>
          <w:szCs w:val="22"/>
        </w:rPr>
      </w:pPr>
    </w:p>
    <w:p w14:paraId="3892978E" w14:textId="31031366" w:rsidR="000E3FF9" w:rsidRPr="00165817" w:rsidRDefault="00855494"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 xml:space="preserve">The AQD </w:t>
      </w:r>
      <w:r w:rsidR="00CB77B0" w:rsidRPr="00165817">
        <w:rPr>
          <w:rFonts w:ascii="Arial" w:hAnsi="Arial" w:cs="Arial"/>
          <w:sz w:val="22"/>
          <w:szCs w:val="22"/>
        </w:rPr>
        <w:t>deleted</w:t>
      </w:r>
      <w:r w:rsidRPr="00165817">
        <w:rPr>
          <w:rFonts w:ascii="Arial" w:hAnsi="Arial" w:cs="Arial"/>
          <w:sz w:val="22"/>
          <w:szCs w:val="22"/>
        </w:rPr>
        <w:t xml:space="preserve"> </w:t>
      </w:r>
      <w:r w:rsidR="000E3FF9" w:rsidRPr="00165817">
        <w:rPr>
          <w:rFonts w:ascii="Arial" w:hAnsi="Arial" w:cs="Arial"/>
          <w:sz w:val="22"/>
          <w:szCs w:val="22"/>
        </w:rPr>
        <w:t>condition EUBOILER1,</w:t>
      </w:r>
      <w:r w:rsidR="00CB77B0" w:rsidRPr="00165817">
        <w:rPr>
          <w:rFonts w:ascii="Arial" w:hAnsi="Arial" w:cs="Arial"/>
          <w:sz w:val="22"/>
          <w:szCs w:val="22"/>
        </w:rPr>
        <w:t xml:space="preserve"> VII.8 and inserted the appropriate template text at condition</w:t>
      </w:r>
      <w:r w:rsidR="000E3FF9" w:rsidRPr="00165817">
        <w:rPr>
          <w:rFonts w:ascii="Arial" w:hAnsi="Arial" w:cs="Arial"/>
          <w:sz w:val="22"/>
          <w:szCs w:val="22"/>
        </w:rPr>
        <w:t xml:space="preserve"> VII.4, “The permittee shall submit any performance test reports to the AQD Technical Programs Unit and District Office, in a format approved by the AQD</w:t>
      </w:r>
      <w:r w:rsidR="00FA0D11" w:rsidRPr="00165817">
        <w:rPr>
          <w:rFonts w:ascii="Arial" w:hAnsi="Arial" w:cs="Arial"/>
          <w:sz w:val="22"/>
          <w:szCs w:val="22"/>
        </w:rPr>
        <w:t xml:space="preserve"> within 60 days following last date of test</w:t>
      </w:r>
      <w:r w:rsidR="000E3FF9" w:rsidRPr="00165817">
        <w:rPr>
          <w:rFonts w:ascii="Arial" w:hAnsi="Arial" w:cs="Arial"/>
          <w:sz w:val="22"/>
          <w:szCs w:val="22"/>
        </w:rPr>
        <w:t xml:space="preserve">.  </w:t>
      </w:r>
      <w:r w:rsidR="000E3FF9" w:rsidRPr="00165817">
        <w:rPr>
          <w:rFonts w:ascii="Arial" w:hAnsi="Arial" w:cs="Arial"/>
          <w:b/>
          <w:sz w:val="22"/>
          <w:szCs w:val="22"/>
        </w:rPr>
        <w:t>(R</w:t>
      </w:r>
      <w:r w:rsidR="002F2B72">
        <w:rPr>
          <w:rFonts w:ascii="Arial" w:hAnsi="Arial" w:cs="Arial"/>
          <w:b/>
          <w:sz w:val="22"/>
          <w:szCs w:val="22"/>
        </w:rPr>
        <w:t> </w:t>
      </w:r>
      <w:r w:rsidR="000E3FF9" w:rsidRPr="00165817">
        <w:rPr>
          <w:rFonts w:ascii="Arial" w:hAnsi="Arial" w:cs="Arial"/>
          <w:b/>
          <w:sz w:val="22"/>
          <w:szCs w:val="22"/>
        </w:rPr>
        <w:t>336.1213(3)(c), R 336.2001(5)).</w:t>
      </w:r>
      <w:r w:rsidR="000E3FF9" w:rsidRPr="00165817">
        <w:rPr>
          <w:rFonts w:ascii="Arial" w:hAnsi="Arial" w:cs="Arial"/>
          <w:sz w:val="22"/>
          <w:szCs w:val="22"/>
        </w:rPr>
        <w:t>”  Subsequent conditions have been renumbered.</w:t>
      </w:r>
    </w:p>
    <w:p w14:paraId="7A3AC083" w14:textId="77777777" w:rsidR="00171640" w:rsidRPr="00165817" w:rsidRDefault="00171640" w:rsidP="00165817">
      <w:pPr>
        <w:pStyle w:val="ListParagraph"/>
        <w:jc w:val="both"/>
        <w:rPr>
          <w:rFonts w:ascii="Arial" w:hAnsi="Arial" w:cs="Arial"/>
          <w:sz w:val="22"/>
          <w:szCs w:val="22"/>
        </w:rPr>
      </w:pPr>
    </w:p>
    <w:p w14:paraId="097CD7A0" w14:textId="4171686F" w:rsidR="00171640" w:rsidRPr="00165817" w:rsidRDefault="00171640"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AQD added the following text to EUEASTAUXBOILER, V.1 to be consistent with current permit language, “</w:t>
      </w:r>
      <w:r w:rsidRPr="00165817">
        <w:rPr>
          <w:rFonts w:ascii="Arial" w:hAnsi="Arial" w:cs="Arial"/>
          <w:i/>
          <w:sz w:val="22"/>
          <w:szCs w:val="22"/>
        </w:rPr>
        <w:t>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Not less than 7 days before the test is conducted, permittee shall notify the AQD Technical Programs Unit and District Supervisor in writing of the time and place of the performance test.  The permittee must submit a complete report of the test results to the AQD Technical Programs Unit and District Office within 60 days following the last date of the test.</w:t>
      </w:r>
      <w:r w:rsidRPr="00165817">
        <w:rPr>
          <w:rFonts w:ascii="Arial" w:hAnsi="Arial" w:cs="Arial"/>
          <w:sz w:val="22"/>
          <w:szCs w:val="22"/>
        </w:rPr>
        <w:t>”</w:t>
      </w:r>
    </w:p>
    <w:p w14:paraId="01AAA1ED" w14:textId="77777777" w:rsidR="00AD2579" w:rsidRPr="00165817" w:rsidRDefault="00AD2579" w:rsidP="00220C25">
      <w:pPr>
        <w:pStyle w:val="ListParagraph"/>
        <w:ind w:left="360"/>
        <w:jc w:val="both"/>
        <w:rPr>
          <w:rFonts w:ascii="Arial" w:hAnsi="Arial" w:cs="Arial"/>
          <w:sz w:val="22"/>
          <w:szCs w:val="22"/>
        </w:rPr>
      </w:pPr>
    </w:p>
    <w:p w14:paraId="60D09488" w14:textId="2BA33235" w:rsidR="00AD2579" w:rsidRPr="00165817" w:rsidRDefault="00914E9B" w:rsidP="00220C25">
      <w:pPr>
        <w:pStyle w:val="ListParagraph"/>
        <w:numPr>
          <w:ilvl w:val="0"/>
          <w:numId w:val="19"/>
        </w:numPr>
        <w:ind w:left="360"/>
        <w:jc w:val="both"/>
        <w:rPr>
          <w:rFonts w:ascii="Arial" w:hAnsi="Arial" w:cs="Arial"/>
          <w:sz w:val="22"/>
          <w:szCs w:val="22"/>
        </w:rPr>
      </w:pPr>
      <w:bookmarkStart w:id="58" w:name="_Hlk503447124"/>
      <w:r w:rsidRPr="00165817">
        <w:rPr>
          <w:rFonts w:ascii="Arial" w:hAnsi="Arial" w:cs="Arial"/>
          <w:sz w:val="22"/>
          <w:szCs w:val="22"/>
        </w:rPr>
        <w:t>The AQD changed the EUWESTAUXBOILER, I.1 sulfur dioxide heat input time period/operating scenario from “</w:t>
      </w:r>
      <w:r w:rsidR="005908EE" w:rsidRPr="00165817">
        <w:rPr>
          <w:rFonts w:ascii="Arial" w:hAnsi="Arial" w:cs="Arial"/>
          <w:sz w:val="22"/>
          <w:szCs w:val="22"/>
        </w:rPr>
        <w:t>see note</w:t>
      </w:r>
      <w:r w:rsidRPr="00165817">
        <w:rPr>
          <w:rFonts w:ascii="Arial" w:hAnsi="Arial" w:cs="Arial"/>
          <w:sz w:val="22"/>
          <w:szCs w:val="22"/>
        </w:rPr>
        <w:t xml:space="preserve">” to “as-fired fuel.”  </w:t>
      </w:r>
      <w:r w:rsidR="005908EE" w:rsidRPr="00165817">
        <w:rPr>
          <w:rFonts w:ascii="Arial" w:hAnsi="Arial" w:cs="Arial"/>
          <w:sz w:val="22"/>
          <w:szCs w:val="22"/>
        </w:rPr>
        <w:t>This change was made specify the time period/operating scenario and</w:t>
      </w:r>
      <w:r w:rsidRPr="00165817">
        <w:rPr>
          <w:rFonts w:ascii="Arial" w:hAnsi="Arial" w:cs="Arial"/>
          <w:sz w:val="22"/>
          <w:szCs w:val="22"/>
        </w:rPr>
        <w:t xml:space="preserve"> to be consistent with other permits issued to DTE. </w:t>
      </w:r>
    </w:p>
    <w:p w14:paraId="491C2832" w14:textId="77777777" w:rsidR="00EF7EED" w:rsidRPr="00165817" w:rsidRDefault="00EF7EED" w:rsidP="00220C25">
      <w:pPr>
        <w:pStyle w:val="ListParagraph"/>
        <w:ind w:left="360"/>
        <w:jc w:val="both"/>
        <w:rPr>
          <w:rFonts w:ascii="Arial" w:hAnsi="Arial" w:cs="Arial"/>
          <w:sz w:val="22"/>
          <w:szCs w:val="22"/>
        </w:rPr>
      </w:pPr>
    </w:p>
    <w:bookmarkEnd w:id="58"/>
    <w:p w14:paraId="7EEBE2F8" w14:textId="62D4D3AB" w:rsidR="00917FED" w:rsidRPr="00165817" w:rsidRDefault="00917FED"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AQD changed the EUWESTAUXBOILER, I.1 sulfur dioxide pounds per hour time period/operating scenario from “</w:t>
      </w:r>
      <w:r w:rsidR="005908EE" w:rsidRPr="00165817">
        <w:rPr>
          <w:rFonts w:ascii="Arial" w:hAnsi="Arial" w:cs="Arial"/>
          <w:sz w:val="22"/>
          <w:szCs w:val="22"/>
        </w:rPr>
        <w:t>see note</w:t>
      </w:r>
      <w:r w:rsidRPr="00165817">
        <w:rPr>
          <w:rFonts w:ascii="Arial" w:hAnsi="Arial" w:cs="Arial"/>
          <w:sz w:val="22"/>
          <w:szCs w:val="22"/>
        </w:rPr>
        <w:t>” to “</w:t>
      </w:r>
      <w:r w:rsidR="005908EE" w:rsidRPr="00165817">
        <w:rPr>
          <w:rFonts w:ascii="Arial" w:hAnsi="Arial" w:cs="Arial"/>
          <w:sz w:val="22"/>
          <w:szCs w:val="22"/>
        </w:rPr>
        <w:t>hourly</w:t>
      </w:r>
      <w:r w:rsidRPr="00165817">
        <w:rPr>
          <w:rFonts w:ascii="Arial" w:hAnsi="Arial" w:cs="Arial"/>
          <w:sz w:val="22"/>
          <w:szCs w:val="22"/>
        </w:rPr>
        <w:t xml:space="preserve">.”  </w:t>
      </w:r>
      <w:bookmarkStart w:id="59" w:name="_Hlk503447364"/>
      <w:r w:rsidRPr="00165817">
        <w:rPr>
          <w:rFonts w:ascii="Arial" w:hAnsi="Arial" w:cs="Arial"/>
          <w:sz w:val="22"/>
          <w:szCs w:val="22"/>
        </w:rPr>
        <w:t xml:space="preserve">This change was made </w:t>
      </w:r>
      <w:r w:rsidR="005908EE" w:rsidRPr="00165817">
        <w:rPr>
          <w:rFonts w:ascii="Arial" w:hAnsi="Arial" w:cs="Arial"/>
          <w:sz w:val="22"/>
          <w:szCs w:val="22"/>
        </w:rPr>
        <w:t>specify the time period/operating scenario.</w:t>
      </w:r>
    </w:p>
    <w:p w14:paraId="1DF6EAB7" w14:textId="77777777" w:rsidR="009A1498" w:rsidRPr="00165817" w:rsidRDefault="009A1498" w:rsidP="00220C25">
      <w:pPr>
        <w:pStyle w:val="ListParagraph"/>
        <w:ind w:left="360"/>
        <w:jc w:val="both"/>
        <w:rPr>
          <w:rFonts w:ascii="Arial" w:hAnsi="Arial" w:cs="Arial"/>
          <w:sz w:val="22"/>
          <w:szCs w:val="22"/>
        </w:rPr>
      </w:pPr>
    </w:p>
    <w:p w14:paraId="19C9387E" w14:textId="57C7F7BC" w:rsidR="009A1498" w:rsidRPr="00165817" w:rsidRDefault="009A1498"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AQD changed the EUWESTAUXBOILER</w:t>
      </w:r>
      <w:r w:rsidR="00ED12AE" w:rsidRPr="00165817">
        <w:rPr>
          <w:rFonts w:ascii="Arial" w:hAnsi="Arial" w:cs="Arial"/>
          <w:sz w:val="22"/>
          <w:szCs w:val="22"/>
        </w:rPr>
        <w:t xml:space="preserve"> and FG-CTGS</w:t>
      </w:r>
      <w:r w:rsidRPr="00165817">
        <w:rPr>
          <w:rFonts w:ascii="Arial" w:hAnsi="Arial" w:cs="Arial"/>
          <w:sz w:val="22"/>
          <w:szCs w:val="22"/>
        </w:rPr>
        <w:t xml:space="preserve">, VII.4 by adding the following text to the end of the sentence, “within 60 days following last date of test.”  </w:t>
      </w:r>
    </w:p>
    <w:bookmarkEnd w:id="59"/>
    <w:p w14:paraId="62596E55" w14:textId="77777777" w:rsidR="00914E9B" w:rsidRPr="00165817" w:rsidRDefault="00914E9B" w:rsidP="00165817">
      <w:pPr>
        <w:pStyle w:val="ListParagraph"/>
        <w:jc w:val="both"/>
        <w:rPr>
          <w:rFonts w:ascii="Arial" w:hAnsi="Arial" w:cs="Arial"/>
          <w:sz w:val="22"/>
          <w:szCs w:val="22"/>
        </w:rPr>
      </w:pPr>
    </w:p>
    <w:p w14:paraId="23101651" w14:textId="4770DF54" w:rsidR="009427DF" w:rsidRPr="00165817" w:rsidRDefault="009427DF"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lastRenderedPageBreak/>
        <w:t xml:space="preserve">The AQD deleted condition EUWESTAUXBOILER, VII.8 and inserted the appropriate template text at condition VII.4, “The permittee shall submit any performance test reports to the AQD Technical Programs Unit and District Office, in a format approved by the AQD.  </w:t>
      </w:r>
      <w:r w:rsidRPr="00165817">
        <w:rPr>
          <w:rFonts w:ascii="Arial" w:hAnsi="Arial" w:cs="Arial"/>
          <w:b/>
          <w:sz w:val="22"/>
          <w:szCs w:val="22"/>
        </w:rPr>
        <w:t>(R 336.1213(3)(c), R</w:t>
      </w:r>
      <w:r w:rsidR="0096151F">
        <w:rPr>
          <w:rFonts w:ascii="Arial" w:hAnsi="Arial" w:cs="Arial"/>
          <w:b/>
          <w:sz w:val="22"/>
          <w:szCs w:val="22"/>
        </w:rPr>
        <w:t> </w:t>
      </w:r>
      <w:r w:rsidRPr="00165817">
        <w:rPr>
          <w:rFonts w:ascii="Arial" w:hAnsi="Arial" w:cs="Arial"/>
          <w:b/>
          <w:sz w:val="22"/>
          <w:szCs w:val="22"/>
        </w:rPr>
        <w:t>336.2001(5)).</w:t>
      </w:r>
      <w:r w:rsidRPr="00165817">
        <w:rPr>
          <w:rFonts w:ascii="Arial" w:hAnsi="Arial" w:cs="Arial"/>
          <w:sz w:val="22"/>
          <w:szCs w:val="22"/>
        </w:rPr>
        <w:t>”  Subsequent conditions have been renumbered.</w:t>
      </w:r>
    </w:p>
    <w:p w14:paraId="348039BE" w14:textId="77777777" w:rsidR="0068229B" w:rsidRPr="00165817" w:rsidRDefault="0068229B" w:rsidP="00220C25">
      <w:pPr>
        <w:pStyle w:val="ListParagraph"/>
        <w:ind w:left="360"/>
        <w:jc w:val="both"/>
        <w:rPr>
          <w:rFonts w:ascii="Arial" w:hAnsi="Arial" w:cs="Arial"/>
          <w:sz w:val="22"/>
          <w:szCs w:val="22"/>
        </w:rPr>
      </w:pPr>
    </w:p>
    <w:p w14:paraId="0921E991" w14:textId="37681A8F" w:rsidR="0068229B" w:rsidRPr="00165817" w:rsidRDefault="0068229B"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 xml:space="preserve">The </w:t>
      </w:r>
      <w:r w:rsidR="00451EEA" w:rsidRPr="00165817">
        <w:rPr>
          <w:rFonts w:ascii="Arial" w:hAnsi="Arial" w:cs="Arial"/>
          <w:sz w:val="22"/>
          <w:szCs w:val="22"/>
        </w:rPr>
        <w:t xml:space="preserve">installation date/modification date for EUCOLDCLEANER in the </w:t>
      </w:r>
      <w:r w:rsidRPr="00165817">
        <w:rPr>
          <w:rFonts w:ascii="Arial" w:hAnsi="Arial" w:cs="Arial"/>
          <w:sz w:val="22"/>
          <w:szCs w:val="22"/>
        </w:rPr>
        <w:t>emission unit</w:t>
      </w:r>
      <w:r w:rsidR="00451EEA" w:rsidRPr="00165817">
        <w:rPr>
          <w:rFonts w:ascii="Arial" w:hAnsi="Arial" w:cs="Arial"/>
          <w:sz w:val="22"/>
          <w:szCs w:val="22"/>
        </w:rPr>
        <w:t xml:space="preserve"> summary table was changed to NA.</w:t>
      </w:r>
      <w:r w:rsidRPr="00165817">
        <w:rPr>
          <w:rFonts w:ascii="Arial" w:hAnsi="Arial" w:cs="Arial"/>
          <w:sz w:val="22"/>
          <w:szCs w:val="22"/>
        </w:rPr>
        <w:t xml:space="preserve"> </w:t>
      </w:r>
    </w:p>
    <w:p w14:paraId="18B132C0" w14:textId="77777777" w:rsidR="0068229B" w:rsidRPr="00165817" w:rsidRDefault="0068229B" w:rsidP="00220C25">
      <w:pPr>
        <w:pStyle w:val="ListParagraph"/>
        <w:ind w:left="360"/>
        <w:jc w:val="both"/>
        <w:rPr>
          <w:rFonts w:ascii="Arial" w:hAnsi="Arial" w:cs="Arial"/>
          <w:sz w:val="22"/>
          <w:szCs w:val="22"/>
        </w:rPr>
      </w:pPr>
    </w:p>
    <w:p w14:paraId="3092183A" w14:textId="1F2FDE46" w:rsidR="0068229B" w:rsidRPr="00165817" w:rsidRDefault="0068229B"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emission unit ID</w:t>
      </w:r>
      <w:r w:rsidR="00934091" w:rsidRPr="00165817">
        <w:rPr>
          <w:rFonts w:ascii="Arial" w:hAnsi="Arial" w:cs="Arial"/>
          <w:sz w:val="22"/>
          <w:szCs w:val="22"/>
        </w:rPr>
        <w:t>s</w:t>
      </w:r>
      <w:r w:rsidRPr="00165817">
        <w:rPr>
          <w:rFonts w:ascii="Arial" w:hAnsi="Arial" w:cs="Arial"/>
          <w:sz w:val="22"/>
          <w:szCs w:val="22"/>
        </w:rPr>
        <w:t xml:space="preserve"> of </w:t>
      </w:r>
      <w:r w:rsidR="00451EEA" w:rsidRPr="00165817">
        <w:rPr>
          <w:rFonts w:ascii="Arial" w:hAnsi="Arial" w:cs="Arial"/>
          <w:sz w:val="22"/>
          <w:szCs w:val="22"/>
        </w:rPr>
        <w:t>“</w:t>
      </w:r>
      <w:r w:rsidR="00934091" w:rsidRPr="00165817">
        <w:rPr>
          <w:rFonts w:ascii="Arial" w:hAnsi="Arial" w:cs="Arial"/>
          <w:sz w:val="22"/>
          <w:szCs w:val="22"/>
        </w:rPr>
        <w:t>EUCOLDCLEANER” and “</w:t>
      </w:r>
      <w:r w:rsidRPr="00165817">
        <w:rPr>
          <w:rFonts w:ascii="Arial" w:hAnsi="Arial" w:cs="Arial"/>
          <w:sz w:val="22"/>
          <w:szCs w:val="22"/>
        </w:rPr>
        <w:t>EU03-4</w:t>
      </w:r>
      <w:r w:rsidR="00451EEA" w:rsidRPr="00165817">
        <w:rPr>
          <w:rFonts w:ascii="Arial" w:hAnsi="Arial" w:cs="Arial"/>
          <w:sz w:val="22"/>
          <w:szCs w:val="22"/>
        </w:rPr>
        <w:t>”</w:t>
      </w:r>
      <w:r w:rsidRPr="00165817">
        <w:rPr>
          <w:rFonts w:ascii="Arial" w:hAnsi="Arial" w:cs="Arial"/>
          <w:sz w:val="22"/>
          <w:szCs w:val="22"/>
        </w:rPr>
        <w:t xml:space="preserve"> was added to FGCOLDCLEANERS in the flexible group summary table and</w:t>
      </w:r>
      <w:r w:rsidR="00451EEA" w:rsidRPr="00165817">
        <w:rPr>
          <w:rFonts w:ascii="Arial" w:hAnsi="Arial" w:cs="Arial"/>
          <w:sz w:val="22"/>
          <w:szCs w:val="22"/>
        </w:rPr>
        <w:t xml:space="preserve"> “</w:t>
      </w:r>
      <w:r w:rsidR="00934091" w:rsidRPr="00165817">
        <w:rPr>
          <w:rFonts w:ascii="Arial" w:hAnsi="Arial" w:cs="Arial"/>
          <w:sz w:val="22"/>
          <w:szCs w:val="22"/>
        </w:rPr>
        <w:t xml:space="preserve">EUCOLDCLEANER, </w:t>
      </w:r>
      <w:r w:rsidR="00451EEA" w:rsidRPr="00165817">
        <w:rPr>
          <w:rFonts w:ascii="Arial" w:hAnsi="Arial" w:cs="Arial"/>
          <w:sz w:val="22"/>
          <w:szCs w:val="22"/>
        </w:rPr>
        <w:t>EU03-4 machine shop parts cleaner”</w:t>
      </w:r>
      <w:r w:rsidRPr="00165817">
        <w:rPr>
          <w:rFonts w:ascii="Arial" w:hAnsi="Arial" w:cs="Arial"/>
          <w:sz w:val="22"/>
          <w:szCs w:val="22"/>
        </w:rPr>
        <w:t xml:space="preserve"> in the FGCOLDCLEANERS table.</w:t>
      </w:r>
    </w:p>
    <w:p w14:paraId="670C82A0" w14:textId="77777777" w:rsidR="0068229B" w:rsidRPr="00165817" w:rsidRDefault="0068229B" w:rsidP="00220C25">
      <w:pPr>
        <w:pStyle w:val="ListParagraph"/>
        <w:ind w:left="360"/>
        <w:jc w:val="both"/>
        <w:rPr>
          <w:rFonts w:ascii="Arial" w:hAnsi="Arial" w:cs="Arial"/>
          <w:sz w:val="22"/>
          <w:szCs w:val="22"/>
        </w:rPr>
      </w:pPr>
    </w:p>
    <w:p w14:paraId="0537ABF1" w14:textId="21281CE1" w:rsidR="0068229B" w:rsidRPr="00165817" w:rsidRDefault="0068229B"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FGRULE290 table was replaced with the current</w:t>
      </w:r>
      <w:r w:rsidR="00934091" w:rsidRPr="00165817">
        <w:rPr>
          <w:rFonts w:ascii="Arial" w:hAnsi="Arial" w:cs="Arial"/>
          <w:sz w:val="22"/>
          <w:szCs w:val="22"/>
        </w:rPr>
        <w:t xml:space="preserve"> FGRULE290</w:t>
      </w:r>
      <w:r w:rsidRPr="00165817">
        <w:rPr>
          <w:rFonts w:ascii="Arial" w:hAnsi="Arial" w:cs="Arial"/>
          <w:sz w:val="22"/>
          <w:szCs w:val="22"/>
        </w:rPr>
        <w:t xml:space="preserve"> template.</w:t>
      </w:r>
    </w:p>
    <w:p w14:paraId="1BEDCB12" w14:textId="77777777" w:rsidR="00A26262" w:rsidRPr="00165817" w:rsidRDefault="00A26262" w:rsidP="00220C25">
      <w:pPr>
        <w:pStyle w:val="ListParagraph"/>
        <w:ind w:left="360"/>
        <w:jc w:val="both"/>
        <w:rPr>
          <w:rFonts w:ascii="Arial" w:hAnsi="Arial" w:cs="Arial"/>
          <w:sz w:val="22"/>
          <w:szCs w:val="22"/>
        </w:rPr>
      </w:pPr>
    </w:p>
    <w:p w14:paraId="391BE638" w14:textId="33735EA1" w:rsidR="0095259C" w:rsidRPr="00165817" w:rsidRDefault="00A26262"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 xml:space="preserve">The AQD changed the text of Appendix 3.1-1, Fuel Oil Sulfur Monitoring to, “For EUBOILER1 and EUWESTAUXBOILER, the permittee shall maintain a complete record of fuel oil specifications and/or fuel analysis for each delivery, or storage tank, of fuel oil. </w:t>
      </w:r>
      <w:r w:rsidR="0096151F">
        <w:rPr>
          <w:rFonts w:ascii="Arial" w:hAnsi="Arial" w:cs="Arial"/>
          <w:sz w:val="22"/>
          <w:szCs w:val="22"/>
        </w:rPr>
        <w:t xml:space="preserve"> </w:t>
      </w:r>
      <w:r w:rsidRPr="00165817">
        <w:rPr>
          <w:rFonts w:ascii="Arial" w:hAnsi="Arial" w:cs="Arial"/>
          <w:sz w:val="22"/>
          <w:szCs w:val="22"/>
        </w:rPr>
        <w:t>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  The fuel analyses values shall be used to calculate SO2emission rates from EUWESTAUXBOILER.”</w:t>
      </w:r>
    </w:p>
    <w:p w14:paraId="6C826C98" w14:textId="77777777" w:rsidR="00732360" w:rsidRPr="00165817" w:rsidRDefault="00732360" w:rsidP="00165817">
      <w:pPr>
        <w:pStyle w:val="ListParagraph"/>
        <w:jc w:val="both"/>
        <w:rPr>
          <w:rFonts w:ascii="Arial" w:hAnsi="Arial" w:cs="Arial"/>
          <w:sz w:val="22"/>
          <w:szCs w:val="22"/>
        </w:rPr>
      </w:pPr>
    </w:p>
    <w:p w14:paraId="65BCE312" w14:textId="61F06BA0" w:rsidR="00732360" w:rsidRPr="00165817" w:rsidRDefault="00732360"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Section 1, E. NON-APPLICABLE REQUIREMENTS, the template text was changed to, “At the time of the ROP issuance, the AQD has determined that no non-applicable requirements have been identified for incorporation into the permit shield provision set forth in the General Conditions in Part A pursuant to Rule 213(6)(a)(ii).”  Also, the table was removed.</w:t>
      </w:r>
    </w:p>
    <w:p w14:paraId="2E02DDF1" w14:textId="77777777" w:rsidR="00137369" w:rsidRPr="00165817" w:rsidRDefault="00137369" w:rsidP="00220C25">
      <w:pPr>
        <w:pStyle w:val="ListParagraph"/>
        <w:ind w:left="360"/>
        <w:jc w:val="both"/>
        <w:rPr>
          <w:rFonts w:ascii="Arial" w:hAnsi="Arial" w:cs="Arial"/>
          <w:sz w:val="22"/>
          <w:szCs w:val="22"/>
        </w:rPr>
      </w:pPr>
    </w:p>
    <w:p w14:paraId="5F5DD20F" w14:textId="480E9B85" w:rsidR="00137369" w:rsidRPr="00165817" w:rsidRDefault="00137369"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Appendix 6-1. Permits to Install</w:t>
      </w:r>
      <w:r w:rsidR="009F76E2" w:rsidRPr="00165817">
        <w:rPr>
          <w:rFonts w:ascii="Arial" w:hAnsi="Arial" w:cs="Arial"/>
          <w:sz w:val="22"/>
          <w:szCs w:val="22"/>
        </w:rPr>
        <w:t>; NA in each cell has been replaced with the appropriate information.</w:t>
      </w:r>
    </w:p>
    <w:p w14:paraId="4E950887" w14:textId="77777777" w:rsidR="00251AF7" w:rsidRPr="00165817" w:rsidRDefault="00251AF7" w:rsidP="00220C25">
      <w:pPr>
        <w:pStyle w:val="ListParagraph"/>
        <w:ind w:left="360"/>
        <w:jc w:val="both"/>
        <w:rPr>
          <w:rFonts w:ascii="Arial" w:hAnsi="Arial" w:cs="Arial"/>
          <w:sz w:val="22"/>
          <w:szCs w:val="22"/>
        </w:rPr>
      </w:pPr>
    </w:p>
    <w:p w14:paraId="6415C652" w14:textId="70DDA2F7" w:rsidR="00251AF7" w:rsidRPr="00165817" w:rsidRDefault="00251AF7"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The AQD</w:t>
      </w:r>
      <w:r w:rsidR="00A25361" w:rsidRPr="00165817">
        <w:rPr>
          <w:rFonts w:ascii="Arial" w:hAnsi="Arial" w:cs="Arial"/>
          <w:sz w:val="22"/>
          <w:szCs w:val="22"/>
        </w:rPr>
        <w:t xml:space="preserve"> changed the FG-CTGS</w:t>
      </w:r>
      <w:r w:rsidR="002F4687" w:rsidRPr="00165817">
        <w:rPr>
          <w:rFonts w:ascii="Arial" w:hAnsi="Arial" w:cs="Arial"/>
          <w:sz w:val="22"/>
          <w:szCs w:val="22"/>
        </w:rPr>
        <w:t>, I.3 and I.</w:t>
      </w:r>
      <w:r w:rsidR="00935E29" w:rsidRPr="00165817">
        <w:rPr>
          <w:rFonts w:ascii="Arial" w:hAnsi="Arial" w:cs="Arial"/>
          <w:sz w:val="22"/>
          <w:szCs w:val="22"/>
        </w:rPr>
        <w:t>5</w:t>
      </w:r>
      <w:r w:rsidR="002F4687" w:rsidRPr="00165817">
        <w:rPr>
          <w:rFonts w:ascii="Arial" w:hAnsi="Arial" w:cs="Arial"/>
          <w:sz w:val="22"/>
          <w:szCs w:val="22"/>
        </w:rPr>
        <w:t xml:space="preserve"> monitoring/test methods from SC V.6 to SC V.4</w:t>
      </w:r>
      <w:r w:rsidR="00C157A9" w:rsidRPr="00165817">
        <w:rPr>
          <w:rFonts w:ascii="Arial" w:hAnsi="Arial" w:cs="Arial"/>
          <w:sz w:val="22"/>
          <w:szCs w:val="22"/>
        </w:rPr>
        <w:t>.</w:t>
      </w:r>
    </w:p>
    <w:p w14:paraId="09D05424" w14:textId="77777777" w:rsidR="00962160" w:rsidRPr="00165817" w:rsidRDefault="00962160" w:rsidP="00220C25">
      <w:pPr>
        <w:pStyle w:val="ListParagraph"/>
        <w:ind w:left="360"/>
        <w:jc w:val="both"/>
        <w:rPr>
          <w:rFonts w:ascii="Arial" w:hAnsi="Arial" w:cs="Arial"/>
          <w:sz w:val="22"/>
          <w:szCs w:val="22"/>
        </w:rPr>
      </w:pPr>
    </w:p>
    <w:p w14:paraId="494349E3" w14:textId="0C4F459D" w:rsidR="00962160" w:rsidRPr="00165817" w:rsidRDefault="00962160" w:rsidP="00220C25">
      <w:pPr>
        <w:pStyle w:val="ListParagraph"/>
        <w:numPr>
          <w:ilvl w:val="0"/>
          <w:numId w:val="19"/>
        </w:numPr>
        <w:ind w:left="360"/>
        <w:jc w:val="both"/>
        <w:rPr>
          <w:rFonts w:ascii="Arial" w:hAnsi="Arial" w:cs="Arial"/>
          <w:sz w:val="22"/>
          <w:szCs w:val="22"/>
        </w:rPr>
      </w:pPr>
      <w:r w:rsidRPr="00165817">
        <w:rPr>
          <w:rFonts w:ascii="Arial" w:hAnsi="Arial" w:cs="Arial"/>
          <w:sz w:val="22"/>
          <w:szCs w:val="22"/>
        </w:rPr>
        <w:t xml:space="preserve">The AQD changed the FG-CTGS, V.1 text to, “In accordance with 40 CFR 75, Appendix E, the permittee shall retest the NOx emission rate of each turbine at least once every 20 calendar quarters.  Testing shall be performed using test methods specified in 40CFR60.335 and 40 CFR 60, Appendix A. </w:t>
      </w:r>
      <w:r w:rsidR="0096151F">
        <w:rPr>
          <w:rFonts w:ascii="Arial" w:hAnsi="Arial" w:cs="Arial"/>
          <w:sz w:val="22"/>
          <w:szCs w:val="22"/>
        </w:rPr>
        <w:t xml:space="preserve"> </w:t>
      </w:r>
      <w:r w:rsidRPr="00165817">
        <w:rPr>
          <w:rFonts w:ascii="Arial" w:hAnsi="Arial" w:cs="Arial"/>
          <w:sz w:val="22"/>
          <w:szCs w:val="22"/>
        </w:rPr>
        <w:t>The permittee shall perform NOx testing for at least four (4) approximately equally spaced operating load points, ranging from the maximum operating load to the minimum operating load.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Not less than 7 days before the test is conducted, permittee shall notify the AQD Technical Programs Unit and District Supervisor in writing of the time and place of the performance test.  The permittee must submit a complete report of the test results to the AQD Technical Programs Unit and District Office within 60 days following the last date of the test.</w:t>
      </w:r>
      <w:r w:rsidRPr="00165817">
        <w:rPr>
          <w:rFonts w:ascii="Arial" w:hAnsi="Arial" w:cs="Arial"/>
          <w:sz w:val="22"/>
          <w:szCs w:val="22"/>
          <w:vertAlign w:val="superscript"/>
        </w:rPr>
        <w:t>2</w:t>
      </w:r>
      <w:r w:rsidRPr="00165817">
        <w:rPr>
          <w:rFonts w:ascii="Arial" w:hAnsi="Arial" w:cs="Arial"/>
          <w:sz w:val="22"/>
          <w:szCs w:val="22"/>
        </w:rPr>
        <w:t xml:space="preserve">  </w:t>
      </w:r>
      <w:r w:rsidRPr="00165817">
        <w:rPr>
          <w:rFonts w:ascii="Arial" w:hAnsi="Arial" w:cs="Arial"/>
          <w:b/>
          <w:sz w:val="22"/>
          <w:szCs w:val="22"/>
        </w:rPr>
        <w:t>(R</w:t>
      </w:r>
      <w:r w:rsidR="0096151F">
        <w:rPr>
          <w:rFonts w:ascii="Arial" w:hAnsi="Arial" w:cs="Arial"/>
          <w:b/>
          <w:sz w:val="22"/>
          <w:szCs w:val="22"/>
        </w:rPr>
        <w:t> </w:t>
      </w:r>
      <w:r w:rsidRPr="00165817">
        <w:rPr>
          <w:rFonts w:ascii="Arial" w:hAnsi="Arial" w:cs="Arial"/>
          <w:b/>
          <w:sz w:val="22"/>
          <w:szCs w:val="22"/>
        </w:rPr>
        <w:t>336.1213(3), R 336.2001, R 336.2003, R</w:t>
      </w:r>
      <w:r w:rsidR="002F2B72">
        <w:rPr>
          <w:rFonts w:ascii="Arial" w:hAnsi="Arial" w:cs="Arial"/>
          <w:b/>
          <w:sz w:val="22"/>
          <w:szCs w:val="22"/>
        </w:rPr>
        <w:t> </w:t>
      </w:r>
      <w:r w:rsidRPr="00165817">
        <w:rPr>
          <w:rFonts w:ascii="Arial" w:hAnsi="Arial" w:cs="Arial"/>
          <w:b/>
          <w:sz w:val="22"/>
          <w:szCs w:val="22"/>
        </w:rPr>
        <w:t>336.2004, 40 CFR Subparts GG, 40 CFR Part 60, Appendix A, 40 CFR 75 Appendix E, 40 CFR 75, 40 CFR 60.8 and 60.335)</w:t>
      </w:r>
      <w:r w:rsidRPr="00165817">
        <w:rPr>
          <w:rFonts w:ascii="Arial" w:hAnsi="Arial" w:cs="Arial"/>
          <w:sz w:val="22"/>
          <w:szCs w:val="22"/>
        </w:rPr>
        <w:t>.”  This change was made to insert current template language and specific text applicable to FG-CTGS.</w:t>
      </w:r>
    </w:p>
    <w:p w14:paraId="36DA145D" w14:textId="77777777" w:rsidR="00962160" w:rsidRPr="00165817" w:rsidRDefault="00962160" w:rsidP="00165817">
      <w:pPr>
        <w:pStyle w:val="ListParagraph"/>
        <w:jc w:val="both"/>
        <w:rPr>
          <w:rFonts w:ascii="Arial" w:hAnsi="Arial" w:cs="Arial"/>
          <w:sz w:val="22"/>
          <w:szCs w:val="22"/>
        </w:rPr>
      </w:pPr>
    </w:p>
    <w:p w14:paraId="63CBE088" w14:textId="089BEEBC" w:rsidR="00962160" w:rsidRPr="00165817" w:rsidRDefault="00962160" w:rsidP="00220C25">
      <w:pPr>
        <w:pStyle w:val="ListParagraph"/>
        <w:numPr>
          <w:ilvl w:val="0"/>
          <w:numId w:val="19"/>
        </w:numPr>
        <w:ind w:left="360"/>
        <w:jc w:val="both"/>
        <w:rPr>
          <w:rFonts w:ascii="Arial" w:hAnsi="Arial" w:cs="Arial"/>
          <w:b/>
          <w:sz w:val="22"/>
          <w:szCs w:val="22"/>
        </w:rPr>
      </w:pPr>
      <w:r w:rsidRPr="00165817">
        <w:rPr>
          <w:rFonts w:ascii="Arial" w:hAnsi="Arial" w:cs="Arial"/>
          <w:sz w:val="22"/>
          <w:szCs w:val="22"/>
        </w:rPr>
        <w:t>The AQD changed the FG-CTGS, V.</w:t>
      </w:r>
      <w:r w:rsidR="000749FF" w:rsidRPr="00165817">
        <w:rPr>
          <w:rFonts w:ascii="Arial" w:hAnsi="Arial" w:cs="Arial"/>
          <w:sz w:val="22"/>
          <w:szCs w:val="22"/>
        </w:rPr>
        <w:t>2</w:t>
      </w:r>
      <w:r w:rsidRPr="00165817">
        <w:rPr>
          <w:rFonts w:ascii="Arial" w:hAnsi="Arial" w:cs="Arial"/>
          <w:sz w:val="22"/>
          <w:szCs w:val="22"/>
        </w:rPr>
        <w:t xml:space="preserve"> text to, “Permittee shall verify CO emission rates from each turbine in accordance with Department requirements. </w:t>
      </w:r>
      <w:r w:rsidR="0096151F">
        <w:rPr>
          <w:rFonts w:ascii="Arial" w:hAnsi="Arial" w:cs="Arial"/>
          <w:sz w:val="22"/>
          <w:szCs w:val="22"/>
        </w:rPr>
        <w:t xml:space="preserve"> </w:t>
      </w:r>
      <w:r w:rsidRPr="00165817">
        <w:rPr>
          <w:rFonts w:ascii="Arial" w:hAnsi="Arial" w:cs="Arial"/>
          <w:sz w:val="22"/>
          <w:szCs w:val="22"/>
        </w:rPr>
        <w:t xml:space="preserve">Testing must be done for each turbine in conjunction with NOx testing and under the same operating load and test averaging period requirements.  Testing shall be performed using test methods specified in 40 CFR 60, Appendix A.  An alternate method, or a modification to the approved EPA Method, may be specified in an AQD-approved Test Protocol.  No less than 30 days prior to testing, the permittee shall submit a complete </w:t>
      </w:r>
      <w:r w:rsidRPr="00165817">
        <w:rPr>
          <w:rFonts w:ascii="Arial" w:hAnsi="Arial" w:cs="Arial"/>
          <w:sz w:val="22"/>
          <w:szCs w:val="22"/>
        </w:rPr>
        <w:lastRenderedPageBreak/>
        <w:t>test plan to the AQD Technical Programs Unit and District Office.  The AQD must approve the final plan prior to testing, including any modifications to the method in the test protocol that are proposed after initial submittal.  Not less than 7 days before the test is conducted, permittee shall notify the AQD Technical Programs Unit and District Supervisor in writing of the time and place of the performance test.  The permittee must submit a complete report of the test results to the AQD Technical Programs Unit and District Office within 60 days following the last date of the test.</w:t>
      </w:r>
      <w:r w:rsidRPr="00165817">
        <w:rPr>
          <w:rFonts w:ascii="Arial" w:hAnsi="Arial" w:cs="Arial"/>
          <w:sz w:val="22"/>
          <w:szCs w:val="22"/>
          <w:vertAlign w:val="superscript"/>
        </w:rPr>
        <w:t>2</w:t>
      </w:r>
      <w:r w:rsidRPr="00165817">
        <w:rPr>
          <w:rFonts w:ascii="Arial" w:hAnsi="Arial" w:cs="Arial"/>
          <w:sz w:val="22"/>
          <w:szCs w:val="22"/>
        </w:rPr>
        <w:t xml:space="preserve">  </w:t>
      </w:r>
      <w:r w:rsidRPr="00165817">
        <w:rPr>
          <w:rFonts w:ascii="Arial" w:hAnsi="Arial" w:cs="Arial"/>
          <w:b/>
          <w:sz w:val="22"/>
          <w:szCs w:val="22"/>
        </w:rPr>
        <w:t>(R</w:t>
      </w:r>
      <w:r w:rsidR="0096151F">
        <w:rPr>
          <w:rFonts w:ascii="Arial" w:hAnsi="Arial" w:cs="Arial"/>
          <w:b/>
          <w:sz w:val="22"/>
          <w:szCs w:val="22"/>
        </w:rPr>
        <w:t> </w:t>
      </w:r>
      <w:r w:rsidRPr="00165817">
        <w:rPr>
          <w:rFonts w:ascii="Arial" w:hAnsi="Arial" w:cs="Arial"/>
          <w:b/>
          <w:sz w:val="22"/>
          <w:szCs w:val="22"/>
        </w:rPr>
        <w:t>336.1213(3), R 336.2001, R 336.2003, R 336.2004)</w:t>
      </w:r>
      <w:r w:rsidRPr="00165817">
        <w:rPr>
          <w:rFonts w:ascii="Arial" w:hAnsi="Arial" w:cs="Arial"/>
          <w:sz w:val="22"/>
          <w:szCs w:val="22"/>
        </w:rPr>
        <w:t xml:space="preserve">.” </w:t>
      </w:r>
      <w:r w:rsidR="0096151F">
        <w:rPr>
          <w:rFonts w:ascii="Arial" w:hAnsi="Arial" w:cs="Arial"/>
          <w:sz w:val="22"/>
          <w:szCs w:val="22"/>
        </w:rPr>
        <w:t xml:space="preserve"> </w:t>
      </w:r>
      <w:r w:rsidRPr="00165817">
        <w:rPr>
          <w:rFonts w:ascii="Arial" w:hAnsi="Arial" w:cs="Arial"/>
          <w:sz w:val="22"/>
          <w:szCs w:val="22"/>
        </w:rPr>
        <w:t>This change was made to insert current template language and specific text applicable to FG-CTGS.</w:t>
      </w:r>
    </w:p>
    <w:p w14:paraId="3A88DCE5" w14:textId="77777777" w:rsidR="00897013" w:rsidRPr="00165817" w:rsidRDefault="00897013" w:rsidP="00220C25">
      <w:pPr>
        <w:pStyle w:val="ListParagraph"/>
        <w:ind w:left="360"/>
        <w:jc w:val="both"/>
        <w:rPr>
          <w:rFonts w:ascii="Arial" w:hAnsi="Arial" w:cs="Arial"/>
          <w:b/>
          <w:sz w:val="22"/>
          <w:szCs w:val="22"/>
        </w:rPr>
      </w:pPr>
    </w:p>
    <w:p w14:paraId="5F34B9B5" w14:textId="073D6087" w:rsidR="00897013" w:rsidRPr="00165817" w:rsidRDefault="001A1A12" w:rsidP="00220C25">
      <w:pPr>
        <w:pStyle w:val="ListParagraph"/>
        <w:numPr>
          <w:ilvl w:val="0"/>
          <w:numId w:val="19"/>
        </w:numPr>
        <w:ind w:left="360"/>
        <w:jc w:val="both"/>
        <w:rPr>
          <w:rFonts w:ascii="Arial" w:hAnsi="Arial" w:cs="Arial"/>
          <w:b/>
          <w:sz w:val="22"/>
          <w:szCs w:val="22"/>
        </w:rPr>
      </w:pPr>
      <w:r w:rsidRPr="00165817">
        <w:rPr>
          <w:rFonts w:ascii="Arial" w:hAnsi="Arial" w:cs="Arial"/>
          <w:sz w:val="22"/>
          <w:szCs w:val="22"/>
        </w:rPr>
        <w:t>The AQD changed the FG-CTGS, VII.4 text to, “</w:t>
      </w:r>
      <w:r w:rsidR="00897013" w:rsidRPr="00165817">
        <w:rPr>
          <w:rFonts w:ascii="Arial" w:hAnsi="Arial" w:cs="Arial"/>
          <w:sz w:val="22"/>
          <w:szCs w:val="22"/>
        </w:rPr>
        <w:t>The permittee shall submit any performance test reports to the AQD Technical Programs Unit and District Office, in a format approved by the AQD.</w:t>
      </w:r>
      <w:r w:rsidR="00897013" w:rsidRPr="00165817">
        <w:rPr>
          <w:rFonts w:ascii="Arial" w:hAnsi="Arial" w:cs="Arial"/>
          <w:b/>
          <w:sz w:val="22"/>
          <w:szCs w:val="22"/>
        </w:rPr>
        <w:t xml:space="preserve">  (R</w:t>
      </w:r>
      <w:r w:rsidR="009D0FA7">
        <w:rPr>
          <w:rFonts w:ascii="Arial" w:hAnsi="Arial" w:cs="Arial"/>
          <w:b/>
          <w:sz w:val="22"/>
          <w:szCs w:val="22"/>
        </w:rPr>
        <w:t> </w:t>
      </w:r>
      <w:r w:rsidR="00897013" w:rsidRPr="00165817">
        <w:rPr>
          <w:rFonts w:ascii="Arial" w:hAnsi="Arial" w:cs="Arial"/>
          <w:b/>
          <w:sz w:val="22"/>
          <w:szCs w:val="22"/>
        </w:rPr>
        <w:t>336.1213(3)(c), R 336.2001(5))</w:t>
      </w:r>
      <w:r w:rsidR="00897013" w:rsidRPr="00165817">
        <w:rPr>
          <w:rFonts w:ascii="Arial" w:hAnsi="Arial" w:cs="Arial"/>
          <w:sz w:val="22"/>
          <w:szCs w:val="22"/>
        </w:rPr>
        <w:t>.”  This change was made to insert current template language.</w:t>
      </w:r>
    </w:p>
    <w:p w14:paraId="3392D722" w14:textId="690655CE" w:rsidR="00530C17" w:rsidRPr="00165817" w:rsidRDefault="0096151F" w:rsidP="00165817">
      <w:pPr>
        <w:spacing w:after="240" w:line="252" w:lineRule="auto"/>
        <w:jc w:val="both"/>
        <w:rPr>
          <w:rFonts w:ascii="Arial" w:hAnsi="Arial" w:cs="Arial"/>
          <w:color w:val="000000" w:themeColor="text1"/>
          <w:sz w:val="22"/>
          <w:szCs w:val="22"/>
        </w:rPr>
      </w:pPr>
      <w:r>
        <w:rPr>
          <w:rFonts w:ascii="Arial" w:hAnsi="Arial" w:cs="Arial"/>
          <w:color w:val="000000" w:themeColor="text1"/>
          <w:sz w:val="22"/>
          <w:szCs w:val="22"/>
        </w:rPr>
        <w:br/>
      </w:r>
      <w:r w:rsidR="00530C17" w:rsidRPr="00165817">
        <w:rPr>
          <w:rFonts w:ascii="Arial" w:hAnsi="Arial" w:cs="Arial"/>
          <w:color w:val="000000" w:themeColor="text1"/>
          <w:sz w:val="22"/>
          <w:szCs w:val="22"/>
        </w:rPr>
        <w:t>The AQD made the following changes to the Draft Staff Report</w:t>
      </w:r>
      <w:r w:rsidR="00A27BA7" w:rsidRPr="00165817">
        <w:rPr>
          <w:rFonts w:ascii="Arial" w:hAnsi="Arial" w:cs="Arial"/>
          <w:color w:val="000000" w:themeColor="text1"/>
          <w:sz w:val="22"/>
          <w:szCs w:val="22"/>
        </w:rPr>
        <w:t xml:space="preserve"> text</w:t>
      </w:r>
      <w:r w:rsidR="00530C17" w:rsidRPr="00165817">
        <w:rPr>
          <w:rFonts w:ascii="Arial" w:hAnsi="Arial" w:cs="Arial"/>
          <w:color w:val="000000" w:themeColor="text1"/>
          <w:sz w:val="22"/>
          <w:szCs w:val="22"/>
        </w:rPr>
        <w:t>:</w:t>
      </w:r>
    </w:p>
    <w:p w14:paraId="626BAE08" w14:textId="335B0148" w:rsidR="00A27BA7" w:rsidRPr="00165817" w:rsidRDefault="00530C17" w:rsidP="00165817">
      <w:pPr>
        <w:spacing w:after="240" w:line="252" w:lineRule="auto"/>
        <w:ind w:left="720"/>
        <w:jc w:val="both"/>
        <w:rPr>
          <w:rFonts w:ascii="Arial" w:hAnsi="Arial" w:cs="Arial"/>
          <w:b/>
          <w:color w:val="000000" w:themeColor="text1"/>
          <w:sz w:val="22"/>
          <w:szCs w:val="22"/>
          <w:u w:val="single"/>
        </w:rPr>
      </w:pPr>
      <w:r w:rsidRPr="00165817">
        <w:rPr>
          <w:rFonts w:ascii="Arial" w:hAnsi="Arial" w:cs="Arial"/>
          <w:b/>
          <w:color w:val="000000" w:themeColor="text1"/>
          <w:sz w:val="22"/>
          <w:szCs w:val="22"/>
          <w:u w:val="single"/>
        </w:rPr>
        <w:t>Source Description</w:t>
      </w:r>
    </w:p>
    <w:p w14:paraId="0169BB63" w14:textId="55522D3A" w:rsidR="00530C17" w:rsidRPr="00165817" w:rsidRDefault="00A27BA7" w:rsidP="00165817">
      <w:pPr>
        <w:pStyle w:val="ListParagraph"/>
        <w:numPr>
          <w:ilvl w:val="0"/>
          <w:numId w:val="23"/>
        </w:numPr>
        <w:spacing w:after="240" w:line="252" w:lineRule="auto"/>
        <w:jc w:val="both"/>
        <w:rPr>
          <w:rFonts w:ascii="Arial" w:hAnsi="Arial" w:cs="Arial"/>
          <w:color w:val="000000" w:themeColor="text1"/>
          <w:sz w:val="22"/>
          <w:szCs w:val="22"/>
        </w:rPr>
      </w:pPr>
      <w:r w:rsidRPr="00165817">
        <w:rPr>
          <w:rFonts w:ascii="Arial" w:hAnsi="Arial" w:cs="Arial"/>
          <w:color w:val="000000" w:themeColor="text1"/>
          <w:sz w:val="22"/>
          <w:szCs w:val="22"/>
        </w:rPr>
        <w:t>Detroit Edison was changed to DTE Electric Company.</w:t>
      </w:r>
    </w:p>
    <w:p w14:paraId="4C9DF7FD" w14:textId="6615B0F6" w:rsidR="00A27BA7" w:rsidRPr="00165817" w:rsidRDefault="00A27BA7" w:rsidP="00165817">
      <w:pPr>
        <w:pStyle w:val="ListParagraph"/>
        <w:numPr>
          <w:ilvl w:val="0"/>
          <w:numId w:val="23"/>
        </w:numPr>
        <w:spacing w:after="240" w:line="252" w:lineRule="auto"/>
        <w:jc w:val="both"/>
        <w:rPr>
          <w:rFonts w:ascii="Arial" w:hAnsi="Arial" w:cs="Arial"/>
          <w:color w:val="000000" w:themeColor="text1"/>
          <w:sz w:val="22"/>
          <w:szCs w:val="22"/>
        </w:rPr>
      </w:pPr>
      <w:r w:rsidRPr="00165817">
        <w:rPr>
          <w:rFonts w:ascii="Arial" w:hAnsi="Arial" w:cs="Arial"/>
          <w:sz w:val="22"/>
          <w:szCs w:val="22"/>
        </w:rPr>
        <w:t>R 336.1281(h) was changed to R 336.1281(2)(h)</w:t>
      </w:r>
      <w:r w:rsidR="003B0FD3" w:rsidRPr="00165817">
        <w:rPr>
          <w:rFonts w:ascii="Arial" w:hAnsi="Arial" w:cs="Arial"/>
          <w:sz w:val="22"/>
          <w:szCs w:val="22"/>
        </w:rPr>
        <w:t xml:space="preserve"> to accurately represent the updated rule.</w:t>
      </w:r>
    </w:p>
    <w:p w14:paraId="600E91D4" w14:textId="1E9117E3" w:rsidR="00A27BA7" w:rsidRPr="00165817" w:rsidRDefault="00A27BA7" w:rsidP="00165817">
      <w:pPr>
        <w:pStyle w:val="ListParagraph"/>
        <w:numPr>
          <w:ilvl w:val="0"/>
          <w:numId w:val="23"/>
        </w:numPr>
        <w:spacing w:after="240" w:line="252" w:lineRule="auto"/>
        <w:jc w:val="both"/>
        <w:rPr>
          <w:rFonts w:ascii="Arial" w:hAnsi="Arial" w:cs="Arial"/>
          <w:color w:val="000000" w:themeColor="text1"/>
          <w:sz w:val="22"/>
          <w:szCs w:val="22"/>
        </w:rPr>
      </w:pPr>
      <w:r w:rsidRPr="00165817">
        <w:rPr>
          <w:rFonts w:ascii="Arial" w:hAnsi="Arial" w:cs="Arial"/>
          <w:sz w:val="22"/>
          <w:szCs w:val="22"/>
        </w:rPr>
        <w:t>R 336.1285(r)(iv). Was changed to R 336.1285(2)(r)(iv)</w:t>
      </w:r>
      <w:r w:rsidR="003B0FD3" w:rsidRPr="00165817">
        <w:rPr>
          <w:rFonts w:ascii="Arial" w:hAnsi="Arial" w:cs="Arial"/>
          <w:sz w:val="22"/>
          <w:szCs w:val="22"/>
        </w:rPr>
        <w:t xml:space="preserve"> to accurately represent the updated rule.</w:t>
      </w:r>
    </w:p>
    <w:p w14:paraId="4CCE0EC5" w14:textId="3F4E199C" w:rsidR="00A27BA7" w:rsidRPr="00165817" w:rsidRDefault="00A27BA7" w:rsidP="00165817">
      <w:pPr>
        <w:pStyle w:val="ListParagraph"/>
        <w:numPr>
          <w:ilvl w:val="0"/>
          <w:numId w:val="23"/>
        </w:numPr>
        <w:jc w:val="both"/>
        <w:rPr>
          <w:rFonts w:ascii="Arial" w:hAnsi="Arial" w:cs="Arial"/>
          <w:sz w:val="22"/>
          <w:szCs w:val="22"/>
        </w:rPr>
      </w:pPr>
      <w:r w:rsidRPr="00165817">
        <w:rPr>
          <w:rFonts w:ascii="Arial" w:hAnsi="Arial" w:cs="Arial"/>
          <w:sz w:val="22"/>
          <w:szCs w:val="22"/>
        </w:rPr>
        <w:t>The following text was deleted because the gasoline dispensing facility (GDF) is not subject to a MACT.”</w:t>
      </w:r>
      <w:r w:rsidRPr="00165817">
        <w:rPr>
          <w:rFonts w:ascii="Arial" w:hAnsi="Arial" w:cs="Arial"/>
          <w:i/>
          <w:sz w:val="22"/>
          <w:szCs w:val="22"/>
        </w:rPr>
        <w:t>EUGDFMACT:  Existing and new/reconstructed stationary gasoline dispensing facilities subject to the Gasoline Distribution Area MACT (maximum available control technology),</w:t>
      </w:r>
      <w:r w:rsidRPr="00165817">
        <w:rPr>
          <w:rFonts w:ascii="Arial" w:hAnsi="Arial" w:cs="Arial"/>
          <w:sz w:val="22"/>
          <w:szCs w:val="22"/>
        </w:rPr>
        <w:t>”</w:t>
      </w:r>
    </w:p>
    <w:p w14:paraId="562523E6" w14:textId="7C17B0B2" w:rsidR="00A27BA7" w:rsidRPr="00165817" w:rsidRDefault="001F3369" w:rsidP="00165817">
      <w:pPr>
        <w:pStyle w:val="ListParagraph"/>
        <w:numPr>
          <w:ilvl w:val="0"/>
          <w:numId w:val="23"/>
        </w:numPr>
        <w:spacing w:after="240" w:line="252" w:lineRule="auto"/>
        <w:jc w:val="both"/>
        <w:rPr>
          <w:rFonts w:ascii="Arial" w:hAnsi="Arial" w:cs="Arial"/>
          <w:color w:val="000000" w:themeColor="text1"/>
          <w:sz w:val="22"/>
          <w:szCs w:val="22"/>
        </w:rPr>
      </w:pPr>
      <w:r w:rsidRPr="00165817">
        <w:rPr>
          <w:rFonts w:ascii="Arial" w:hAnsi="Arial" w:cs="Arial"/>
          <w:color w:val="000000" w:themeColor="text1"/>
          <w:sz w:val="22"/>
          <w:szCs w:val="22"/>
        </w:rPr>
        <w:t>FG</w:t>
      </w:r>
      <w:r w:rsidR="00007C15" w:rsidRPr="00165817">
        <w:rPr>
          <w:rFonts w:ascii="Arial" w:hAnsi="Arial" w:cs="Arial"/>
          <w:color w:val="000000" w:themeColor="text1"/>
          <w:sz w:val="22"/>
          <w:szCs w:val="22"/>
        </w:rPr>
        <w:t>GDFMACT was changed to EU</w:t>
      </w:r>
      <w:r w:rsidR="00300FD7" w:rsidRPr="00165817">
        <w:rPr>
          <w:rFonts w:ascii="Arial" w:hAnsi="Arial" w:cs="Arial"/>
          <w:color w:val="000000" w:themeColor="text1"/>
          <w:sz w:val="22"/>
          <w:szCs w:val="22"/>
        </w:rPr>
        <w:t>-</w:t>
      </w:r>
      <w:r w:rsidR="00007C15" w:rsidRPr="00165817">
        <w:rPr>
          <w:rFonts w:ascii="Arial" w:hAnsi="Arial" w:cs="Arial"/>
          <w:color w:val="000000" w:themeColor="text1"/>
          <w:sz w:val="22"/>
          <w:szCs w:val="22"/>
        </w:rPr>
        <w:t>GDF</w:t>
      </w:r>
    </w:p>
    <w:p w14:paraId="7BEAA6A3" w14:textId="1A9D4A6C" w:rsidR="00007C15" w:rsidRPr="00165817" w:rsidRDefault="0016739B" w:rsidP="00165817">
      <w:pPr>
        <w:pStyle w:val="ListParagraph"/>
        <w:numPr>
          <w:ilvl w:val="0"/>
          <w:numId w:val="23"/>
        </w:numPr>
        <w:spacing w:after="240" w:line="252" w:lineRule="auto"/>
        <w:jc w:val="both"/>
        <w:rPr>
          <w:rFonts w:ascii="Arial" w:hAnsi="Arial" w:cs="Arial"/>
          <w:color w:val="000000" w:themeColor="text1"/>
          <w:sz w:val="22"/>
          <w:szCs w:val="22"/>
        </w:rPr>
      </w:pPr>
      <w:r w:rsidRPr="00165817">
        <w:rPr>
          <w:rFonts w:ascii="Arial" w:hAnsi="Arial" w:cs="Arial"/>
          <w:sz w:val="22"/>
          <w:szCs w:val="22"/>
        </w:rPr>
        <w:t xml:space="preserve">“FGRULE290:  </w:t>
      </w:r>
      <w:r w:rsidR="004013EF" w:rsidRPr="00165817">
        <w:rPr>
          <w:rFonts w:ascii="Arial" w:hAnsi="Arial" w:cs="Arial"/>
          <w:sz w:val="22"/>
          <w:szCs w:val="22"/>
        </w:rPr>
        <w:t>The flexible group description was changed to, “Any emission unit that emits air contaminants and is exempt from the requirements of Rule 201; pursuant to Rules 278, 278a and 290.</w:t>
      </w:r>
      <w:r w:rsidRPr="00165817">
        <w:rPr>
          <w:rFonts w:ascii="Arial" w:hAnsi="Arial" w:cs="Arial"/>
          <w:sz w:val="22"/>
          <w:szCs w:val="22"/>
        </w:rPr>
        <w:t>”</w:t>
      </w:r>
    </w:p>
    <w:p w14:paraId="57269758" w14:textId="3B46E8FD" w:rsidR="003B0FD3" w:rsidRPr="0096151F" w:rsidRDefault="003B0FD3" w:rsidP="00165817">
      <w:pPr>
        <w:pStyle w:val="ListParagraph"/>
        <w:numPr>
          <w:ilvl w:val="0"/>
          <w:numId w:val="23"/>
        </w:numPr>
        <w:spacing w:after="240" w:line="252" w:lineRule="auto"/>
        <w:jc w:val="both"/>
        <w:rPr>
          <w:rFonts w:ascii="Arial" w:hAnsi="Arial" w:cs="Arial"/>
          <w:color w:val="000000" w:themeColor="text1"/>
          <w:sz w:val="22"/>
          <w:szCs w:val="22"/>
        </w:rPr>
      </w:pPr>
      <w:r w:rsidRPr="00165817">
        <w:rPr>
          <w:rFonts w:ascii="Arial" w:hAnsi="Arial" w:cs="Arial"/>
          <w:sz w:val="22"/>
          <w:szCs w:val="22"/>
        </w:rPr>
        <w:t>R 336.1285(g) was changed to R 336.1285(2)(g) to accurately represent the updated rule.</w:t>
      </w:r>
    </w:p>
    <w:p w14:paraId="2A64FF2A" w14:textId="77777777" w:rsidR="0096151F" w:rsidRPr="00165817" w:rsidRDefault="0096151F" w:rsidP="0096151F">
      <w:pPr>
        <w:pStyle w:val="ListParagraph"/>
        <w:spacing w:after="240" w:line="252" w:lineRule="auto"/>
        <w:ind w:left="1440"/>
        <w:jc w:val="both"/>
        <w:rPr>
          <w:rFonts w:ascii="Arial" w:hAnsi="Arial" w:cs="Arial"/>
          <w:color w:val="000000" w:themeColor="text1"/>
          <w:sz w:val="22"/>
          <w:szCs w:val="22"/>
        </w:rPr>
      </w:pPr>
    </w:p>
    <w:p w14:paraId="7033916B" w14:textId="08F0F884" w:rsidR="00AA0A75" w:rsidRPr="00165817" w:rsidRDefault="00300FD7" w:rsidP="00165817">
      <w:pPr>
        <w:pStyle w:val="ListParagraph"/>
        <w:spacing w:after="240" w:line="252" w:lineRule="auto"/>
        <w:jc w:val="both"/>
        <w:rPr>
          <w:rFonts w:ascii="Arial" w:hAnsi="Arial" w:cs="Arial"/>
          <w:color w:val="000000" w:themeColor="text1"/>
          <w:sz w:val="22"/>
          <w:szCs w:val="22"/>
        </w:rPr>
      </w:pPr>
      <w:r w:rsidRPr="00165817">
        <w:rPr>
          <w:rFonts w:ascii="Arial" w:hAnsi="Arial" w:cs="Arial"/>
          <w:color w:val="000000" w:themeColor="text1"/>
          <w:sz w:val="22"/>
          <w:szCs w:val="22"/>
        </w:rPr>
        <w:t xml:space="preserve">The following sentence was moved from the Section 2 paragraph to the Section 1 paragraph because </w:t>
      </w:r>
      <w:r w:rsidR="0075766F" w:rsidRPr="00165817">
        <w:rPr>
          <w:rFonts w:ascii="Arial" w:hAnsi="Arial" w:cs="Arial"/>
          <w:color w:val="000000" w:themeColor="text1"/>
          <w:sz w:val="22"/>
          <w:szCs w:val="22"/>
        </w:rPr>
        <w:t>CEMS are only</w:t>
      </w:r>
      <w:r w:rsidRPr="00165817">
        <w:rPr>
          <w:rFonts w:ascii="Arial" w:hAnsi="Arial" w:cs="Arial"/>
          <w:color w:val="000000" w:themeColor="text1"/>
          <w:sz w:val="22"/>
          <w:szCs w:val="22"/>
        </w:rPr>
        <w:t xml:space="preserve"> used in Section </w:t>
      </w:r>
      <w:r w:rsidR="0075766F" w:rsidRPr="00165817">
        <w:rPr>
          <w:rFonts w:ascii="Arial" w:hAnsi="Arial" w:cs="Arial"/>
          <w:color w:val="000000" w:themeColor="text1"/>
          <w:sz w:val="22"/>
          <w:szCs w:val="22"/>
        </w:rPr>
        <w:t>1</w:t>
      </w:r>
      <w:r w:rsidRPr="00165817">
        <w:rPr>
          <w:rFonts w:ascii="Arial" w:hAnsi="Arial" w:cs="Arial"/>
          <w:color w:val="000000" w:themeColor="text1"/>
          <w:sz w:val="22"/>
          <w:szCs w:val="22"/>
        </w:rPr>
        <w:t>, “</w:t>
      </w:r>
      <w:r w:rsidRPr="00165817">
        <w:rPr>
          <w:rFonts w:ascii="Arial" w:hAnsi="Arial" w:cs="Arial"/>
          <w:i/>
          <w:color w:val="000000" w:themeColor="text1"/>
          <w:sz w:val="22"/>
          <w:szCs w:val="22"/>
        </w:rPr>
        <w:t>Continuous emissions monitors (CEMS) are installed to measure emissions of NOx, SO2 and opacity for the main boiler.</w:t>
      </w:r>
      <w:r w:rsidRPr="00165817">
        <w:rPr>
          <w:rFonts w:ascii="Arial" w:hAnsi="Arial" w:cs="Arial"/>
          <w:color w:val="000000" w:themeColor="text1"/>
          <w:sz w:val="22"/>
          <w:szCs w:val="22"/>
        </w:rPr>
        <w:t>”</w:t>
      </w:r>
    </w:p>
    <w:p w14:paraId="5F37CF9E" w14:textId="77777777" w:rsidR="00BD3BB0" w:rsidRPr="00165817" w:rsidRDefault="00BD3BB0" w:rsidP="00165817">
      <w:pPr>
        <w:pStyle w:val="ListParagraph"/>
        <w:spacing w:after="240" w:line="252" w:lineRule="auto"/>
        <w:jc w:val="both"/>
        <w:rPr>
          <w:rFonts w:ascii="Arial" w:hAnsi="Arial" w:cs="Arial"/>
          <w:b/>
          <w:color w:val="000000" w:themeColor="text1"/>
          <w:sz w:val="22"/>
          <w:szCs w:val="22"/>
          <w:u w:val="single"/>
        </w:rPr>
      </w:pPr>
    </w:p>
    <w:p w14:paraId="61B3D5FC" w14:textId="43DF0E63" w:rsidR="00AA0A75" w:rsidRPr="00165817" w:rsidRDefault="00AA0A75" w:rsidP="00165817">
      <w:pPr>
        <w:pStyle w:val="ListParagraph"/>
        <w:spacing w:after="240" w:line="252" w:lineRule="auto"/>
        <w:jc w:val="both"/>
        <w:rPr>
          <w:rFonts w:ascii="Arial" w:hAnsi="Arial" w:cs="Arial"/>
          <w:b/>
          <w:color w:val="000000" w:themeColor="text1"/>
          <w:sz w:val="22"/>
          <w:szCs w:val="22"/>
          <w:u w:val="single"/>
        </w:rPr>
      </w:pPr>
      <w:r w:rsidRPr="00165817">
        <w:rPr>
          <w:rFonts w:ascii="Arial" w:hAnsi="Arial" w:cs="Arial"/>
          <w:b/>
          <w:color w:val="000000" w:themeColor="text1"/>
          <w:sz w:val="22"/>
          <w:szCs w:val="22"/>
          <w:u w:val="single"/>
        </w:rPr>
        <w:t>Regulatory Analysis</w:t>
      </w:r>
    </w:p>
    <w:p w14:paraId="08E511EE" w14:textId="4534BC31" w:rsidR="00AA0A75" w:rsidRPr="00165817" w:rsidRDefault="00AA0A75" w:rsidP="00165817">
      <w:pPr>
        <w:pStyle w:val="ListParagraph"/>
        <w:numPr>
          <w:ilvl w:val="0"/>
          <w:numId w:val="23"/>
        </w:numPr>
        <w:spacing w:after="240" w:line="252" w:lineRule="auto"/>
        <w:jc w:val="both"/>
        <w:rPr>
          <w:rFonts w:ascii="Arial" w:hAnsi="Arial" w:cs="Arial"/>
          <w:color w:val="000000" w:themeColor="text1"/>
          <w:sz w:val="22"/>
          <w:szCs w:val="22"/>
        </w:rPr>
      </w:pPr>
      <w:r w:rsidRPr="00165817">
        <w:rPr>
          <w:rFonts w:ascii="Arial" w:hAnsi="Arial" w:cs="Arial"/>
          <w:color w:val="000000" w:themeColor="text1"/>
          <w:sz w:val="22"/>
          <w:szCs w:val="22"/>
        </w:rPr>
        <w:t>Detroit Edison was changed to DTE Electric in two paragraphs.</w:t>
      </w:r>
    </w:p>
    <w:p w14:paraId="13248FC7" w14:textId="2A30A9E3" w:rsidR="00AA0A75" w:rsidRPr="00165817" w:rsidRDefault="00AA0A75" w:rsidP="00165817">
      <w:pPr>
        <w:pStyle w:val="ListParagraph"/>
        <w:numPr>
          <w:ilvl w:val="0"/>
          <w:numId w:val="23"/>
        </w:numPr>
        <w:spacing w:after="240" w:line="252" w:lineRule="auto"/>
        <w:jc w:val="both"/>
        <w:rPr>
          <w:rFonts w:ascii="Arial" w:hAnsi="Arial" w:cs="Arial"/>
          <w:color w:val="000000" w:themeColor="text1"/>
          <w:sz w:val="22"/>
          <w:szCs w:val="22"/>
        </w:rPr>
      </w:pPr>
      <w:r w:rsidRPr="00165817">
        <w:rPr>
          <w:rFonts w:ascii="Arial" w:hAnsi="Arial" w:cs="Arial"/>
          <w:color w:val="000000" w:themeColor="text1"/>
          <w:sz w:val="22"/>
          <w:szCs w:val="22"/>
        </w:rPr>
        <w:t>FGGDF was changed to EU-GDF</w:t>
      </w:r>
      <w:r w:rsidR="002F4FFC" w:rsidRPr="00165817">
        <w:rPr>
          <w:rFonts w:ascii="Arial" w:hAnsi="Arial" w:cs="Arial"/>
          <w:color w:val="000000" w:themeColor="text1"/>
          <w:sz w:val="22"/>
          <w:szCs w:val="22"/>
        </w:rPr>
        <w:t xml:space="preserve"> two times in the same paragraph.</w:t>
      </w:r>
    </w:p>
    <w:p w14:paraId="67483DE8" w14:textId="3A148E23" w:rsidR="00A27BA7" w:rsidRPr="00165817" w:rsidRDefault="008C5559" w:rsidP="00165817">
      <w:pPr>
        <w:spacing w:after="240" w:line="252" w:lineRule="auto"/>
        <w:ind w:left="720"/>
        <w:jc w:val="both"/>
        <w:rPr>
          <w:rFonts w:ascii="Arial" w:hAnsi="Arial" w:cs="Arial"/>
          <w:b/>
          <w:color w:val="000000" w:themeColor="text1"/>
          <w:sz w:val="22"/>
          <w:szCs w:val="22"/>
          <w:u w:val="single"/>
        </w:rPr>
      </w:pPr>
      <w:r w:rsidRPr="00165817">
        <w:rPr>
          <w:rFonts w:ascii="Arial" w:hAnsi="Arial" w:cs="Arial"/>
          <w:b/>
          <w:color w:val="000000" w:themeColor="text1"/>
          <w:sz w:val="22"/>
          <w:szCs w:val="22"/>
          <w:u w:val="single"/>
        </w:rPr>
        <w:t>Processes in Application Not Identified in Draft ROP</w:t>
      </w:r>
    </w:p>
    <w:p w14:paraId="419DAFC1" w14:textId="78DFE24C" w:rsidR="008C5559" w:rsidRPr="001E2049" w:rsidRDefault="008C5559" w:rsidP="00165817">
      <w:pPr>
        <w:pStyle w:val="ListParagraph"/>
        <w:numPr>
          <w:ilvl w:val="0"/>
          <w:numId w:val="24"/>
        </w:numPr>
        <w:spacing w:after="240" w:line="252" w:lineRule="auto"/>
        <w:jc w:val="both"/>
        <w:rPr>
          <w:rFonts w:ascii="Arial" w:hAnsi="Arial" w:cs="Arial"/>
          <w:color w:val="000000" w:themeColor="text1"/>
          <w:sz w:val="18"/>
          <w:szCs w:val="18"/>
        </w:rPr>
      </w:pPr>
      <w:r w:rsidRPr="00165817">
        <w:rPr>
          <w:rFonts w:ascii="Arial" w:hAnsi="Arial" w:cs="Arial"/>
          <w:color w:val="000000" w:themeColor="text1"/>
          <w:sz w:val="22"/>
          <w:szCs w:val="22"/>
        </w:rPr>
        <w:t>The following row of text was removed from the table because the process is identified in the ROP</w:t>
      </w:r>
      <w:r w:rsidR="007D5170" w:rsidRPr="00165817">
        <w:rPr>
          <w:rFonts w:ascii="Arial" w:hAnsi="Arial" w:cs="Arial"/>
          <w:color w:val="000000" w:themeColor="text1"/>
          <w:sz w:val="22"/>
          <w:szCs w:val="22"/>
        </w:rPr>
        <w:t>:</w:t>
      </w:r>
    </w:p>
    <w:p w14:paraId="35AE8D1D" w14:textId="044B8341" w:rsidR="008C5559" w:rsidRPr="00165817" w:rsidRDefault="008C5559" w:rsidP="00165817">
      <w:pPr>
        <w:spacing w:after="240" w:line="252" w:lineRule="auto"/>
        <w:ind w:left="1440"/>
        <w:jc w:val="both"/>
        <w:rPr>
          <w:rFonts w:ascii="Arial" w:hAnsi="Arial" w:cs="Arial"/>
          <w:color w:val="000000" w:themeColor="text1"/>
          <w:sz w:val="22"/>
          <w:szCs w:val="22"/>
        </w:rPr>
      </w:pPr>
      <w:r w:rsidRPr="00165817">
        <w:rPr>
          <w:rFonts w:ascii="Arial" w:hAnsi="Arial" w:cs="Arial"/>
          <w:color w:val="000000" w:themeColor="text1"/>
          <w:sz w:val="22"/>
          <w:szCs w:val="22"/>
        </w:rPr>
        <w:t>EU001-289, Tank Vent, UST Gasoline, R 336.1812(4)(d), R 336.1284(2)(g)(ii).</w:t>
      </w:r>
    </w:p>
    <w:p w14:paraId="197FC138" w14:textId="5B3299BC" w:rsidR="00275B60" w:rsidRPr="00165817" w:rsidRDefault="00DA656F" w:rsidP="00165817">
      <w:pPr>
        <w:spacing w:after="240" w:line="252" w:lineRule="auto"/>
        <w:jc w:val="both"/>
        <w:rPr>
          <w:rFonts w:ascii="Arial" w:hAnsi="Arial" w:cs="Arial"/>
          <w:b/>
          <w:color w:val="000000" w:themeColor="text1"/>
          <w:sz w:val="22"/>
          <w:szCs w:val="22"/>
          <w:u w:val="single"/>
        </w:rPr>
      </w:pPr>
      <w:r w:rsidRPr="00165817">
        <w:rPr>
          <w:rFonts w:ascii="Arial" w:hAnsi="Arial" w:cs="Arial"/>
          <w:b/>
          <w:color w:val="000000" w:themeColor="text1"/>
          <w:sz w:val="22"/>
          <w:szCs w:val="22"/>
          <w:u w:val="single"/>
        </w:rPr>
        <w:t>Additional Information</w:t>
      </w:r>
    </w:p>
    <w:p w14:paraId="3F40B702" w14:textId="1CE7BF02" w:rsidR="00DA656F" w:rsidRPr="00165817" w:rsidRDefault="00DA656F" w:rsidP="00165817">
      <w:pPr>
        <w:spacing w:after="240" w:line="252" w:lineRule="auto"/>
        <w:jc w:val="both"/>
        <w:rPr>
          <w:rFonts w:ascii="Arial" w:hAnsi="Arial" w:cs="Arial"/>
          <w:color w:val="000000" w:themeColor="text1"/>
          <w:sz w:val="22"/>
          <w:szCs w:val="22"/>
        </w:rPr>
      </w:pPr>
      <w:r w:rsidRPr="00165817">
        <w:rPr>
          <w:rFonts w:ascii="Arial" w:hAnsi="Arial" w:cs="Arial"/>
          <w:color w:val="000000" w:themeColor="text1"/>
          <w:sz w:val="22"/>
          <w:szCs w:val="22"/>
        </w:rPr>
        <w:t>The NOx emissions from EUBOILER1 are controlled by flue gas injection.  This control device is not subject to CAM per 40 CFR 64.2(b)(vi) because the permittee uses CEMS to monitor NOx emissions.</w:t>
      </w:r>
    </w:p>
    <w:sectPr w:rsidR="00DA656F" w:rsidRPr="00165817" w:rsidSect="00B20EA1">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D79A" w14:textId="77777777" w:rsidR="003654B0" w:rsidRDefault="003654B0">
      <w:r>
        <w:separator/>
      </w:r>
    </w:p>
  </w:endnote>
  <w:endnote w:type="continuationSeparator" w:id="0">
    <w:p w14:paraId="674668AB" w14:textId="77777777" w:rsidR="003654B0" w:rsidRDefault="0036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6EB5" w14:textId="7176F52B" w:rsidR="003654B0" w:rsidRPr="00F847D5" w:rsidRDefault="003654B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15</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15</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4051" w14:textId="294BCA3F" w:rsidR="003654B0" w:rsidRPr="00F847D5" w:rsidRDefault="003654B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15</w:t>
    </w:r>
    <w:r w:rsidRPr="00F847D5">
      <w:rPr>
        <w:rFonts w:ascii="Arial" w:hAnsi="Arial"/>
      </w:rPr>
      <w:fldChar w:fldCharType="end"/>
    </w:r>
    <w:r w:rsidRPr="00F847D5">
      <w:rPr>
        <w:rFonts w:ascii="Arial" w:hAnsi="Arial"/>
      </w:rPr>
      <w:t xml:space="preserve"> </w:t>
    </w:r>
  </w:p>
  <w:p w14:paraId="59DC3EB0" w14:textId="77777777" w:rsidR="003654B0" w:rsidRPr="0014659D" w:rsidRDefault="003654B0"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16B9" w14:textId="77777777" w:rsidR="003654B0" w:rsidRDefault="003654B0">
      <w:r>
        <w:separator/>
      </w:r>
    </w:p>
  </w:footnote>
  <w:footnote w:type="continuationSeparator" w:id="0">
    <w:p w14:paraId="09AE6E28" w14:textId="77777777" w:rsidR="003654B0" w:rsidRDefault="0036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31D6" w14:textId="77777777" w:rsidR="003654B0" w:rsidRPr="00135426" w:rsidRDefault="003654B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3202ED"/>
    <w:multiLevelType w:val="hybridMultilevel"/>
    <w:tmpl w:val="F402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BD47BB"/>
    <w:multiLevelType w:val="hybridMultilevel"/>
    <w:tmpl w:val="E744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0173"/>
    <w:multiLevelType w:val="hybridMultilevel"/>
    <w:tmpl w:val="85EE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C3E0F"/>
    <w:multiLevelType w:val="hybridMultilevel"/>
    <w:tmpl w:val="4B4AE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F52960"/>
    <w:multiLevelType w:val="hybridMultilevel"/>
    <w:tmpl w:val="746484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B37EC0"/>
    <w:multiLevelType w:val="hybridMultilevel"/>
    <w:tmpl w:val="BF60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E6B91"/>
    <w:multiLevelType w:val="hybridMultilevel"/>
    <w:tmpl w:val="EDCC5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FDD1BAC"/>
    <w:multiLevelType w:val="hybridMultilevel"/>
    <w:tmpl w:val="7B2CCCD2"/>
    <w:lvl w:ilvl="0" w:tplc="ECDEAB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518B3"/>
    <w:multiLevelType w:val="hybridMultilevel"/>
    <w:tmpl w:val="8162EFFA"/>
    <w:lvl w:ilvl="0" w:tplc="29AE63D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07AB7"/>
    <w:multiLevelType w:val="hybridMultilevel"/>
    <w:tmpl w:val="54107542"/>
    <w:lvl w:ilvl="0" w:tplc="CF1C11C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029E5"/>
    <w:multiLevelType w:val="hybridMultilevel"/>
    <w:tmpl w:val="76AC48E6"/>
    <w:lvl w:ilvl="0" w:tplc="054483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D7D13"/>
    <w:multiLevelType w:val="hybridMultilevel"/>
    <w:tmpl w:val="4E48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60F7792"/>
    <w:multiLevelType w:val="hybridMultilevel"/>
    <w:tmpl w:val="FE3E22D6"/>
    <w:lvl w:ilvl="0" w:tplc="ECDEAB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8"/>
  </w:num>
  <w:num w:numId="4">
    <w:abstractNumId w:val="18"/>
  </w:num>
  <w:num w:numId="5">
    <w:abstractNumId w:val="10"/>
  </w:num>
  <w:num w:numId="6">
    <w:abstractNumId w:val="12"/>
  </w:num>
  <w:num w:numId="7">
    <w:abstractNumId w:val="20"/>
  </w:num>
  <w:num w:numId="8">
    <w:abstractNumId w:val="15"/>
  </w:num>
  <w:num w:numId="9">
    <w:abstractNumId w:val="22"/>
  </w:num>
  <w:num w:numId="10">
    <w:abstractNumId w:val="23"/>
  </w:num>
  <w:num w:numId="11">
    <w:abstractNumId w:val="5"/>
  </w:num>
  <w:num w:numId="12">
    <w:abstractNumId w:val="7"/>
  </w:num>
  <w:num w:numId="13">
    <w:abstractNumId w:val="4"/>
  </w:num>
  <w:num w:numId="14">
    <w:abstractNumId w:val="3"/>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6"/>
  </w:num>
  <w:num w:numId="20">
    <w:abstractNumId w:val="14"/>
  </w:num>
  <w:num w:numId="21">
    <w:abstractNumId w:val="19"/>
  </w:num>
  <w:num w:numId="22">
    <w:abstractNumId w:val="9"/>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x85PZsz0jxx9JWqyijpyQrZiSh/M8YUIQgF6ojPsiORtR0sfy6pRelMBpNpZDXKuA+HRLenqPJlnKcW6hYx6Q==" w:salt="QMD3RhSFK7WE7IYpVco3m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94"/>
    <w:rsid w:val="0000071F"/>
    <w:rsid w:val="0000128A"/>
    <w:rsid w:val="00007C15"/>
    <w:rsid w:val="00010B28"/>
    <w:rsid w:val="00011720"/>
    <w:rsid w:val="000136CC"/>
    <w:rsid w:val="00015B63"/>
    <w:rsid w:val="00015BCA"/>
    <w:rsid w:val="00015E48"/>
    <w:rsid w:val="00022188"/>
    <w:rsid w:val="00022808"/>
    <w:rsid w:val="000237D9"/>
    <w:rsid w:val="000240CD"/>
    <w:rsid w:val="0002430E"/>
    <w:rsid w:val="00025B86"/>
    <w:rsid w:val="000268FB"/>
    <w:rsid w:val="00026AB8"/>
    <w:rsid w:val="00026FE4"/>
    <w:rsid w:val="00033B14"/>
    <w:rsid w:val="000353B4"/>
    <w:rsid w:val="00035898"/>
    <w:rsid w:val="00036C22"/>
    <w:rsid w:val="00043563"/>
    <w:rsid w:val="00044E0B"/>
    <w:rsid w:val="0004693A"/>
    <w:rsid w:val="00053310"/>
    <w:rsid w:val="000558B7"/>
    <w:rsid w:val="00056593"/>
    <w:rsid w:val="00057978"/>
    <w:rsid w:val="00070B20"/>
    <w:rsid w:val="0007315F"/>
    <w:rsid w:val="000749FF"/>
    <w:rsid w:val="00082A06"/>
    <w:rsid w:val="00083BD6"/>
    <w:rsid w:val="000847C2"/>
    <w:rsid w:val="00086493"/>
    <w:rsid w:val="0009079D"/>
    <w:rsid w:val="00090A19"/>
    <w:rsid w:val="00090A6D"/>
    <w:rsid w:val="000931C5"/>
    <w:rsid w:val="000A00B7"/>
    <w:rsid w:val="000A3504"/>
    <w:rsid w:val="000A463D"/>
    <w:rsid w:val="000B1A24"/>
    <w:rsid w:val="000B4470"/>
    <w:rsid w:val="000B71D6"/>
    <w:rsid w:val="000C1E62"/>
    <w:rsid w:val="000C35CB"/>
    <w:rsid w:val="000C4F65"/>
    <w:rsid w:val="000C7F27"/>
    <w:rsid w:val="000D46EE"/>
    <w:rsid w:val="000D6F52"/>
    <w:rsid w:val="000E2E60"/>
    <w:rsid w:val="000E3FF9"/>
    <w:rsid w:val="000E43A8"/>
    <w:rsid w:val="000E5111"/>
    <w:rsid w:val="000E73AD"/>
    <w:rsid w:val="000E781D"/>
    <w:rsid w:val="000F1E52"/>
    <w:rsid w:val="000F32F4"/>
    <w:rsid w:val="000F4545"/>
    <w:rsid w:val="000F73C3"/>
    <w:rsid w:val="001002E3"/>
    <w:rsid w:val="00100562"/>
    <w:rsid w:val="0010168F"/>
    <w:rsid w:val="00102B51"/>
    <w:rsid w:val="0010361E"/>
    <w:rsid w:val="00111DE5"/>
    <w:rsid w:val="00113B82"/>
    <w:rsid w:val="001159B4"/>
    <w:rsid w:val="00115DF5"/>
    <w:rsid w:val="00117569"/>
    <w:rsid w:val="00121EBD"/>
    <w:rsid w:val="00123005"/>
    <w:rsid w:val="0012305E"/>
    <w:rsid w:val="001301E9"/>
    <w:rsid w:val="00135426"/>
    <w:rsid w:val="00135A33"/>
    <w:rsid w:val="00136411"/>
    <w:rsid w:val="00137218"/>
    <w:rsid w:val="00137369"/>
    <w:rsid w:val="001429D1"/>
    <w:rsid w:val="00142DA1"/>
    <w:rsid w:val="00142E85"/>
    <w:rsid w:val="00144855"/>
    <w:rsid w:val="0014659D"/>
    <w:rsid w:val="001466CA"/>
    <w:rsid w:val="00151E4C"/>
    <w:rsid w:val="00153D66"/>
    <w:rsid w:val="00154568"/>
    <w:rsid w:val="00161412"/>
    <w:rsid w:val="00161D0E"/>
    <w:rsid w:val="001647D7"/>
    <w:rsid w:val="00165817"/>
    <w:rsid w:val="0016739B"/>
    <w:rsid w:val="00167B85"/>
    <w:rsid w:val="00171640"/>
    <w:rsid w:val="00172178"/>
    <w:rsid w:val="001723A8"/>
    <w:rsid w:val="00172BD9"/>
    <w:rsid w:val="00173313"/>
    <w:rsid w:val="00175DF5"/>
    <w:rsid w:val="00177285"/>
    <w:rsid w:val="0018045F"/>
    <w:rsid w:val="00185993"/>
    <w:rsid w:val="001900AD"/>
    <w:rsid w:val="00191106"/>
    <w:rsid w:val="001A1A12"/>
    <w:rsid w:val="001A22C9"/>
    <w:rsid w:val="001A2805"/>
    <w:rsid w:val="001A408F"/>
    <w:rsid w:val="001B0275"/>
    <w:rsid w:val="001B579D"/>
    <w:rsid w:val="001B5D76"/>
    <w:rsid w:val="001C45A8"/>
    <w:rsid w:val="001C5D62"/>
    <w:rsid w:val="001D0502"/>
    <w:rsid w:val="001D6B5F"/>
    <w:rsid w:val="001D7607"/>
    <w:rsid w:val="001E2049"/>
    <w:rsid w:val="001E3D60"/>
    <w:rsid w:val="001E6273"/>
    <w:rsid w:val="001F1448"/>
    <w:rsid w:val="001F287A"/>
    <w:rsid w:val="001F2F32"/>
    <w:rsid w:val="001F3338"/>
    <w:rsid w:val="001F3369"/>
    <w:rsid w:val="001F3B26"/>
    <w:rsid w:val="001F3B8A"/>
    <w:rsid w:val="001F4AA3"/>
    <w:rsid w:val="001F6D7F"/>
    <w:rsid w:val="001F742A"/>
    <w:rsid w:val="00201CC7"/>
    <w:rsid w:val="00203061"/>
    <w:rsid w:val="00203177"/>
    <w:rsid w:val="00203E24"/>
    <w:rsid w:val="00204A58"/>
    <w:rsid w:val="0021718D"/>
    <w:rsid w:val="00220C25"/>
    <w:rsid w:val="002229BE"/>
    <w:rsid w:val="00226144"/>
    <w:rsid w:val="00226BBE"/>
    <w:rsid w:val="0022752F"/>
    <w:rsid w:val="002315E7"/>
    <w:rsid w:val="00231A25"/>
    <w:rsid w:val="00231F99"/>
    <w:rsid w:val="002320BA"/>
    <w:rsid w:val="0023247F"/>
    <w:rsid w:val="00233469"/>
    <w:rsid w:val="00237F04"/>
    <w:rsid w:val="00242EE9"/>
    <w:rsid w:val="00244F92"/>
    <w:rsid w:val="00247200"/>
    <w:rsid w:val="00250171"/>
    <w:rsid w:val="0025199F"/>
    <w:rsid w:val="002519D9"/>
    <w:rsid w:val="00251AF7"/>
    <w:rsid w:val="00252680"/>
    <w:rsid w:val="00255887"/>
    <w:rsid w:val="00255E2E"/>
    <w:rsid w:val="00262557"/>
    <w:rsid w:val="00262FE0"/>
    <w:rsid w:val="00271ECD"/>
    <w:rsid w:val="002728F4"/>
    <w:rsid w:val="00273E90"/>
    <w:rsid w:val="002745BB"/>
    <w:rsid w:val="00275B60"/>
    <w:rsid w:val="002769E3"/>
    <w:rsid w:val="00283DF7"/>
    <w:rsid w:val="00284660"/>
    <w:rsid w:val="002903A5"/>
    <w:rsid w:val="00290754"/>
    <w:rsid w:val="00295FBF"/>
    <w:rsid w:val="002A48ED"/>
    <w:rsid w:val="002A4D61"/>
    <w:rsid w:val="002A55C8"/>
    <w:rsid w:val="002A5B17"/>
    <w:rsid w:val="002A65EB"/>
    <w:rsid w:val="002B074D"/>
    <w:rsid w:val="002B092A"/>
    <w:rsid w:val="002B11E3"/>
    <w:rsid w:val="002B32FD"/>
    <w:rsid w:val="002B4B0E"/>
    <w:rsid w:val="002B5D3B"/>
    <w:rsid w:val="002C02F8"/>
    <w:rsid w:val="002C0333"/>
    <w:rsid w:val="002C652F"/>
    <w:rsid w:val="002C77BE"/>
    <w:rsid w:val="002D10C6"/>
    <w:rsid w:val="002D148E"/>
    <w:rsid w:val="002D23C2"/>
    <w:rsid w:val="002D529A"/>
    <w:rsid w:val="002E0E12"/>
    <w:rsid w:val="002F0CC3"/>
    <w:rsid w:val="002F13C4"/>
    <w:rsid w:val="002F1D39"/>
    <w:rsid w:val="002F2B72"/>
    <w:rsid w:val="002F4687"/>
    <w:rsid w:val="002F4FFC"/>
    <w:rsid w:val="002F5B86"/>
    <w:rsid w:val="00300FD7"/>
    <w:rsid w:val="003023FC"/>
    <w:rsid w:val="00302FA1"/>
    <w:rsid w:val="003049AC"/>
    <w:rsid w:val="00304DFD"/>
    <w:rsid w:val="003061C0"/>
    <w:rsid w:val="00306FD5"/>
    <w:rsid w:val="00310006"/>
    <w:rsid w:val="003173E8"/>
    <w:rsid w:val="00317E66"/>
    <w:rsid w:val="00320863"/>
    <w:rsid w:val="00333AE9"/>
    <w:rsid w:val="00335641"/>
    <w:rsid w:val="00337750"/>
    <w:rsid w:val="00340253"/>
    <w:rsid w:val="00345D9F"/>
    <w:rsid w:val="0034680F"/>
    <w:rsid w:val="00347E5D"/>
    <w:rsid w:val="0035046D"/>
    <w:rsid w:val="00350573"/>
    <w:rsid w:val="003510C2"/>
    <w:rsid w:val="00351F7C"/>
    <w:rsid w:val="003538C0"/>
    <w:rsid w:val="00354260"/>
    <w:rsid w:val="00355F38"/>
    <w:rsid w:val="00363292"/>
    <w:rsid w:val="003637D0"/>
    <w:rsid w:val="003654B0"/>
    <w:rsid w:val="0036784E"/>
    <w:rsid w:val="00371521"/>
    <w:rsid w:val="00372E82"/>
    <w:rsid w:val="003741D7"/>
    <w:rsid w:val="0037447F"/>
    <w:rsid w:val="00376F31"/>
    <w:rsid w:val="00377200"/>
    <w:rsid w:val="00377850"/>
    <w:rsid w:val="00383482"/>
    <w:rsid w:val="00383DD1"/>
    <w:rsid w:val="00383E34"/>
    <w:rsid w:val="00392731"/>
    <w:rsid w:val="003935AE"/>
    <w:rsid w:val="0039460F"/>
    <w:rsid w:val="003946CC"/>
    <w:rsid w:val="003950E9"/>
    <w:rsid w:val="003955A4"/>
    <w:rsid w:val="00396663"/>
    <w:rsid w:val="003A0C78"/>
    <w:rsid w:val="003A1467"/>
    <w:rsid w:val="003A2108"/>
    <w:rsid w:val="003A41A3"/>
    <w:rsid w:val="003A491D"/>
    <w:rsid w:val="003A67B6"/>
    <w:rsid w:val="003A75B8"/>
    <w:rsid w:val="003B0FD3"/>
    <w:rsid w:val="003B36CE"/>
    <w:rsid w:val="003B3A3A"/>
    <w:rsid w:val="003B430D"/>
    <w:rsid w:val="003B5E83"/>
    <w:rsid w:val="003C43A8"/>
    <w:rsid w:val="003C4B9D"/>
    <w:rsid w:val="003C5766"/>
    <w:rsid w:val="003C7FFB"/>
    <w:rsid w:val="003D6336"/>
    <w:rsid w:val="003D6A01"/>
    <w:rsid w:val="003D6B07"/>
    <w:rsid w:val="003D6C8F"/>
    <w:rsid w:val="003D766C"/>
    <w:rsid w:val="003E0444"/>
    <w:rsid w:val="003E3ECF"/>
    <w:rsid w:val="003E6F49"/>
    <w:rsid w:val="003F16E7"/>
    <w:rsid w:val="003F318D"/>
    <w:rsid w:val="0040112A"/>
    <w:rsid w:val="004013EF"/>
    <w:rsid w:val="00402D14"/>
    <w:rsid w:val="004039E8"/>
    <w:rsid w:val="00411971"/>
    <w:rsid w:val="004127B6"/>
    <w:rsid w:val="00425C80"/>
    <w:rsid w:val="00431B01"/>
    <w:rsid w:val="00433BF1"/>
    <w:rsid w:val="00441393"/>
    <w:rsid w:val="00444D94"/>
    <w:rsid w:val="00444F0F"/>
    <w:rsid w:val="00445883"/>
    <w:rsid w:val="004512D2"/>
    <w:rsid w:val="00451C04"/>
    <w:rsid w:val="00451EEA"/>
    <w:rsid w:val="004541F4"/>
    <w:rsid w:val="00454F6A"/>
    <w:rsid w:val="004551A7"/>
    <w:rsid w:val="004628A4"/>
    <w:rsid w:val="004670B5"/>
    <w:rsid w:val="00470765"/>
    <w:rsid w:val="0047173E"/>
    <w:rsid w:val="00474ADF"/>
    <w:rsid w:val="00474C32"/>
    <w:rsid w:val="00475BD8"/>
    <w:rsid w:val="00476E46"/>
    <w:rsid w:val="00477C93"/>
    <w:rsid w:val="0048277E"/>
    <w:rsid w:val="00482E94"/>
    <w:rsid w:val="00485373"/>
    <w:rsid w:val="00485F9B"/>
    <w:rsid w:val="0049200A"/>
    <w:rsid w:val="00492A33"/>
    <w:rsid w:val="004948C1"/>
    <w:rsid w:val="00494D13"/>
    <w:rsid w:val="004975D8"/>
    <w:rsid w:val="004A33DF"/>
    <w:rsid w:val="004A35DA"/>
    <w:rsid w:val="004A6FD2"/>
    <w:rsid w:val="004A70DD"/>
    <w:rsid w:val="004B1DC4"/>
    <w:rsid w:val="004B2A6F"/>
    <w:rsid w:val="004B3242"/>
    <w:rsid w:val="004B44A9"/>
    <w:rsid w:val="004B5440"/>
    <w:rsid w:val="004C133C"/>
    <w:rsid w:val="004C1E83"/>
    <w:rsid w:val="004C39E7"/>
    <w:rsid w:val="004C3C49"/>
    <w:rsid w:val="004C48F7"/>
    <w:rsid w:val="004C51C5"/>
    <w:rsid w:val="004C7125"/>
    <w:rsid w:val="004C78FD"/>
    <w:rsid w:val="004D4789"/>
    <w:rsid w:val="004D4B7D"/>
    <w:rsid w:val="004D5012"/>
    <w:rsid w:val="004D6793"/>
    <w:rsid w:val="004D7ACD"/>
    <w:rsid w:val="004E713D"/>
    <w:rsid w:val="004F1579"/>
    <w:rsid w:val="004F283B"/>
    <w:rsid w:val="00502068"/>
    <w:rsid w:val="0050260F"/>
    <w:rsid w:val="00504733"/>
    <w:rsid w:val="0050744F"/>
    <w:rsid w:val="005122AD"/>
    <w:rsid w:val="00512E5D"/>
    <w:rsid w:val="00515BAB"/>
    <w:rsid w:val="005204BA"/>
    <w:rsid w:val="005224A0"/>
    <w:rsid w:val="00530C17"/>
    <w:rsid w:val="0053241C"/>
    <w:rsid w:val="00532985"/>
    <w:rsid w:val="00533703"/>
    <w:rsid w:val="0053606A"/>
    <w:rsid w:val="00537997"/>
    <w:rsid w:val="005426C1"/>
    <w:rsid w:val="00543DF8"/>
    <w:rsid w:val="005451BC"/>
    <w:rsid w:val="00551C6E"/>
    <w:rsid w:val="0055232C"/>
    <w:rsid w:val="005553AB"/>
    <w:rsid w:val="005619EA"/>
    <w:rsid w:val="00562E17"/>
    <w:rsid w:val="00562E6E"/>
    <w:rsid w:val="00566446"/>
    <w:rsid w:val="00570468"/>
    <w:rsid w:val="00572826"/>
    <w:rsid w:val="00572F51"/>
    <w:rsid w:val="0057400E"/>
    <w:rsid w:val="005758FF"/>
    <w:rsid w:val="005768C3"/>
    <w:rsid w:val="005820D3"/>
    <w:rsid w:val="00583CA9"/>
    <w:rsid w:val="005866E3"/>
    <w:rsid w:val="00587FAA"/>
    <w:rsid w:val="0059043D"/>
    <w:rsid w:val="005908EE"/>
    <w:rsid w:val="0059259B"/>
    <w:rsid w:val="005933CC"/>
    <w:rsid w:val="00596804"/>
    <w:rsid w:val="00597110"/>
    <w:rsid w:val="00597E47"/>
    <w:rsid w:val="005A04F8"/>
    <w:rsid w:val="005A054B"/>
    <w:rsid w:val="005A1999"/>
    <w:rsid w:val="005A5063"/>
    <w:rsid w:val="005A70D5"/>
    <w:rsid w:val="005B08A1"/>
    <w:rsid w:val="005B0EBA"/>
    <w:rsid w:val="005B2EDD"/>
    <w:rsid w:val="005B3B35"/>
    <w:rsid w:val="005B3D45"/>
    <w:rsid w:val="005B4FCA"/>
    <w:rsid w:val="005B53CF"/>
    <w:rsid w:val="005B78F6"/>
    <w:rsid w:val="005C6DFC"/>
    <w:rsid w:val="005D0722"/>
    <w:rsid w:val="005D3CDE"/>
    <w:rsid w:val="005D3DDD"/>
    <w:rsid w:val="005D5D4A"/>
    <w:rsid w:val="005E10F6"/>
    <w:rsid w:val="005E2621"/>
    <w:rsid w:val="005E7221"/>
    <w:rsid w:val="005F1B8C"/>
    <w:rsid w:val="005F5471"/>
    <w:rsid w:val="00600D78"/>
    <w:rsid w:val="0060352A"/>
    <w:rsid w:val="00604E76"/>
    <w:rsid w:val="00606172"/>
    <w:rsid w:val="00610D52"/>
    <w:rsid w:val="006117FC"/>
    <w:rsid w:val="00611F67"/>
    <w:rsid w:val="0061223B"/>
    <w:rsid w:val="006138D1"/>
    <w:rsid w:val="00615F8C"/>
    <w:rsid w:val="00616FFF"/>
    <w:rsid w:val="006240B1"/>
    <w:rsid w:val="006335CA"/>
    <w:rsid w:val="00633724"/>
    <w:rsid w:val="00635B37"/>
    <w:rsid w:val="006414DE"/>
    <w:rsid w:val="00644884"/>
    <w:rsid w:val="00644FAC"/>
    <w:rsid w:val="00646295"/>
    <w:rsid w:val="00647809"/>
    <w:rsid w:val="006509FC"/>
    <w:rsid w:val="00654F9E"/>
    <w:rsid w:val="006552A6"/>
    <w:rsid w:val="00655AFA"/>
    <w:rsid w:val="00656000"/>
    <w:rsid w:val="00656E14"/>
    <w:rsid w:val="00660CFE"/>
    <w:rsid w:val="00662DF0"/>
    <w:rsid w:val="00663EC7"/>
    <w:rsid w:val="00664C21"/>
    <w:rsid w:val="00665986"/>
    <w:rsid w:val="00667192"/>
    <w:rsid w:val="00667959"/>
    <w:rsid w:val="00667F4B"/>
    <w:rsid w:val="00670DC2"/>
    <w:rsid w:val="00672218"/>
    <w:rsid w:val="0067546F"/>
    <w:rsid w:val="00676680"/>
    <w:rsid w:val="00676CAB"/>
    <w:rsid w:val="006803FD"/>
    <w:rsid w:val="00680643"/>
    <w:rsid w:val="0068229B"/>
    <w:rsid w:val="00683CEC"/>
    <w:rsid w:val="00684786"/>
    <w:rsid w:val="0068541F"/>
    <w:rsid w:val="00690FF9"/>
    <w:rsid w:val="0069759E"/>
    <w:rsid w:val="006978FD"/>
    <w:rsid w:val="006A26D2"/>
    <w:rsid w:val="006A27EC"/>
    <w:rsid w:val="006A2CA7"/>
    <w:rsid w:val="006A43CB"/>
    <w:rsid w:val="006A4C1C"/>
    <w:rsid w:val="006A5F79"/>
    <w:rsid w:val="006B056A"/>
    <w:rsid w:val="006B4DBB"/>
    <w:rsid w:val="006B58AA"/>
    <w:rsid w:val="006B7EC5"/>
    <w:rsid w:val="006C2D91"/>
    <w:rsid w:val="006C5DF1"/>
    <w:rsid w:val="006C6EC5"/>
    <w:rsid w:val="006D7383"/>
    <w:rsid w:val="006D7878"/>
    <w:rsid w:val="006E04EE"/>
    <w:rsid w:val="006E2059"/>
    <w:rsid w:val="006E3E47"/>
    <w:rsid w:val="006E6755"/>
    <w:rsid w:val="006E7A14"/>
    <w:rsid w:val="006F1886"/>
    <w:rsid w:val="006F61D2"/>
    <w:rsid w:val="00701F63"/>
    <w:rsid w:val="0070306D"/>
    <w:rsid w:val="00703588"/>
    <w:rsid w:val="00704DC1"/>
    <w:rsid w:val="00710154"/>
    <w:rsid w:val="00710F06"/>
    <w:rsid w:val="007129B8"/>
    <w:rsid w:val="007140AB"/>
    <w:rsid w:val="00716DF1"/>
    <w:rsid w:val="007174AF"/>
    <w:rsid w:val="00726518"/>
    <w:rsid w:val="00731D2C"/>
    <w:rsid w:val="00732360"/>
    <w:rsid w:val="007351C8"/>
    <w:rsid w:val="00735DA9"/>
    <w:rsid w:val="0073629D"/>
    <w:rsid w:val="00736652"/>
    <w:rsid w:val="00740674"/>
    <w:rsid w:val="00742DEE"/>
    <w:rsid w:val="00743A66"/>
    <w:rsid w:val="00745DC8"/>
    <w:rsid w:val="007460BC"/>
    <w:rsid w:val="0074639E"/>
    <w:rsid w:val="00746B19"/>
    <w:rsid w:val="007474D4"/>
    <w:rsid w:val="0075342F"/>
    <w:rsid w:val="00756624"/>
    <w:rsid w:val="0075766F"/>
    <w:rsid w:val="00760484"/>
    <w:rsid w:val="00761F03"/>
    <w:rsid w:val="007620E6"/>
    <w:rsid w:val="00762A17"/>
    <w:rsid w:val="00767565"/>
    <w:rsid w:val="00770784"/>
    <w:rsid w:val="00773C90"/>
    <w:rsid w:val="0077782F"/>
    <w:rsid w:val="007805D9"/>
    <w:rsid w:val="00781399"/>
    <w:rsid w:val="00781576"/>
    <w:rsid w:val="007830D0"/>
    <w:rsid w:val="007870F6"/>
    <w:rsid w:val="0079109F"/>
    <w:rsid w:val="007939DE"/>
    <w:rsid w:val="00795CB5"/>
    <w:rsid w:val="00796375"/>
    <w:rsid w:val="007963D3"/>
    <w:rsid w:val="00796F90"/>
    <w:rsid w:val="00797A56"/>
    <w:rsid w:val="00797D0C"/>
    <w:rsid w:val="007A22BD"/>
    <w:rsid w:val="007A6504"/>
    <w:rsid w:val="007A77F1"/>
    <w:rsid w:val="007B199C"/>
    <w:rsid w:val="007B41C7"/>
    <w:rsid w:val="007B4531"/>
    <w:rsid w:val="007B565A"/>
    <w:rsid w:val="007B743D"/>
    <w:rsid w:val="007B78E3"/>
    <w:rsid w:val="007C0501"/>
    <w:rsid w:val="007C2B15"/>
    <w:rsid w:val="007C3228"/>
    <w:rsid w:val="007C416D"/>
    <w:rsid w:val="007C66EE"/>
    <w:rsid w:val="007C7308"/>
    <w:rsid w:val="007D0069"/>
    <w:rsid w:val="007D067F"/>
    <w:rsid w:val="007D09D9"/>
    <w:rsid w:val="007D3294"/>
    <w:rsid w:val="007D429F"/>
    <w:rsid w:val="007D4663"/>
    <w:rsid w:val="007D5170"/>
    <w:rsid w:val="007D5C4D"/>
    <w:rsid w:val="007E0BD7"/>
    <w:rsid w:val="007E2987"/>
    <w:rsid w:val="007F3FBA"/>
    <w:rsid w:val="007F62B1"/>
    <w:rsid w:val="007F73D0"/>
    <w:rsid w:val="00800330"/>
    <w:rsid w:val="008017D7"/>
    <w:rsid w:val="00803871"/>
    <w:rsid w:val="00804B39"/>
    <w:rsid w:val="00805D25"/>
    <w:rsid w:val="00813CC8"/>
    <w:rsid w:val="00813FB1"/>
    <w:rsid w:val="00821C1E"/>
    <w:rsid w:val="0082715A"/>
    <w:rsid w:val="008304C1"/>
    <w:rsid w:val="00833053"/>
    <w:rsid w:val="00836047"/>
    <w:rsid w:val="008375DB"/>
    <w:rsid w:val="00840CB9"/>
    <w:rsid w:val="008418BB"/>
    <w:rsid w:val="00842D60"/>
    <w:rsid w:val="00843BD2"/>
    <w:rsid w:val="00844DE4"/>
    <w:rsid w:val="00846C89"/>
    <w:rsid w:val="0084712F"/>
    <w:rsid w:val="00850668"/>
    <w:rsid w:val="0085138A"/>
    <w:rsid w:val="008537FA"/>
    <w:rsid w:val="00853AF4"/>
    <w:rsid w:val="00854273"/>
    <w:rsid w:val="00854F8B"/>
    <w:rsid w:val="00855494"/>
    <w:rsid w:val="00857B2C"/>
    <w:rsid w:val="00862EC5"/>
    <w:rsid w:val="00863C46"/>
    <w:rsid w:val="00863EC3"/>
    <w:rsid w:val="00873B63"/>
    <w:rsid w:val="00874CB0"/>
    <w:rsid w:val="00875D1C"/>
    <w:rsid w:val="00875FB3"/>
    <w:rsid w:val="00876E17"/>
    <w:rsid w:val="00877D6D"/>
    <w:rsid w:val="00884CC7"/>
    <w:rsid w:val="00885A95"/>
    <w:rsid w:val="008902C9"/>
    <w:rsid w:val="008929F9"/>
    <w:rsid w:val="0089312A"/>
    <w:rsid w:val="00893B36"/>
    <w:rsid w:val="00893BBA"/>
    <w:rsid w:val="00893F56"/>
    <w:rsid w:val="00894CAA"/>
    <w:rsid w:val="00895282"/>
    <w:rsid w:val="00897013"/>
    <w:rsid w:val="008A0380"/>
    <w:rsid w:val="008A26B0"/>
    <w:rsid w:val="008A2E5E"/>
    <w:rsid w:val="008A38F5"/>
    <w:rsid w:val="008B1972"/>
    <w:rsid w:val="008B41E5"/>
    <w:rsid w:val="008B70E2"/>
    <w:rsid w:val="008B7F9F"/>
    <w:rsid w:val="008C0EAF"/>
    <w:rsid w:val="008C13AA"/>
    <w:rsid w:val="008C3D85"/>
    <w:rsid w:val="008C483E"/>
    <w:rsid w:val="008C5559"/>
    <w:rsid w:val="008C63A7"/>
    <w:rsid w:val="008C70BB"/>
    <w:rsid w:val="008C7289"/>
    <w:rsid w:val="008C73B2"/>
    <w:rsid w:val="008D25DC"/>
    <w:rsid w:val="008D28A1"/>
    <w:rsid w:val="008D30F9"/>
    <w:rsid w:val="008D7CDB"/>
    <w:rsid w:val="008E1371"/>
    <w:rsid w:val="008E1AD6"/>
    <w:rsid w:val="008E2C87"/>
    <w:rsid w:val="008E5110"/>
    <w:rsid w:val="008E5C4C"/>
    <w:rsid w:val="008E7E07"/>
    <w:rsid w:val="008F142A"/>
    <w:rsid w:val="008F69B6"/>
    <w:rsid w:val="0090065F"/>
    <w:rsid w:val="00901FFB"/>
    <w:rsid w:val="0090224B"/>
    <w:rsid w:val="0090393F"/>
    <w:rsid w:val="00903A1A"/>
    <w:rsid w:val="00905F9C"/>
    <w:rsid w:val="00906AE8"/>
    <w:rsid w:val="00906D69"/>
    <w:rsid w:val="009108A8"/>
    <w:rsid w:val="00910D69"/>
    <w:rsid w:val="00910FEA"/>
    <w:rsid w:val="00914E9B"/>
    <w:rsid w:val="009158BE"/>
    <w:rsid w:val="00915922"/>
    <w:rsid w:val="00917FED"/>
    <w:rsid w:val="00923129"/>
    <w:rsid w:val="00923ADB"/>
    <w:rsid w:val="00923ED1"/>
    <w:rsid w:val="009326D0"/>
    <w:rsid w:val="00933ABE"/>
    <w:rsid w:val="00934091"/>
    <w:rsid w:val="00934CA8"/>
    <w:rsid w:val="00935E29"/>
    <w:rsid w:val="00935F15"/>
    <w:rsid w:val="0094046A"/>
    <w:rsid w:val="00941688"/>
    <w:rsid w:val="009427DF"/>
    <w:rsid w:val="00943102"/>
    <w:rsid w:val="00943279"/>
    <w:rsid w:val="0095187D"/>
    <w:rsid w:val="0095206B"/>
    <w:rsid w:val="0095259C"/>
    <w:rsid w:val="009527AC"/>
    <w:rsid w:val="009531FA"/>
    <w:rsid w:val="009539D8"/>
    <w:rsid w:val="00953BDD"/>
    <w:rsid w:val="009545AB"/>
    <w:rsid w:val="0095477E"/>
    <w:rsid w:val="009555E4"/>
    <w:rsid w:val="00955814"/>
    <w:rsid w:val="00956132"/>
    <w:rsid w:val="0096151F"/>
    <w:rsid w:val="00962036"/>
    <w:rsid w:val="00962160"/>
    <w:rsid w:val="00962267"/>
    <w:rsid w:val="00970E8F"/>
    <w:rsid w:val="00971B11"/>
    <w:rsid w:val="00972022"/>
    <w:rsid w:val="00980E44"/>
    <w:rsid w:val="0098167A"/>
    <w:rsid w:val="009819CF"/>
    <w:rsid w:val="00981C2A"/>
    <w:rsid w:val="00982658"/>
    <w:rsid w:val="00983014"/>
    <w:rsid w:val="009830F9"/>
    <w:rsid w:val="00985FF1"/>
    <w:rsid w:val="00986443"/>
    <w:rsid w:val="0098769B"/>
    <w:rsid w:val="00991BCF"/>
    <w:rsid w:val="00991F5C"/>
    <w:rsid w:val="00995DE1"/>
    <w:rsid w:val="009970EC"/>
    <w:rsid w:val="009A1498"/>
    <w:rsid w:val="009A48F7"/>
    <w:rsid w:val="009A5F09"/>
    <w:rsid w:val="009A5F7D"/>
    <w:rsid w:val="009A6697"/>
    <w:rsid w:val="009A6835"/>
    <w:rsid w:val="009B2268"/>
    <w:rsid w:val="009B3617"/>
    <w:rsid w:val="009B66B6"/>
    <w:rsid w:val="009C19C6"/>
    <w:rsid w:val="009C4E62"/>
    <w:rsid w:val="009C5CE5"/>
    <w:rsid w:val="009C64CC"/>
    <w:rsid w:val="009C6B40"/>
    <w:rsid w:val="009D0C37"/>
    <w:rsid w:val="009D0FA7"/>
    <w:rsid w:val="009D30F4"/>
    <w:rsid w:val="009D3660"/>
    <w:rsid w:val="009D5EBC"/>
    <w:rsid w:val="009E10CB"/>
    <w:rsid w:val="009E2122"/>
    <w:rsid w:val="009E3281"/>
    <w:rsid w:val="009E4796"/>
    <w:rsid w:val="009E5C31"/>
    <w:rsid w:val="009F1377"/>
    <w:rsid w:val="009F1B6D"/>
    <w:rsid w:val="009F4795"/>
    <w:rsid w:val="009F584A"/>
    <w:rsid w:val="009F76E2"/>
    <w:rsid w:val="00A00A15"/>
    <w:rsid w:val="00A0363B"/>
    <w:rsid w:val="00A04B84"/>
    <w:rsid w:val="00A05E44"/>
    <w:rsid w:val="00A07ADC"/>
    <w:rsid w:val="00A21F9D"/>
    <w:rsid w:val="00A25361"/>
    <w:rsid w:val="00A253D9"/>
    <w:rsid w:val="00A26262"/>
    <w:rsid w:val="00A27297"/>
    <w:rsid w:val="00A27BA7"/>
    <w:rsid w:val="00A27D2C"/>
    <w:rsid w:val="00A30B26"/>
    <w:rsid w:val="00A30B5F"/>
    <w:rsid w:val="00A37849"/>
    <w:rsid w:val="00A4048D"/>
    <w:rsid w:val="00A40DFE"/>
    <w:rsid w:val="00A40EE4"/>
    <w:rsid w:val="00A458A7"/>
    <w:rsid w:val="00A47C94"/>
    <w:rsid w:val="00A61FF1"/>
    <w:rsid w:val="00A62093"/>
    <w:rsid w:val="00A62B77"/>
    <w:rsid w:val="00A64289"/>
    <w:rsid w:val="00A6568D"/>
    <w:rsid w:val="00A674B9"/>
    <w:rsid w:val="00A67F55"/>
    <w:rsid w:val="00A711AB"/>
    <w:rsid w:val="00A71D32"/>
    <w:rsid w:val="00A723FA"/>
    <w:rsid w:val="00A757D5"/>
    <w:rsid w:val="00A75C83"/>
    <w:rsid w:val="00A8161C"/>
    <w:rsid w:val="00A82D08"/>
    <w:rsid w:val="00A8345F"/>
    <w:rsid w:val="00A85B58"/>
    <w:rsid w:val="00A8755E"/>
    <w:rsid w:val="00A9391F"/>
    <w:rsid w:val="00A94AEF"/>
    <w:rsid w:val="00A954E9"/>
    <w:rsid w:val="00A9700A"/>
    <w:rsid w:val="00A9703D"/>
    <w:rsid w:val="00A9714C"/>
    <w:rsid w:val="00AA0A75"/>
    <w:rsid w:val="00AA25E6"/>
    <w:rsid w:val="00AB1054"/>
    <w:rsid w:val="00AB1DA1"/>
    <w:rsid w:val="00AB5A05"/>
    <w:rsid w:val="00AC0D86"/>
    <w:rsid w:val="00AC5456"/>
    <w:rsid w:val="00AC6491"/>
    <w:rsid w:val="00AD0200"/>
    <w:rsid w:val="00AD1428"/>
    <w:rsid w:val="00AD2579"/>
    <w:rsid w:val="00AD6437"/>
    <w:rsid w:val="00AD65E5"/>
    <w:rsid w:val="00AD697A"/>
    <w:rsid w:val="00AD726E"/>
    <w:rsid w:val="00AD754F"/>
    <w:rsid w:val="00AE061E"/>
    <w:rsid w:val="00AE0FD6"/>
    <w:rsid w:val="00AE11E2"/>
    <w:rsid w:val="00AE1678"/>
    <w:rsid w:val="00AE2622"/>
    <w:rsid w:val="00AE2ED9"/>
    <w:rsid w:val="00AE3F0C"/>
    <w:rsid w:val="00AE5528"/>
    <w:rsid w:val="00AF10F4"/>
    <w:rsid w:val="00AF4326"/>
    <w:rsid w:val="00AF5CDE"/>
    <w:rsid w:val="00AF6DB4"/>
    <w:rsid w:val="00B008B3"/>
    <w:rsid w:val="00B04633"/>
    <w:rsid w:val="00B16397"/>
    <w:rsid w:val="00B17134"/>
    <w:rsid w:val="00B17711"/>
    <w:rsid w:val="00B20017"/>
    <w:rsid w:val="00B20A6D"/>
    <w:rsid w:val="00B20EA1"/>
    <w:rsid w:val="00B24580"/>
    <w:rsid w:val="00B2681D"/>
    <w:rsid w:val="00B3117B"/>
    <w:rsid w:val="00B333DF"/>
    <w:rsid w:val="00B336B9"/>
    <w:rsid w:val="00B33E93"/>
    <w:rsid w:val="00B37F1A"/>
    <w:rsid w:val="00B40FDD"/>
    <w:rsid w:val="00B45992"/>
    <w:rsid w:val="00B50C3F"/>
    <w:rsid w:val="00B547BF"/>
    <w:rsid w:val="00B54C93"/>
    <w:rsid w:val="00B56F84"/>
    <w:rsid w:val="00B6066A"/>
    <w:rsid w:val="00B60BA3"/>
    <w:rsid w:val="00B6110B"/>
    <w:rsid w:val="00B63414"/>
    <w:rsid w:val="00B66B39"/>
    <w:rsid w:val="00B67192"/>
    <w:rsid w:val="00B702C5"/>
    <w:rsid w:val="00B72733"/>
    <w:rsid w:val="00B73643"/>
    <w:rsid w:val="00B757D8"/>
    <w:rsid w:val="00B83263"/>
    <w:rsid w:val="00B83795"/>
    <w:rsid w:val="00B91559"/>
    <w:rsid w:val="00B922A0"/>
    <w:rsid w:val="00BA6275"/>
    <w:rsid w:val="00BB20D6"/>
    <w:rsid w:val="00BB3412"/>
    <w:rsid w:val="00BB5509"/>
    <w:rsid w:val="00BC34B8"/>
    <w:rsid w:val="00BC3BBF"/>
    <w:rsid w:val="00BC4F1E"/>
    <w:rsid w:val="00BC5143"/>
    <w:rsid w:val="00BD0797"/>
    <w:rsid w:val="00BD0E65"/>
    <w:rsid w:val="00BD2DFE"/>
    <w:rsid w:val="00BD3BB0"/>
    <w:rsid w:val="00BD5F40"/>
    <w:rsid w:val="00BD7123"/>
    <w:rsid w:val="00BE4C30"/>
    <w:rsid w:val="00BE5F90"/>
    <w:rsid w:val="00BF2606"/>
    <w:rsid w:val="00BF7C5E"/>
    <w:rsid w:val="00C00354"/>
    <w:rsid w:val="00C009BB"/>
    <w:rsid w:val="00C02945"/>
    <w:rsid w:val="00C0589B"/>
    <w:rsid w:val="00C10962"/>
    <w:rsid w:val="00C113BC"/>
    <w:rsid w:val="00C12BAA"/>
    <w:rsid w:val="00C157A9"/>
    <w:rsid w:val="00C16FE4"/>
    <w:rsid w:val="00C205E5"/>
    <w:rsid w:val="00C23A6C"/>
    <w:rsid w:val="00C24C83"/>
    <w:rsid w:val="00C260E0"/>
    <w:rsid w:val="00C32CBF"/>
    <w:rsid w:val="00C35115"/>
    <w:rsid w:val="00C35E94"/>
    <w:rsid w:val="00C407C8"/>
    <w:rsid w:val="00C41158"/>
    <w:rsid w:val="00C432FE"/>
    <w:rsid w:val="00C4456A"/>
    <w:rsid w:val="00C458DD"/>
    <w:rsid w:val="00C47F6C"/>
    <w:rsid w:val="00C501AE"/>
    <w:rsid w:val="00C50355"/>
    <w:rsid w:val="00C512CC"/>
    <w:rsid w:val="00C54ADE"/>
    <w:rsid w:val="00C6059C"/>
    <w:rsid w:val="00C61A82"/>
    <w:rsid w:val="00C62A9F"/>
    <w:rsid w:val="00C66375"/>
    <w:rsid w:val="00C66BD6"/>
    <w:rsid w:val="00C67104"/>
    <w:rsid w:val="00C675B5"/>
    <w:rsid w:val="00C677A9"/>
    <w:rsid w:val="00C72A47"/>
    <w:rsid w:val="00C73FBD"/>
    <w:rsid w:val="00C744F8"/>
    <w:rsid w:val="00C76E93"/>
    <w:rsid w:val="00C801D0"/>
    <w:rsid w:val="00C802FD"/>
    <w:rsid w:val="00C80D8D"/>
    <w:rsid w:val="00C812D3"/>
    <w:rsid w:val="00C82CCA"/>
    <w:rsid w:val="00C84243"/>
    <w:rsid w:val="00C92F27"/>
    <w:rsid w:val="00C94DBD"/>
    <w:rsid w:val="00C95027"/>
    <w:rsid w:val="00C95462"/>
    <w:rsid w:val="00C95903"/>
    <w:rsid w:val="00CA19BB"/>
    <w:rsid w:val="00CA261B"/>
    <w:rsid w:val="00CA28F3"/>
    <w:rsid w:val="00CA4B03"/>
    <w:rsid w:val="00CA4ECA"/>
    <w:rsid w:val="00CA541D"/>
    <w:rsid w:val="00CA5D6F"/>
    <w:rsid w:val="00CA7270"/>
    <w:rsid w:val="00CB00FB"/>
    <w:rsid w:val="00CB0D4C"/>
    <w:rsid w:val="00CB0D8B"/>
    <w:rsid w:val="00CB28C4"/>
    <w:rsid w:val="00CB43FA"/>
    <w:rsid w:val="00CB77B0"/>
    <w:rsid w:val="00CC0457"/>
    <w:rsid w:val="00CC1FC1"/>
    <w:rsid w:val="00CC371A"/>
    <w:rsid w:val="00CC5082"/>
    <w:rsid w:val="00CC6306"/>
    <w:rsid w:val="00CC67DF"/>
    <w:rsid w:val="00CC7CF8"/>
    <w:rsid w:val="00CD6A10"/>
    <w:rsid w:val="00CD71F7"/>
    <w:rsid w:val="00CE1538"/>
    <w:rsid w:val="00CE3152"/>
    <w:rsid w:val="00CE5FB0"/>
    <w:rsid w:val="00CF37B7"/>
    <w:rsid w:val="00CF468F"/>
    <w:rsid w:val="00D01B04"/>
    <w:rsid w:val="00D01DA5"/>
    <w:rsid w:val="00D02E21"/>
    <w:rsid w:val="00D04321"/>
    <w:rsid w:val="00D05485"/>
    <w:rsid w:val="00D11DED"/>
    <w:rsid w:val="00D14568"/>
    <w:rsid w:val="00D159AC"/>
    <w:rsid w:val="00D237BB"/>
    <w:rsid w:val="00D247B6"/>
    <w:rsid w:val="00D24F55"/>
    <w:rsid w:val="00D26941"/>
    <w:rsid w:val="00D30940"/>
    <w:rsid w:val="00D32088"/>
    <w:rsid w:val="00D325DF"/>
    <w:rsid w:val="00D34A15"/>
    <w:rsid w:val="00D42E06"/>
    <w:rsid w:val="00D43A9A"/>
    <w:rsid w:val="00D43EB9"/>
    <w:rsid w:val="00D51458"/>
    <w:rsid w:val="00D5459C"/>
    <w:rsid w:val="00D55C0A"/>
    <w:rsid w:val="00D56F83"/>
    <w:rsid w:val="00D57EFB"/>
    <w:rsid w:val="00D60AC5"/>
    <w:rsid w:val="00D62C13"/>
    <w:rsid w:val="00D63D29"/>
    <w:rsid w:val="00D73104"/>
    <w:rsid w:val="00D7362D"/>
    <w:rsid w:val="00D75A5C"/>
    <w:rsid w:val="00D75CF1"/>
    <w:rsid w:val="00D77EB0"/>
    <w:rsid w:val="00D77EB8"/>
    <w:rsid w:val="00D81EA9"/>
    <w:rsid w:val="00D915C1"/>
    <w:rsid w:val="00D91784"/>
    <w:rsid w:val="00D923A0"/>
    <w:rsid w:val="00D93BF5"/>
    <w:rsid w:val="00D93FAC"/>
    <w:rsid w:val="00D950FD"/>
    <w:rsid w:val="00D95EB4"/>
    <w:rsid w:val="00D967AD"/>
    <w:rsid w:val="00DA122E"/>
    <w:rsid w:val="00DA5C18"/>
    <w:rsid w:val="00DA656F"/>
    <w:rsid w:val="00DA714D"/>
    <w:rsid w:val="00DB1A79"/>
    <w:rsid w:val="00DB3C7E"/>
    <w:rsid w:val="00DB5924"/>
    <w:rsid w:val="00DB6B6C"/>
    <w:rsid w:val="00DB7D71"/>
    <w:rsid w:val="00DB7FA3"/>
    <w:rsid w:val="00DC185B"/>
    <w:rsid w:val="00DD2FAD"/>
    <w:rsid w:val="00DD4D4E"/>
    <w:rsid w:val="00DD6FE9"/>
    <w:rsid w:val="00DE2B99"/>
    <w:rsid w:val="00DE392C"/>
    <w:rsid w:val="00DE39D5"/>
    <w:rsid w:val="00DF46AD"/>
    <w:rsid w:val="00DF4FB3"/>
    <w:rsid w:val="00DF6578"/>
    <w:rsid w:val="00DF7BBC"/>
    <w:rsid w:val="00E037E8"/>
    <w:rsid w:val="00E03E44"/>
    <w:rsid w:val="00E07FCD"/>
    <w:rsid w:val="00E113FF"/>
    <w:rsid w:val="00E1409B"/>
    <w:rsid w:val="00E1421A"/>
    <w:rsid w:val="00E1728F"/>
    <w:rsid w:val="00E24CF7"/>
    <w:rsid w:val="00E24E0F"/>
    <w:rsid w:val="00E26617"/>
    <w:rsid w:val="00E27A36"/>
    <w:rsid w:val="00E3000B"/>
    <w:rsid w:val="00E32C03"/>
    <w:rsid w:val="00E34597"/>
    <w:rsid w:val="00E34B40"/>
    <w:rsid w:val="00E35AAD"/>
    <w:rsid w:val="00E35D6E"/>
    <w:rsid w:val="00E36E08"/>
    <w:rsid w:val="00E376CE"/>
    <w:rsid w:val="00E406A7"/>
    <w:rsid w:val="00E505ED"/>
    <w:rsid w:val="00E52DEF"/>
    <w:rsid w:val="00E5355B"/>
    <w:rsid w:val="00E54C41"/>
    <w:rsid w:val="00E562DC"/>
    <w:rsid w:val="00E632AB"/>
    <w:rsid w:val="00E63937"/>
    <w:rsid w:val="00E64008"/>
    <w:rsid w:val="00E66734"/>
    <w:rsid w:val="00E73943"/>
    <w:rsid w:val="00E73A29"/>
    <w:rsid w:val="00E74066"/>
    <w:rsid w:val="00E766C7"/>
    <w:rsid w:val="00E81954"/>
    <w:rsid w:val="00E84044"/>
    <w:rsid w:val="00E84291"/>
    <w:rsid w:val="00E85ACF"/>
    <w:rsid w:val="00E9033A"/>
    <w:rsid w:val="00E907F1"/>
    <w:rsid w:val="00E912C6"/>
    <w:rsid w:val="00E94CDE"/>
    <w:rsid w:val="00EA0E19"/>
    <w:rsid w:val="00EA38D1"/>
    <w:rsid w:val="00EA42F9"/>
    <w:rsid w:val="00EA47C6"/>
    <w:rsid w:val="00EA642F"/>
    <w:rsid w:val="00EB173A"/>
    <w:rsid w:val="00EB17D6"/>
    <w:rsid w:val="00EB5665"/>
    <w:rsid w:val="00EC093E"/>
    <w:rsid w:val="00EC0D9E"/>
    <w:rsid w:val="00EC142A"/>
    <w:rsid w:val="00EC23F8"/>
    <w:rsid w:val="00EC31B5"/>
    <w:rsid w:val="00EC528A"/>
    <w:rsid w:val="00EC6EF5"/>
    <w:rsid w:val="00ED0FE9"/>
    <w:rsid w:val="00ED12AE"/>
    <w:rsid w:val="00ED198F"/>
    <w:rsid w:val="00ED4100"/>
    <w:rsid w:val="00ED6114"/>
    <w:rsid w:val="00EE0520"/>
    <w:rsid w:val="00EE6056"/>
    <w:rsid w:val="00EE6CC6"/>
    <w:rsid w:val="00EF03C5"/>
    <w:rsid w:val="00EF05C3"/>
    <w:rsid w:val="00EF0691"/>
    <w:rsid w:val="00EF2269"/>
    <w:rsid w:val="00EF28E8"/>
    <w:rsid w:val="00EF52AE"/>
    <w:rsid w:val="00EF5D42"/>
    <w:rsid w:val="00EF79CE"/>
    <w:rsid w:val="00EF7EED"/>
    <w:rsid w:val="00F041C9"/>
    <w:rsid w:val="00F05C88"/>
    <w:rsid w:val="00F0678C"/>
    <w:rsid w:val="00F11255"/>
    <w:rsid w:val="00F124E0"/>
    <w:rsid w:val="00F15946"/>
    <w:rsid w:val="00F1640E"/>
    <w:rsid w:val="00F17985"/>
    <w:rsid w:val="00F208FE"/>
    <w:rsid w:val="00F21DBA"/>
    <w:rsid w:val="00F233B9"/>
    <w:rsid w:val="00F27AF7"/>
    <w:rsid w:val="00F27F35"/>
    <w:rsid w:val="00F352E6"/>
    <w:rsid w:val="00F37731"/>
    <w:rsid w:val="00F37B82"/>
    <w:rsid w:val="00F40BAF"/>
    <w:rsid w:val="00F41E50"/>
    <w:rsid w:val="00F468D1"/>
    <w:rsid w:val="00F477A5"/>
    <w:rsid w:val="00F478F0"/>
    <w:rsid w:val="00F508FE"/>
    <w:rsid w:val="00F51C4F"/>
    <w:rsid w:val="00F5342E"/>
    <w:rsid w:val="00F53D21"/>
    <w:rsid w:val="00F545EB"/>
    <w:rsid w:val="00F546FE"/>
    <w:rsid w:val="00F55032"/>
    <w:rsid w:val="00F56E3A"/>
    <w:rsid w:val="00F6164A"/>
    <w:rsid w:val="00F65467"/>
    <w:rsid w:val="00F70D51"/>
    <w:rsid w:val="00F72008"/>
    <w:rsid w:val="00F72107"/>
    <w:rsid w:val="00F72B7C"/>
    <w:rsid w:val="00F734C6"/>
    <w:rsid w:val="00F73A59"/>
    <w:rsid w:val="00F77AFD"/>
    <w:rsid w:val="00F77DBE"/>
    <w:rsid w:val="00F83246"/>
    <w:rsid w:val="00F847D5"/>
    <w:rsid w:val="00F86609"/>
    <w:rsid w:val="00F875B5"/>
    <w:rsid w:val="00F87A1C"/>
    <w:rsid w:val="00F900ED"/>
    <w:rsid w:val="00F94A05"/>
    <w:rsid w:val="00FA0D11"/>
    <w:rsid w:val="00FA1313"/>
    <w:rsid w:val="00FA1935"/>
    <w:rsid w:val="00FA1D2A"/>
    <w:rsid w:val="00FA2904"/>
    <w:rsid w:val="00FA5FE2"/>
    <w:rsid w:val="00FA7A36"/>
    <w:rsid w:val="00FB25A8"/>
    <w:rsid w:val="00FB49C9"/>
    <w:rsid w:val="00FB73B1"/>
    <w:rsid w:val="00FB7869"/>
    <w:rsid w:val="00FC0176"/>
    <w:rsid w:val="00FC27C3"/>
    <w:rsid w:val="00FC5534"/>
    <w:rsid w:val="00FC56E5"/>
    <w:rsid w:val="00FC649A"/>
    <w:rsid w:val="00FD5C7C"/>
    <w:rsid w:val="00FD6000"/>
    <w:rsid w:val="00FE14BB"/>
    <w:rsid w:val="00FE17B0"/>
    <w:rsid w:val="00FE6510"/>
    <w:rsid w:val="00FE75C0"/>
    <w:rsid w:val="00FE7DBC"/>
    <w:rsid w:val="00FF0DCD"/>
    <w:rsid w:val="00FF31C5"/>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4238AB39"/>
  <w15:docId w15:val="{0F7868D7-4D29-4A17-80C5-BF583470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4B9"/>
    <w:pPr>
      <w:ind w:left="720"/>
      <w:contextualSpacing/>
    </w:pPr>
  </w:style>
  <w:style w:type="character" w:styleId="CommentReference">
    <w:name w:val="annotation reference"/>
    <w:basedOn w:val="DefaultParagraphFont"/>
    <w:rsid w:val="00D237BB"/>
    <w:rPr>
      <w:sz w:val="16"/>
      <w:szCs w:val="16"/>
    </w:rPr>
  </w:style>
  <w:style w:type="paragraph" w:styleId="CommentText">
    <w:name w:val="annotation text"/>
    <w:basedOn w:val="Normal"/>
    <w:link w:val="CommentTextChar"/>
    <w:rsid w:val="00D237BB"/>
  </w:style>
  <w:style w:type="character" w:customStyle="1" w:styleId="CommentTextChar">
    <w:name w:val="Comment Text Char"/>
    <w:basedOn w:val="DefaultParagraphFont"/>
    <w:link w:val="CommentText"/>
    <w:rsid w:val="00D237BB"/>
  </w:style>
  <w:style w:type="paragraph" w:styleId="CommentSubject">
    <w:name w:val="annotation subject"/>
    <w:basedOn w:val="CommentText"/>
    <w:next w:val="CommentText"/>
    <w:link w:val="CommentSubjectChar"/>
    <w:rsid w:val="00D237BB"/>
    <w:rPr>
      <w:b/>
      <w:bCs/>
    </w:rPr>
  </w:style>
  <w:style w:type="character" w:customStyle="1" w:styleId="CommentSubjectChar">
    <w:name w:val="Comment Subject Char"/>
    <w:basedOn w:val="CommentTextChar"/>
    <w:link w:val="CommentSubject"/>
    <w:rsid w:val="00D237BB"/>
    <w:rPr>
      <w:b/>
      <w:bCs/>
    </w:rPr>
  </w:style>
  <w:style w:type="paragraph" w:styleId="Revision">
    <w:name w:val="Revision"/>
    <w:hidden/>
    <w:uiPriority w:val="99"/>
    <w:semiHidden/>
    <w:rsid w:val="002C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135">
      <w:bodyDiv w:val="1"/>
      <w:marLeft w:val="0"/>
      <w:marRight w:val="0"/>
      <w:marTop w:val="0"/>
      <w:marBottom w:val="0"/>
      <w:divBdr>
        <w:top w:val="none" w:sz="0" w:space="0" w:color="auto"/>
        <w:left w:val="none" w:sz="0" w:space="0" w:color="auto"/>
        <w:bottom w:val="none" w:sz="0" w:space="0" w:color="auto"/>
        <w:right w:val="none" w:sz="0" w:space="0" w:color="auto"/>
      </w:divBdr>
    </w:div>
    <w:div w:id="140125129">
      <w:bodyDiv w:val="1"/>
      <w:marLeft w:val="0"/>
      <w:marRight w:val="0"/>
      <w:marTop w:val="0"/>
      <w:marBottom w:val="0"/>
      <w:divBdr>
        <w:top w:val="none" w:sz="0" w:space="0" w:color="auto"/>
        <w:left w:val="none" w:sz="0" w:space="0" w:color="auto"/>
        <w:bottom w:val="none" w:sz="0" w:space="0" w:color="auto"/>
        <w:right w:val="none" w:sz="0" w:space="0" w:color="auto"/>
      </w:divBdr>
    </w:div>
    <w:div w:id="174156993">
      <w:bodyDiv w:val="1"/>
      <w:marLeft w:val="0"/>
      <w:marRight w:val="0"/>
      <w:marTop w:val="0"/>
      <w:marBottom w:val="0"/>
      <w:divBdr>
        <w:top w:val="none" w:sz="0" w:space="0" w:color="auto"/>
        <w:left w:val="none" w:sz="0" w:space="0" w:color="auto"/>
        <w:bottom w:val="none" w:sz="0" w:space="0" w:color="auto"/>
        <w:right w:val="none" w:sz="0" w:space="0" w:color="auto"/>
      </w:divBdr>
    </w:div>
    <w:div w:id="371271236">
      <w:bodyDiv w:val="1"/>
      <w:marLeft w:val="0"/>
      <w:marRight w:val="0"/>
      <w:marTop w:val="0"/>
      <w:marBottom w:val="0"/>
      <w:divBdr>
        <w:top w:val="none" w:sz="0" w:space="0" w:color="auto"/>
        <w:left w:val="none" w:sz="0" w:space="0" w:color="auto"/>
        <w:bottom w:val="none" w:sz="0" w:space="0" w:color="auto"/>
        <w:right w:val="none" w:sz="0" w:space="0" w:color="auto"/>
      </w:divBdr>
    </w:div>
    <w:div w:id="397869797">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79890761">
      <w:bodyDiv w:val="1"/>
      <w:marLeft w:val="0"/>
      <w:marRight w:val="0"/>
      <w:marTop w:val="0"/>
      <w:marBottom w:val="0"/>
      <w:divBdr>
        <w:top w:val="none" w:sz="0" w:space="0" w:color="auto"/>
        <w:left w:val="none" w:sz="0" w:space="0" w:color="auto"/>
        <w:bottom w:val="none" w:sz="0" w:space="0" w:color="auto"/>
        <w:right w:val="none" w:sz="0" w:space="0" w:color="auto"/>
      </w:divBdr>
    </w:div>
    <w:div w:id="1137651017">
      <w:bodyDiv w:val="1"/>
      <w:marLeft w:val="0"/>
      <w:marRight w:val="0"/>
      <w:marTop w:val="0"/>
      <w:marBottom w:val="0"/>
      <w:divBdr>
        <w:top w:val="none" w:sz="0" w:space="0" w:color="auto"/>
        <w:left w:val="none" w:sz="0" w:space="0" w:color="auto"/>
        <w:bottom w:val="none" w:sz="0" w:space="0" w:color="auto"/>
        <w:right w:val="none" w:sz="0" w:space="0" w:color="auto"/>
      </w:divBdr>
    </w:div>
    <w:div w:id="1190334497">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80023938">
      <w:bodyDiv w:val="1"/>
      <w:marLeft w:val="0"/>
      <w:marRight w:val="0"/>
      <w:marTop w:val="0"/>
      <w:marBottom w:val="0"/>
      <w:divBdr>
        <w:top w:val="none" w:sz="0" w:space="0" w:color="auto"/>
        <w:left w:val="none" w:sz="0" w:space="0" w:color="auto"/>
        <w:bottom w:val="none" w:sz="0" w:space="0" w:color="auto"/>
        <w:right w:val="none" w:sz="0" w:space="0" w:color="auto"/>
      </w:divBdr>
    </w:div>
    <w:div w:id="1721050172">
      <w:bodyDiv w:val="1"/>
      <w:marLeft w:val="0"/>
      <w:marRight w:val="0"/>
      <w:marTop w:val="0"/>
      <w:marBottom w:val="0"/>
      <w:divBdr>
        <w:top w:val="none" w:sz="0" w:space="0" w:color="auto"/>
        <w:left w:val="none" w:sz="0" w:space="0" w:color="auto"/>
        <w:bottom w:val="none" w:sz="0" w:space="0" w:color="auto"/>
        <w:right w:val="none" w:sz="0" w:space="0" w:color="auto"/>
      </w:divBdr>
    </w:div>
    <w:div w:id="1885677932">
      <w:bodyDiv w:val="1"/>
      <w:marLeft w:val="0"/>
      <w:marRight w:val="0"/>
      <w:marTop w:val="0"/>
      <w:marBottom w:val="0"/>
      <w:divBdr>
        <w:top w:val="none" w:sz="0" w:space="0" w:color="auto"/>
        <w:left w:val="none" w:sz="0" w:space="0" w:color="auto"/>
        <w:bottom w:val="none" w:sz="0" w:space="0" w:color="auto"/>
        <w:right w:val="none" w:sz="0" w:space="0" w:color="auto"/>
      </w:divBdr>
    </w:div>
    <w:div w:id="1906328867">
      <w:bodyDiv w:val="1"/>
      <w:marLeft w:val="0"/>
      <w:marRight w:val="0"/>
      <w:marTop w:val="0"/>
      <w:marBottom w:val="0"/>
      <w:divBdr>
        <w:top w:val="none" w:sz="0" w:space="0" w:color="auto"/>
        <w:left w:val="none" w:sz="0" w:space="0" w:color="auto"/>
        <w:bottom w:val="none" w:sz="0" w:space="0" w:color="auto"/>
        <w:right w:val="none" w:sz="0" w:space="0" w:color="auto"/>
      </w:divBdr>
    </w:div>
    <w:div w:id="2117095544">
      <w:bodyDiv w:val="1"/>
      <w:marLeft w:val="0"/>
      <w:marRight w:val="0"/>
      <w:marTop w:val="30"/>
      <w:marBottom w:val="750"/>
      <w:divBdr>
        <w:top w:val="none" w:sz="0" w:space="0" w:color="auto"/>
        <w:left w:val="none" w:sz="0" w:space="0" w:color="auto"/>
        <w:bottom w:val="none" w:sz="0" w:space="0" w:color="auto"/>
        <w:right w:val="none" w:sz="0" w:space="0" w:color="auto"/>
      </w:divBdr>
      <w:divsChild>
        <w:div w:id="946353853">
          <w:marLeft w:val="0"/>
          <w:marRight w:val="0"/>
          <w:marTop w:val="0"/>
          <w:marBottom w:val="0"/>
          <w:divBdr>
            <w:top w:val="none" w:sz="0" w:space="0" w:color="auto"/>
            <w:left w:val="none" w:sz="0" w:space="0" w:color="auto"/>
            <w:bottom w:val="none" w:sz="0" w:space="0" w:color="auto"/>
            <w:right w:val="none" w:sz="0" w:space="0" w:color="auto"/>
          </w:divBdr>
        </w:div>
      </w:divsChild>
    </w:div>
    <w:div w:id="21195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1AFD-87AB-4F34-91A8-FE414B12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6125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Robert Elmouchi</dc:creator>
  <cp:keywords>DEQ-AQD-ROP Template</cp:keywords>
  <cp:lastModifiedBy>Ciavattone, Deborah (DEQ)</cp:lastModifiedBy>
  <cp:revision>11</cp:revision>
  <cp:lastPrinted>2018-05-17T13:49:00Z</cp:lastPrinted>
  <dcterms:created xsi:type="dcterms:W3CDTF">2018-03-08T14:15:00Z</dcterms:created>
  <dcterms:modified xsi:type="dcterms:W3CDTF">2018-05-17T19:15:00Z</dcterms:modified>
</cp:coreProperties>
</file>