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99D51" w14:textId="77777777" w:rsidR="00057A8B" w:rsidRPr="0072270D" w:rsidRDefault="009F09E5" w:rsidP="00057A8B">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17D4E779" w14:textId="77777777" w:rsidR="00057A8B" w:rsidRPr="003757AA" w:rsidRDefault="009F09E5" w:rsidP="00057A8B">
      <w:pPr>
        <w:pStyle w:val="Heading4B"/>
      </w:pPr>
      <w:r w:rsidRPr="003757AA">
        <w:t>FLEXIBLE GROUP CONDITIONS</w:t>
      </w:r>
    </w:p>
    <w:p w14:paraId="2D39247A" w14:textId="043B4E16" w:rsidR="00895573" w:rsidRPr="00895573" w:rsidRDefault="009F09E5" w:rsidP="00057A8B">
      <w:pPr>
        <w:spacing w:after="0" w:line="240" w:lineRule="auto"/>
        <w:jc w:val="center"/>
        <w:rPr>
          <w:rFonts w:ascii="Arial" w:eastAsia="Times New Roman" w:hAnsi="Arial" w:cs="Arial"/>
          <w:b/>
          <w:bCs/>
          <w:color w:val="0000FF"/>
          <w:sz w:val="28"/>
          <w:szCs w:val="28"/>
        </w:rPr>
      </w:pPr>
      <w:r w:rsidRPr="00895573">
        <w:rPr>
          <w:rFonts w:ascii="Arial" w:eastAsia="Times New Roman" w:hAnsi="Arial" w:cs="Arial"/>
          <w:b/>
          <w:bCs/>
          <w:color w:val="0000FF"/>
          <w:sz w:val="28"/>
          <w:szCs w:val="28"/>
        </w:rPr>
        <w:t>Area Source Boiler – Existing Large Coal</w:t>
      </w:r>
    </w:p>
    <w:p w14:paraId="05973616" w14:textId="22B780D2" w:rsidR="00063B4A" w:rsidRPr="00C8109A" w:rsidRDefault="009F09E5" w:rsidP="00057A8B">
      <w:pPr>
        <w:spacing w:before="120" w:after="120" w:line="240" w:lineRule="auto"/>
        <w:rPr>
          <w:rFonts w:ascii="Arial" w:eastAsia="Times New Roman" w:hAnsi="Arial" w:cs="Arial"/>
          <w:sz w:val="20"/>
          <w:szCs w:val="20"/>
        </w:rPr>
      </w:pPr>
      <w:r w:rsidRPr="00C8109A">
        <w:rPr>
          <w:rFonts w:ascii="Arial" w:eastAsia="Times New Roman" w:hAnsi="Arial" w:cs="Arial"/>
          <w:b/>
          <w:bCs/>
          <w:color w:val="FF0000"/>
          <w:sz w:val="20"/>
          <w:szCs w:val="20"/>
        </w:rPr>
        <w:t>Red text identifies options.</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Select the option that applies to the source and change the text to black.</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 xml:space="preserve"> Delete red text that does not apply and renumber conditions if necessary.  </w:t>
      </w:r>
    </w:p>
    <w:p w14:paraId="1DE492D9" w14:textId="77777777" w:rsidR="00063B4A" w:rsidRPr="00C8109A" w:rsidRDefault="009F09E5" w:rsidP="00057A8B">
      <w:pPr>
        <w:spacing w:before="120" w:after="120" w:line="240" w:lineRule="auto"/>
        <w:rPr>
          <w:rFonts w:ascii="Arial" w:eastAsia="Times New Roman" w:hAnsi="Arial" w:cs="Arial"/>
          <w:sz w:val="20"/>
          <w:szCs w:val="20"/>
        </w:rPr>
      </w:pPr>
      <w:r w:rsidRPr="00C8109A">
        <w:rPr>
          <w:rFonts w:ascii="Arial" w:eastAsia="Times New Roman" w:hAnsi="Arial" w:cs="Arial"/>
          <w:b/>
          <w:bCs/>
          <w:color w:val="FF0000"/>
          <w:sz w:val="20"/>
          <w:szCs w:val="20"/>
        </w:rPr>
        <w:t>Permit staff, if using in a PTI, delete the UARs for R 336.1213(3) in SC V.4 and SC VII.8.</w:t>
      </w:r>
    </w:p>
    <w:p w14:paraId="5B46D222" w14:textId="1C0B853B" w:rsidR="00063B4A" w:rsidRPr="00057A8B" w:rsidRDefault="009F09E5" w:rsidP="00057A8B">
      <w:pPr>
        <w:spacing w:before="120" w:after="120" w:line="240" w:lineRule="auto"/>
        <w:rPr>
          <w:rFonts w:ascii="Arial" w:eastAsia="Times New Roman" w:hAnsi="Arial" w:cs="Arial"/>
          <w:sz w:val="20"/>
          <w:szCs w:val="20"/>
        </w:rPr>
      </w:pPr>
      <w:r w:rsidRPr="00C8109A">
        <w:rPr>
          <w:rFonts w:ascii="Arial" w:eastAsia="Times New Roman" w:hAnsi="Arial" w:cs="Arial"/>
          <w:b/>
          <w:bCs/>
          <w:color w:val="0000FF"/>
          <w:sz w:val="20"/>
          <w:szCs w:val="20"/>
        </w:rPr>
        <w:t>Blue text is guidance or notes on the use of the template.</w:t>
      </w:r>
      <w:r w:rsidR="00C8109A" w:rsidRPr="00C8109A">
        <w:rPr>
          <w:rFonts w:ascii="Arial" w:eastAsia="Times New Roman" w:hAnsi="Arial" w:cs="Arial"/>
          <w:b/>
          <w:bCs/>
          <w:color w:val="0000FF"/>
          <w:sz w:val="20"/>
          <w:szCs w:val="20"/>
        </w:rPr>
        <w:t xml:space="preserve"> </w:t>
      </w:r>
      <w:r w:rsidRPr="00C8109A">
        <w:rPr>
          <w:rFonts w:ascii="Arial" w:eastAsia="Times New Roman" w:hAnsi="Arial" w:cs="Arial"/>
          <w:b/>
          <w:bCs/>
          <w:color w:val="0000FF"/>
          <w:sz w:val="20"/>
          <w:szCs w:val="20"/>
        </w:rPr>
        <w:t xml:space="preserve"> </w:t>
      </w:r>
      <w:r w:rsidR="00057A8B" w:rsidRPr="00057A8B">
        <w:rPr>
          <w:rFonts w:ascii="Arial" w:eastAsia="Times New Roman" w:hAnsi="Arial" w:cs="Arial"/>
          <w:b/>
          <w:bCs/>
          <w:color w:val="0000FF"/>
          <w:sz w:val="20"/>
          <w:szCs w:val="20"/>
        </w:rPr>
        <w:t>DELETE ALL BLUE TEXT PRIOR TO ISSUING THE FINAL PERMIT OR SUBMITTING IT WITH A PERMIT APPLICATION.</w:t>
      </w:r>
    </w:p>
    <w:p w14:paraId="3BB41AC7" w14:textId="69B53B9B" w:rsidR="00063B4A" w:rsidRPr="00C8109A" w:rsidRDefault="009F09E5" w:rsidP="00057A8B">
      <w:pPr>
        <w:spacing w:before="120" w:after="120" w:line="240" w:lineRule="auto"/>
        <w:rPr>
          <w:rFonts w:ascii="Arial" w:eastAsia="Times New Roman" w:hAnsi="Arial" w:cs="Arial"/>
          <w:sz w:val="20"/>
          <w:szCs w:val="20"/>
        </w:rPr>
      </w:pPr>
      <w:r w:rsidRPr="00C8109A">
        <w:rPr>
          <w:rFonts w:ascii="Arial" w:eastAsia="Times New Roman" w:hAnsi="Arial" w:cs="Arial"/>
          <w:b/>
          <w:bCs/>
          <w:color w:val="0000FF"/>
          <w:sz w:val="20"/>
          <w:szCs w:val="20"/>
        </w:rPr>
        <w:t>This template applies to existing large coal-fired boilers at area sources of HAPs designed with a heat input capacity of equal to or greater than 10 MMBTU/hr.</w:t>
      </w:r>
      <w:r w:rsidR="00C8109A" w:rsidRPr="00C8109A">
        <w:rPr>
          <w:rFonts w:ascii="Arial" w:eastAsia="Times New Roman" w:hAnsi="Arial" w:cs="Arial"/>
          <w:b/>
          <w:bCs/>
          <w:color w:val="0000FF"/>
          <w:sz w:val="20"/>
          <w:szCs w:val="20"/>
        </w:rPr>
        <w:t xml:space="preserve"> </w:t>
      </w:r>
      <w:r w:rsidRPr="00C8109A">
        <w:rPr>
          <w:rFonts w:ascii="Arial" w:eastAsia="Times New Roman" w:hAnsi="Arial" w:cs="Arial"/>
          <w:b/>
          <w:bCs/>
          <w:color w:val="0000FF"/>
          <w:sz w:val="20"/>
          <w:szCs w:val="20"/>
        </w:rPr>
        <w:t xml:space="preserve"> If the date of installation of the boiler(s) is June 4, 2010, or earlier, this source is considered an existing source.</w:t>
      </w:r>
      <w:r w:rsidR="00C8109A" w:rsidRPr="00C8109A">
        <w:rPr>
          <w:rFonts w:ascii="Arial" w:eastAsia="Times New Roman" w:hAnsi="Arial" w:cs="Arial"/>
          <w:b/>
          <w:bCs/>
          <w:color w:val="0000FF"/>
          <w:sz w:val="20"/>
          <w:szCs w:val="20"/>
        </w:rPr>
        <w:t xml:space="preserve"> </w:t>
      </w:r>
      <w:r w:rsidRPr="00C8109A">
        <w:rPr>
          <w:rFonts w:ascii="Arial" w:eastAsia="Times New Roman" w:hAnsi="Arial" w:cs="Arial"/>
          <w:b/>
          <w:bCs/>
          <w:color w:val="0000FF"/>
          <w:sz w:val="20"/>
          <w:szCs w:val="20"/>
        </w:rPr>
        <w:t xml:space="preserve"> If it was installed or reconstructed after June 4, 2010, then it is a new source, and this table is not applicable.</w:t>
      </w:r>
    </w:p>
    <w:p w14:paraId="0936D83F" w14:textId="7FF1C57D" w:rsidR="00063B4A" w:rsidRPr="00C8109A" w:rsidRDefault="009F09E5" w:rsidP="00057A8B">
      <w:pPr>
        <w:spacing w:before="120" w:after="120" w:line="240" w:lineRule="auto"/>
        <w:rPr>
          <w:rFonts w:ascii="Arial" w:eastAsia="Times New Roman" w:hAnsi="Arial" w:cs="Arial"/>
          <w:sz w:val="20"/>
          <w:szCs w:val="20"/>
        </w:rPr>
      </w:pPr>
      <w:r w:rsidRPr="00C8109A">
        <w:rPr>
          <w:rFonts w:ascii="Arial" w:eastAsia="Times New Roman" w:hAnsi="Arial" w:cs="Arial"/>
          <w:b/>
          <w:bCs/>
          <w:color w:val="0000FF"/>
          <w:sz w:val="20"/>
          <w:szCs w:val="20"/>
        </w:rPr>
        <w:t xml:space="preserve">If this template is being used for a ROP Reopening or Renewal, </w:t>
      </w:r>
      <w:r w:rsidRPr="00057A8B">
        <w:rPr>
          <w:rFonts w:ascii="Arial" w:eastAsia="Times New Roman" w:hAnsi="Arial" w:cs="Arial"/>
          <w:b/>
          <w:bCs/>
          <w:color w:val="0000FF"/>
          <w:sz w:val="20"/>
          <w:szCs w:val="20"/>
        </w:rPr>
        <w:t xml:space="preserve">and </w:t>
      </w:r>
      <w:r w:rsidRPr="00C8109A">
        <w:rPr>
          <w:rFonts w:ascii="Arial" w:eastAsia="Times New Roman" w:hAnsi="Arial" w:cs="Arial"/>
          <w:b/>
          <w:bCs/>
          <w:color w:val="0000FF"/>
          <w:sz w:val="20"/>
          <w:szCs w:val="20"/>
        </w:rPr>
        <w:t>the MACT conditions were established in a PTI, the appropriate footnotes which reference enforceability must be added to each applicable condition in the template.</w:t>
      </w:r>
    </w:p>
    <w:p w14:paraId="1F4CF335" w14:textId="77777777"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DESCRIPTION</w:t>
      </w:r>
    </w:p>
    <w:p w14:paraId="32DD8A94" w14:textId="77777777"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color w:val="000000"/>
          <w:sz w:val="20"/>
          <w:szCs w:val="20"/>
        </w:rPr>
        <w:t xml:space="preserve">Requirements for </w:t>
      </w:r>
      <w:r w:rsidRPr="00063B4A">
        <w:rPr>
          <w:rFonts w:ascii="Arial" w:eastAsia="Times New Roman" w:hAnsi="Arial" w:cs="Arial"/>
          <w:color w:val="FF0000"/>
          <w:sz w:val="20"/>
          <w:szCs w:val="20"/>
        </w:rPr>
        <w:t>(an)</w:t>
      </w:r>
      <w:r w:rsidRPr="00063B4A">
        <w:rPr>
          <w:rFonts w:ascii="Arial" w:eastAsia="Times New Roman" w:hAnsi="Arial" w:cs="Arial"/>
          <w:color w:val="000000"/>
          <w:sz w:val="20"/>
          <w:szCs w:val="20"/>
        </w:rPr>
        <w:t xml:space="preserve"> existing large</w:t>
      </w:r>
      <w:r w:rsidRPr="00063B4A">
        <w:rPr>
          <w:rFonts w:ascii="Arial" w:eastAsia="Times New Roman" w:hAnsi="Arial" w:cs="Arial"/>
          <w:b/>
          <w:bCs/>
          <w:color w:val="000000"/>
          <w:sz w:val="20"/>
          <w:szCs w:val="20"/>
        </w:rPr>
        <w:t xml:space="preserve"> </w:t>
      </w:r>
      <w:r w:rsidRPr="00063B4A">
        <w:rPr>
          <w:rFonts w:ascii="Arial" w:eastAsia="Times New Roman" w:hAnsi="Arial" w:cs="Arial"/>
          <w:color w:val="000000"/>
          <w:sz w:val="20"/>
          <w:szCs w:val="20"/>
        </w:rPr>
        <w:t>(≥10 MMBTU/hr) coal-fired industrial, commercial, or institutional boiler</w:t>
      </w:r>
      <w:r w:rsidRPr="00063B4A">
        <w:rPr>
          <w:rFonts w:ascii="Arial" w:eastAsia="Times New Roman" w:hAnsi="Arial" w:cs="Arial"/>
          <w:color w:val="FF0000"/>
          <w:sz w:val="20"/>
          <w:szCs w:val="20"/>
        </w:rPr>
        <w:t>(s)</w:t>
      </w:r>
      <w:r w:rsidRPr="00063B4A">
        <w:rPr>
          <w:rFonts w:ascii="Arial" w:eastAsia="Times New Roman" w:hAnsi="Arial" w:cs="Arial"/>
          <w:color w:val="000000"/>
          <w:sz w:val="20"/>
          <w:szCs w:val="20"/>
        </w:rPr>
        <w:t xml:space="preserve"> that is located at an area source of hazardous air pollutants per 40 CFR Part 63, Subpart JJJJJJ.  </w:t>
      </w:r>
    </w:p>
    <w:p w14:paraId="1EB8111D" w14:textId="35FD5698"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b/>
          <w:bCs/>
          <w:color w:val="000000"/>
          <w:sz w:val="20"/>
          <w:szCs w:val="20"/>
        </w:rPr>
        <w:t>Emission Unit</w:t>
      </w:r>
      <w:r w:rsidR="00057A8B">
        <w:rPr>
          <w:rFonts w:ascii="Arial" w:eastAsia="Times New Roman" w:hAnsi="Arial" w:cs="Arial"/>
          <w:b/>
          <w:bCs/>
          <w:color w:val="000000"/>
          <w:sz w:val="20"/>
          <w:szCs w:val="20"/>
        </w:rPr>
        <w:t>(s)</w:t>
      </w:r>
      <w:r w:rsidRPr="00063B4A">
        <w:rPr>
          <w:rFonts w:ascii="Arial" w:eastAsia="Times New Roman" w:hAnsi="Arial" w:cs="Arial"/>
          <w:b/>
          <w:bCs/>
          <w:color w:val="000000"/>
          <w:sz w:val="20"/>
          <w:szCs w:val="20"/>
        </w:rPr>
        <w:t>:</w:t>
      </w:r>
      <w:r w:rsidR="00C8109A">
        <w:rPr>
          <w:rFonts w:ascii="Arial" w:eastAsia="Times New Roman" w:hAnsi="Arial" w:cs="Arial"/>
          <w:color w:val="000000"/>
          <w:sz w:val="20"/>
          <w:szCs w:val="20"/>
        </w:rPr>
        <w:t xml:space="preserve"> </w:t>
      </w:r>
      <w:r w:rsidRPr="00063B4A">
        <w:rPr>
          <w:rFonts w:ascii="Arial" w:eastAsia="Times New Roman" w:hAnsi="Arial" w:cs="Arial"/>
          <w:color w:val="000000"/>
          <w:sz w:val="20"/>
          <w:szCs w:val="20"/>
        </w:rPr>
        <w:t xml:space="preserve"> </w:t>
      </w:r>
      <w:r w:rsidRPr="00063B4A">
        <w:rPr>
          <w:rFonts w:ascii="Arial" w:eastAsia="Times New Roman" w:hAnsi="Arial" w:cs="Arial"/>
          <w:color w:val="FF0000"/>
          <w:sz w:val="20"/>
          <w:szCs w:val="20"/>
        </w:rPr>
        <w:t>{Site Specific List of Emission Units}</w:t>
      </w:r>
    </w:p>
    <w:p w14:paraId="2AA8B34C" w14:textId="77777777"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POLLUTION CONTROL EQUIPMENT</w:t>
      </w:r>
    </w:p>
    <w:p w14:paraId="21625ACD" w14:textId="77777777"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color w:val="FF0000"/>
          <w:sz w:val="20"/>
          <w:szCs w:val="20"/>
        </w:rPr>
        <w:t>{Enter site specific pollution control equipment or NA}</w:t>
      </w:r>
    </w:p>
    <w:p w14:paraId="64C3021A" w14:textId="29360327"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I.</w:t>
      </w:r>
      <w:r w:rsidR="00C8109A">
        <w:rPr>
          <w:rFonts w:eastAsia="Times New Roman"/>
        </w:rPr>
        <w:t xml:space="preserve"> </w:t>
      </w:r>
      <w:r w:rsidRPr="00063B4A">
        <w:rPr>
          <w:rFonts w:eastAsia="Times New Roman"/>
        </w:rPr>
        <w:t xml:space="preserve"> EMISSION LIMIT(S)</w:t>
      </w:r>
    </w:p>
    <w:p w14:paraId="03B58DD0" w14:textId="34F941A4"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ALWAYS INCLUDE MERCURY PER APPLICABLE EU.</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 xml:space="preserve"> </w:t>
      </w:r>
      <w:r w:rsidRPr="00C8109A">
        <w:rPr>
          <w:rFonts w:ascii="Arial" w:eastAsia="Times New Roman" w:hAnsi="Arial" w:cs="Arial"/>
          <w:color w:val="FF0000"/>
          <w:sz w:val="20"/>
          <w:szCs w:val="20"/>
        </w:rPr>
        <w:t>Choose the appropriate Monitoring/Testing Method SC references and renumber as appropriate/delete the nonapplicable ones.</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For those unit(s) that are complying with stack testing or monitoring control equipment (i.e., CPMS), keep SC V.2.</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For those units complying with fuel analysis, keep SC V.7.</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Always keep SC VI.1, no matter how they are complying.  </w:t>
      </w:r>
    </w:p>
    <w:tbl>
      <w:tblPr>
        <w:tblW w:w="0" w:type="auto"/>
        <w:tblCellMar>
          <w:top w:w="15" w:type="dxa"/>
          <w:left w:w="15" w:type="dxa"/>
          <w:bottom w:w="15" w:type="dxa"/>
          <w:right w:w="15" w:type="dxa"/>
        </w:tblCellMar>
        <w:tblLook w:val="04A0" w:firstRow="1" w:lastRow="0" w:firstColumn="1" w:lastColumn="0" w:noHBand="0" w:noVBand="1"/>
      </w:tblPr>
      <w:tblGrid>
        <w:gridCol w:w="1113"/>
        <w:gridCol w:w="1956"/>
        <w:gridCol w:w="2022"/>
        <w:gridCol w:w="1064"/>
        <w:gridCol w:w="1400"/>
        <w:gridCol w:w="2659"/>
      </w:tblGrid>
      <w:tr w:rsidR="00F33956" w14:paraId="3EFC1DDC" w14:textId="77777777" w:rsidTr="00057A8B">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670E0933"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Pollutant</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2083E2EA"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Limit</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7EA4E85F"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Time Period/ Operating Scenario</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17737BA7"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Equipment</w:t>
            </w:r>
          </w:p>
        </w:tc>
        <w:tc>
          <w:tcPr>
            <w:tcW w:w="14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445B61F3"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Monitoring/</w:t>
            </w:r>
          </w:p>
          <w:p w14:paraId="00C98E88"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Testing Method</w:t>
            </w:r>
          </w:p>
        </w:tc>
        <w:tc>
          <w:tcPr>
            <w:tcW w:w="26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4F6DB66C" w14:textId="77777777" w:rsidR="00063B4A" w:rsidRPr="00C8109A" w:rsidRDefault="009F09E5" w:rsidP="00063B4A">
            <w:pPr>
              <w:spacing w:after="0" w:line="240" w:lineRule="auto"/>
              <w:jc w:val="center"/>
              <w:rPr>
                <w:rFonts w:ascii="Arial" w:eastAsia="Times New Roman" w:hAnsi="Arial" w:cs="Arial"/>
                <w:b/>
                <w:bCs/>
                <w:sz w:val="20"/>
                <w:szCs w:val="20"/>
              </w:rPr>
            </w:pPr>
            <w:r w:rsidRPr="00C8109A">
              <w:rPr>
                <w:rFonts w:ascii="Arial" w:eastAsia="Times New Roman" w:hAnsi="Arial" w:cs="Arial"/>
                <w:b/>
                <w:bCs/>
                <w:color w:val="000000"/>
                <w:sz w:val="20"/>
                <w:szCs w:val="20"/>
              </w:rPr>
              <w:t>Underlying Applicable Requirements</w:t>
            </w:r>
          </w:p>
        </w:tc>
      </w:tr>
      <w:tr w:rsidR="00F33956" w14:paraId="31506633" w14:textId="77777777" w:rsidTr="00895573">
        <w:tc>
          <w:tcPr>
            <w:tcW w:w="0" w:type="auto"/>
            <w:tcBorders>
              <w:top w:val="single" w:sz="4" w:space="0" w:color="000000"/>
              <w:left w:val="single" w:sz="4" w:space="0" w:color="000000"/>
              <w:bottom w:val="single" w:sz="4" w:space="0" w:color="000000"/>
              <w:right w:val="single" w:sz="4" w:space="0" w:color="000000"/>
            </w:tcBorders>
            <w:hideMark/>
          </w:tcPr>
          <w:p w14:paraId="691250F1" w14:textId="77777777" w:rsidR="00063B4A" w:rsidRPr="00C8109A" w:rsidRDefault="009F09E5" w:rsidP="00057A8B">
            <w:pPr>
              <w:numPr>
                <w:ilvl w:val="0"/>
                <w:numId w:val="1"/>
              </w:numPr>
              <w:spacing w:before="60" w:after="60"/>
              <w:ind w:left="36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Mercury</w:t>
            </w:r>
          </w:p>
        </w:tc>
        <w:tc>
          <w:tcPr>
            <w:tcW w:w="0" w:type="auto"/>
            <w:tcBorders>
              <w:top w:val="single" w:sz="4" w:space="0" w:color="000000"/>
              <w:left w:val="single" w:sz="4" w:space="0" w:color="000000"/>
              <w:bottom w:val="single" w:sz="4" w:space="0" w:color="000000"/>
              <w:right w:val="single" w:sz="4" w:space="0" w:color="000000"/>
            </w:tcBorders>
            <w:hideMark/>
          </w:tcPr>
          <w:p w14:paraId="7EB82D73"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2.2 x 10</w:t>
            </w:r>
            <w:r w:rsidRPr="00C8109A">
              <w:rPr>
                <w:rFonts w:ascii="Arial" w:eastAsia="Times New Roman" w:hAnsi="Arial" w:cs="Arial"/>
                <w:color w:val="000000"/>
                <w:sz w:val="20"/>
                <w:szCs w:val="20"/>
                <w:vertAlign w:val="superscript"/>
              </w:rPr>
              <w:t>-05</w:t>
            </w:r>
            <w:r w:rsidRPr="00C8109A">
              <w:rPr>
                <w:rFonts w:ascii="Arial" w:eastAsia="Times New Roman" w:hAnsi="Arial" w:cs="Arial"/>
                <w:color w:val="000000"/>
                <w:sz w:val="20"/>
                <w:szCs w:val="20"/>
              </w:rPr>
              <w:t xml:space="preserve"> lb/MMBTU heat input *</w:t>
            </w:r>
          </w:p>
        </w:tc>
        <w:tc>
          <w:tcPr>
            <w:tcW w:w="0" w:type="auto"/>
            <w:tcBorders>
              <w:top w:val="single" w:sz="4" w:space="0" w:color="000000"/>
              <w:left w:val="single" w:sz="4" w:space="0" w:color="000000"/>
              <w:bottom w:val="single" w:sz="4" w:space="0" w:color="000000"/>
              <w:right w:val="single" w:sz="4" w:space="0" w:color="000000"/>
            </w:tcBorders>
            <w:hideMark/>
          </w:tcPr>
          <w:p w14:paraId="7AB4974D"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Hourly</w:t>
            </w:r>
          </w:p>
        </w:tc>
        <w:tc>
          <w:tcPr>
            <w:tcW w:w="0" w:type="auto"/>
            <w:tcBorders>
              <w:top w:val="single" w:sz="4" w:space="0" w:color="000000"/>
              <w:left w:val="single" w:sz="4" w:space="0" w:color="000000"/>
              <w:bottom w:val="single" w:sz="4" w:space="0" w:color="000000"/>
              <w:right w:val="single" w:sz="4" w:space="0" w:color="000000"/>
            </w:tcBorders>
            <w:hideMark/>
          </w:tcPr>
          <w:p w14:paraId="7D1D4EFE"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Each boiler</w:t>
            </w:r>
          </w:p>
        </w:tc>
        <w:tc>
          <w:tcPr>
            <w:tcW w:w="1400" w:type="dxa"/>
            <w:tcBorders>
              <w:top w:val="single" w:sz="4" w:space="0" w:color="000000"/>
              <w:left w:val="single" w:sz="4" w:space="0" w:color="000000"/>
              <w:bottom w:val="single" w:sz="4" w:space="0" w:color="000000"/>
              <w:right w:val="single" w:sz="4" w:space="0" w:color="000000"/>
            </w:tcBorders>
            <w:hideMark/>
          </w:tcPr>
          <w:p w14:paraId="686C675F"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FF0000"/>
                <w:sz w:val="20"/>
                <w:szCs w:val="20"/>
              </w:rPr>
              <w:t>SC V.2</w:t>
            </w:r>
          </w:p>
          <w:p w14:paraId="21C6A684"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FF0000"/>
                <w:sz w:val="20"/>
                <w:szCs w:val="20"/>
              </w:rPr>
              <w:t>SC V.7</w:t>
            </w:r>
          </w:p>
          <w:p w14:paraId="5CEEEB38"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SC VI.1</w:t>
            </w:r>
          </w:p>
        </w:tc>
        <w:tc>
          <w:tcPr>
            <w:tcW w:w="2659" w:type="dxa"/>
            <w:tcBorders>
              <w:top w:val="single" w:sz="4" w:space="0" w:color="000000"/>
              <w:left w:val="single" w:sz="4" w:space="0" w:color="000000"/>
              <w:bottom w:val="single" w:sz="4" w:space="0" w:color="000000"/>
              <w:right w:val="single" w:sz="4" w:space="0" w:color="000000"/>
            </w:tcBorders>
            <w:hideMark/>
          </w:tcPr>
          <w:p w14:paraId="54C2B84E" w14:textId="595806AB"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b/>
                <w:bCs/>
                <w:color w:val="000000"/>
                <w:sz w:val="20"/>
                <w:szCs w:val="20"/>
              </w:rPr>
              <w:t>40 CFR 63.11201,</w:t>
            </w:r>
          </w:p>
          <w:p w14:paraId="4D2576EE"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b/>
                <w:bCs/>
                <w:color w:val="000000"/>
                <w:sz w:val="20"/>
                <w:szCs w:val="20"/>
              </w:rPr>
              <w:t>40 CFR Part 63, Subpart JJJJJJ, Table 1.6.a</w:t>
            </w:r>
          </w:p>
        </w:tc>
      </w:tr>
    </w:tbl>
    <w:p w14:paraId="254516A6" w14:textId="4EBA0B5A" w:rsidR="00063B4A" w:rsidRPr="00C8109A" w:rsidRDefault="009F09E5" w:rsidP="00057A8B">
      <w:pPr>
        <w:spacing w:before="120"/>
        <w:jc w:val="both"/>
        <w:rPr>
          <w:rFonts w:ascii="Arial" w:eastAsia="Times New Roman" w:hAnsi="Arial" w:cs="Arial"/>
          <w:sz w:val="20"/>
          <w:szCs w:val="20"/>
        </w:rPr>
      </w:pPr>
      <w:r w:rsidRPr="00C8109A">
        <w:rPr>
          <w:rFonts w:ascii="Arial" w:eastAsia="Times New Roman" w:hAnsi="Arial" w:cs="Arial"/>
          <w:b/>
          <w:bCs/>
          <w:color w:val="FF0000"/>
          <w:sz w:val="20"/>
          <w:szCs w:val="20"/>
        </w:rPr>
        <w:t>ALWAYS INCLUDE CO PER APPLICABLE EU.</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Choose the appropriate Monitoring/Testing Method SC references and renumber as appropriate/delete the nonapplicable ones.</w:t>
      </w:r>
    </w:p>
    <w:tbl>
      <w:tblPr>
        <w:tblW w:w="0" w:type="auto"/>
        <w:tblCellMar>
          <w:top w:w="15" w:type="dxa"/>
          <w:left w:w="15" w:type="dxa"/>
          <w:bottom w:w="15" w:type="dxa"/>
          <w:right w:w="15" w:type="dxa"/>
        </w:tblCellMar>
        <w:tblLook w:val="04A0" w:firstRow="1" w:lastRow="0" w:firstColumn="1" w:lastColumn="0" w:noHBand="0" w:noVBand="1"/>
      </w:tblPr>
      <w:tblGrid>
        <w:gridCol w:w="1165"/>
        <w:gridCol w:w="1889"/>
        <w:gridCol w:w="1981"/>
        <w:gridCol w:w="1080"/>
        <w:gridCol w:w="1440"/>
        <w:gridCol w:w="2659"/>
      </w:tblGrid>
      <w:tr w:rsidR="00F33956" w14:paraId="6601245C" w14:textId="77777777" w:rsidTr="00895573">
        <w:tc>
          <w:tcPr>
            <w:tcW w:w="1165" w:type="dxa"/>
            <w:tcBorders>
              <w:top w:val="single" w:sz="4" w:space="0" w:color="000000"/>
              <w:left w:val="single" w:sz="4" w:space="0" w:color="000000"/>
              <w:bottom w:val="single" w:sz="4" w:space="0" w:color="000000"/>
              <w:right w:val="single" w:sz="4" w:space="0" w:color="000000"/>
            </w:tcBorders>
            <w:hideMark/>
          </w:tcPr>
          <w:p w14:paraId="668299B9" w14:textId="77777777" w:rsidR="00063B4A" w:rsidRPr="00C8109A" w:rsidRDefault="009F09E5" w:rsidP="00057A8B">
            <w:pPr>
              <w:pStyle w:val="ListParagraph"/>
              <w:numPr>
                <w:ilvl w:val="0"/>
                <w:numId w:val="16"/>
              </w:numPr>
              <w:spacing w:before="60" w:after="6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CO</w:t>
            </w:r>
          </w:p>
        </w:tc>
        <w:tc>
          <w:tcPr>
            <w:tcW w:w="1889" w:type="dxa"/>
            <w:tcBorders>
              <w:top w:val="single" w:sz="4" w:space="0" w:color="000000"/>
              <w:left w:val="single" w:sz="4" w:space="0" w:color="000000"/>
              <w:bottom w:val="single" w:sz="4" w:space="0" w:color="000000"/>
              <w:right w:val="single" w:sz="4" w:space="0" w:color="000000"/>
            </w:tcBorders>
            <w:hideMark/>
          </w:tcPr>
          <w:p w14:paraId="3B50299F"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420 ppm by volume on a dry basis corrected to 3 percent oxygen *</w:t>
            </w:r>
          </w:p>
        </w:tc>
        <w:tc>
          <w:tcPr>
            <w:tcW w:w="1981" w:type="dxa"/>
            <w:tcBorders>
              <w:top w:val="single" w:sz="4" w:space="0" w:color="000000"/>
              <w:left w:val="single" w:sz="4" w:space="0" w:color="000000"/>
              <w:bottom w:val="single" w:sz="4" w:space="0" w:color="000000"/>
              <w:right w:val="single" w:sz="4" w:space="0" w:color="000000"/>
            </w:tcBorders>
            <w:hideMark/>
          </w:tcPr>
          <w:p w14:paraId="0D598352"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Hourly</w:t>
            </w:r>
          </w:p>
          <w:p w14:paraId="3E0F8A00"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FF"/>
                <w:sz w:val="20"/>
                <w:szCs w:val="20"/>
              </w:rPr>
              <w:t>(If not using CEMS)</w:t>
            </w:r>
          </w:p>
          <w:p w14:paraId="752DF817" w14:textId="77777777" w:rsidR="00063B4A" w:rsidRPr="00C8109A" w:rsidRDefault="00063B4A" w:rsidP="00057A8B">
            <w:pPr>
              <w:spacing w:before="60" w:after="60"/>
              <w:rPr>
                <w:rFonts w:ascii="Arial" w:eastAsia="Times New Roman" w:hAnsi="Arial" w:cs="Arial"/>
                <w:sz w:val="20"/>
                <w:szCs w:val="20"/>
              </w:rPr>
            </w:pPr>
          </w:p>
          <w:p w14:paraId="7F937F3D"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FF0000"/>
                <w:sz w:val="20"/>
                <w:szCs w:val="20"/>
              </w:rPr>
              <w:t>OR</w:t>
            </w:r>
          </w:p>
          <w:p w14:paraId="58855526" w14:textId="77777777" w:rsidR="00063B4A" w:rsidRPr="00C8109A" w:rsidRDefault="00063B4A" w:rsidP="00057A8B">
            <w:pPr>
              <w:spacing w:before="60" w:after="60"/>
              <w:rPr>
                <w:rFonts w:ascii="Arial" w:eastAsia="Times New Roman" w:hAnsi="Arial" w:cs="Arial"/>
                <w:sz w:val="20"/>
                <w:szCs w:val="20"/>
              </w:rPr>
            </w:pPr>
          </w:p>
          <w:p w14:paraId="0E2074BD"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10-day rolling average </w:t>
            </w:r>
          </w:p>
          <w:p w14:paraId="0E2B39A6"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FF"/>
                <w:sz w:val="20"/>
                <w:szCs w:val="20"/>
              </w:rPr>
              <w:lastRenderedPageBreak/>
              <w:t>(If using CEMS)</w:t>
            </w:r>
          </w:p>
        </w:tc>
        <w:tc>
          <w:tcPr>
            <w:tcW w:w="1080" w:type="dxa"/>
            <w:tcBorders>
              <w:top w:val="single" w:sz="4" w:space="0" w:color="000000"/>
              <w:left w:val="single" w:sz="4" w:space="0" w:color="000000"/>
              <w:bottom w:val="single" w:sz="4" w:space="0" w:color="000000"/>
              <w:right w:val="single" w:sz="4" w:space="0" w:color="000000"/>
            </w:tcBorders>
            <w:hideMark/>
          </w:tcPr>
          <w:p w14:paraId="2B4F579E"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lastRenderedPageBreak/>
              <w:t>Each boiler</w:t>
            </w:r>
          </w:p>
        </w:tc>
        <w:tc>
          <w:tcPr>
            <w:tcW w:w="1440" w:type="dxa"/>
            <w:tcBorders>
              <w:top w:val="single" w:sz="4" w:space="0" w:color="000000"/>
              <w:left w:val="single" w:sz="4" w:space="0" w:color="000000"/>
              <w:bottom w:val="single" w:sz="4" w:space="0" w:color="000000"/>
              <w:right w:val="single" w:sz="4" w:space="0" w:color="000000"/>
            </w:tcBorders>
            <w:hideMark/>
          </w:tcPr>
          <w:p w14:paraId="1DE118B9"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SC V.2</w:t>
            </w:r>
          </w:p>
          <w:p w14:paraId="5F7E4041"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SC VI.1</w:t>
            </w:r>
          </w:p>
          <w:p w14:paraId="0973EFA8" w14:textId="77777777" w:rsidR="00063B4A" w:rsidRPr="00C8109A" w:rsidRDefault="00063B4A" w:rsidP="00057A8B">
            <w:pPr>
              <w:spacing w:before="60" w:after="60"/>
              <w:rPr>
                <w:rFonts w:ascii="Arial" w:eastAsia="Times New Roman" w:hAnsi="Arial" w:cs="Arial"/>
                <w:sz w:val="20"/>
                <w:szCs w:val="20"/>
              </w:rPr>
            </w:pPr>
          </w:p>
          <w:p w14:paraId="3FBDC50A"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FF0000"/>
                <w:sz w:val="20"/>
                <w:szCs w:val="20"/>
              </w:rPr>
              <w:t>OR </w:t>
            </w:r>
          </w:p>
          <w:p w14:paraId="6E3CF5A2" w14:textId="77777777" w:rsidR="00063B4A" w:rsidRPr="00C8109A" w:rsidRDefault="00063B4A" w:rsidP="00057A8B">
            <w:pPr>
              <w:spacing w:before="60" w:after="60"/>
              <w:rPr>
                <w:rFonts w:ascii="Arial" w:eastAsia="Times New Roman" w:hAnsi="Arial" w:cs="Arial"/>
                <w:sz w:val="20"/>
                <w:szCs w:val="20"/>
              </w:rPr>
            </w:pPr>
          </w:p>
          <w:p w14:paraId="33A8425C"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SC VI.1</w:t>
            </w:r>
          </w:p>
          <w:p w14:paraId="59069CA9"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color w:val="000000"/>
                <w:sz w:val="20"/>
                <w:szCs w:val="20"/>
              </w:rPr>
              <w:t>SC VI.2</w:t>
            </w:r>
          </w:p>
        </w:tc>
        <w:tc>
          <w:tcPr>
            <w:tcW w:w="2659" w:type="dxa"/>
            <w:tcBorders>
              <w:top w:val="single" w:sz="4" w:space="0" w:color="000000"/>
              <w:left w:val="single" w:sz="4" w:space="0" w:color="000000"/>
              <w:bottom w:val="single" w:sz="4" w:space="0" w:color="000000"/>
              <w:right w:val="single" w:sz="4" w:space="0" w:color="000000"/>
            </w:tcBorders>
            <w:hideMark/>
          </w:tcPr>
          <w:p w14:paraId="6DB4E60B" w14:textId="52525D8D"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b/>
                <w:bCs/>
                <w:color w:val="000000"/>
                <w:sz w:val="20"/>
                <w:szCs w:val="20"/>
              </w:rPr>
              <w:t>40 CFR 63.11201 </w:t>
            </w:r>
          </w:p>
          <w:p w14:paraId="4FEA2E5A" w14:textId="77777777" w:rsidR="00063B4A" w:rsidRPr="00C8109A" w:rsidRDefault="009F09E5" w:rsidP="00057A8B">
            <w:pPr>
              <w:spacing w:before="60" w:after="60"/>
              <w:jc w:val="center"/>
              <w:rPr>
                <w:rFonts w:ascii="Arial" w:eastAsia="Times New Roman" w:hAnsi="Arial" w:cs="Arial"/>
                <w:sz w:val="20"/>
                <w:szCs w:val="20"/>
              </w:rPr>
            </w:pPr>
            <w:r w:rsidRPr="00C8109A">
              <w:rPr>
                <w:rFonts w:ascii="Arial" w:eastAsia="Times New Roman" w:hAnsi="Arial" w:cs="Arial"/>
                <w:b/>
                <w:bCs/>
                <w:color w:val="000000"/>
                <w:sz w:val="20"/>
                <w:szCs w:val="20"/>
              </w:rPr>
              <w:t>40 CFR Part 63, Subpart JJJJJJ, Table 1.6.b</w:t>
            </w:r>
          </w:p>
        </w:tc>
      </w:tr>
    </w:tbl>
    <w:p w14:paraId="54DCCC51" w14:textId="77777777" w:rsidR="00063B4A" w:rsidRPr="00C8109A" w:rsidRDefault="009F09E5" w:rsidP="00057A8B">
      <w:pPr>
        <w:spacing w:before="120" w:after="0" w:line="240" w:lineRule="auto"/>
        <w:rPr>
          <w:rFonts w:ascii="Arial" w:eastAsia="Times New Roman" w:hAnsi="Arial" w:cs="Arial"/>
          <w:sz w:val="20"/>
          <w:szCs w:val="20"/>
        </w:rPr>
      </w:pPr>
      <w:r w:rsidRPr="00C8109A">
        <w:rPr>
          <w:rFonts w:ascii="Arial" w:eastAsia="Times New Roman" w:hAnsi="Arial" w:cs="Arial"/>
          <w:color w:val="000000"/>
          <w:sz w:val="20"/>
          <w:szCs w:val="20"/>
        </w:rPr>
        <w:t>* The emission limits apply at all times except during startup and shutdown.</w:t>
      </w:r>
    </w:p>
    <w:p w14:paraId="7FB422C1" w14:textId="57451CBD" w:rsidR="00063B4A" w:rsidRPr="00057A8B" w:rsidRDefault="009F09E5" w:rsidP="00057A8B">
      <w:pPr>
        <w:pStyle w:val="Heading5"/>
        <w:rPr>
          <w:rStyle w:val="Heading5Char"/>
          <w:b/>
        </w:rPr>
      </w:pPr>
      <w:r w:rsidRPr="00057A8B">
        <w:t>II.</w:t>
      </w:r>
      <w:r w:rsidR="00C8109A" w:rsidRPr="00057A8B">
        <w:t xml:space="preserve"> </w:t>
      </w:r>
      <w:r w:rsidRPr="00057A8B">
        <w:t xml:space="preserve"> </w:t>
      </w:r>
      <w:r w:rsidRPr="00057A8B">
        <w:rPr>
          <w:rStyle w:val="Heading5Char"/>
          <w:b/>
        </w:rPr>
        <w:t>MATERIAL LIMIT(S)</w:t>
      </w:r>
    </w:p>
    <w:p w14:paraId="4EAE4829"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color w:val="000000"/>
          <w:sz w:val="20"/>
          <w:szCs w:val="20"/>
        </w:rPr>
        <w:t>NA</w:t>
      </w:r>
    </w:p>
    <w:p w14:paraId="6C23B314" w14:textId="08D04708"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III.</w:t>
      </w:r>
      <w:r w:rsidR="00C8109A">
        <w:rPr>
          <w:rFonts w:eastAsia="Times New Roman"/>
        </w:rPr>
        <w:t xml:space="preserve"> </w:t>
      </w:r>
      <w:r w:rsidRPr="00063B4A">
        <w:rPr>
          <w:rFonts w:eastAsia="Times New Roman"/>
        </w:rPr>
        <w:t xml:space="preserve"> PROCESS/OPERATIONAL RESTRICTION(S)</w:t>
      </w:r>
    </w:p>
    <w:p w14:paraId="1F5EA246" w14:textId="70933257" w:rsidR="00063B4A" w:rsidRPr="00C8109A" w:rsidRDefault="009F09E5" w:rsidP="00057A8B">
      <w:pPr>
        <w:pStyle w:val="ListParagraph"/>
        <w:numPr>
          <w:ilvl w:val="0"/>
          <w:numId w:val="17"/>
        </w:numPr>
        <w:spacing w:before="120"/>
        <w:rPr>
          <w:rFonts w:ascii="Arial" w:eastAsia="Times New Roman" w:hAnsi="Arial" w:cs="Arial"/>
          <w:sz w:val="20"/>
          <w:szCs w:val="20"/>
        </w:rPr>
      </w:pPr>
      <w:r w:rsidRPr="00C8109A">
        <w:rPr>
          <w:rFonts w:ascii="Arial" w:eastAsia="Times New Roman" w:hAnsi="Arial" w:cs="Arial"/>
          <w:color w:val="000000"/>
          <w:sz w:val="20"/>
          <w:szCs w:val="20"/>
        </w:rPr>
        <w:t xml:space="preserve">The emission limits, operating standards, work practice standards, emission reduction measures, and management practices apply at all times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 xml:space="preserve">{ID} </w:t>
      </w:r>
      <w:r w:rsidRPr="00C8109A">
        <w:rPr>
          <w:rFonts w:ascii="Arial" w:eastAsia="Times New Roman" w:hAnsi="Arial" w:cs="Arial"/>
          <w:color w:val="000000"/>
          <w:sz w:val="20"/>
          <w:szCs w:val="20"/>
        </w:rPr>
        <w:t>is operating, except during periods of startup and shutdown as defined in 40 CFR 63.11237, during which time the permittee must comply with SC</w:t>
      </w:r>
      <w:r w:rsidR="00895573" w:rsidRPr="00C8109A">
        <w:rPr>
          <w:rFonts w:ascii="Arial" w:eastAsia="Times New Roman" w:hAnsi="Arial" w:cs="Arial"/>
          <w:color w:val="000000"/>
          <w:sz w:val="20"/>
          <w:szCs w:val="20"/>
        </w:rPr>
        <w:t> </w:t>
      </w:r>
      <w:r w:rsidRPr="00C8109A">
        <w:rPr>
          <w:rFonts w:ascii="Arial" w:eastAsia="Times New Roman" w:hAnsi="Arial" w:cs="Arial"/>
          <w:color w:val="000000"/>
          <w:sz w:val="20"/>
          <w:szCs w:val="20"/>
        </w:rPr>
        <w:t>III.2.</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63.11201)</w:t>
      </w:r>
    </w:p>
    <w:p w14:paraId="40E554FB" w14:textId="2E428039" w:rsidR="00063B4A" w:rsidRPr="00C8109A" w:rsidRDefault="009F09E5" w:rsidP="00057A8B">
      <w:pPr>
        <w:pStyle w:val="ListParagraph"/>
        <w:numPr>
          <w:ilvl w:val="0"/>
          <w:numId w:val="17"/>
        </w:numPr>
        <w:spacing w:before="120"/>
        <w:rPr>
          <w:rFonts w:ascii="Arial" w:eastAsia="Times New Roman" w:hAnsi="Arial" w:cs="Arial"/>
          <w:sz w:val="20"/>
          <w:szCs w:val="20"/>
        </w:rPr>
      </w:pPr>
      <w:r w:rsidRPr="00C8109A">
        <w:rPr>
          <w:rFonts w:ascii="Arial" w:eastAsia="Times New Roman" w:hAnsi="Arial" w:cs="Arial"/>
          <w:color w:val="000000"/>
          <w:sz w:val="20"/>
          <w:szCs w:val="20"/>
        </w:rPr>
        <w:t xml:space="preserve">The permittee must minimize the startup and shutdown periods of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 xml:space="preserve">{ID} </w:t>
      </w:r>
      <w:r w:rsidRPr="00C8109A">
        <w:rPr>
          <w:rFonts w:ascii="Arial" w:eastAsia="Times New Roman" w:hAnsi="Arial" w:cs="Arial"/>
          <w:color w:val="000000"/>
          <w:sz w:val="20"/>
          <w:szCs w:val="20"/>
        </w:rPr>
        <w:t xml:space="preserve">following the manufacturer's recommended procedures, if available. </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If manufacturer's recommended procedures are not available, the permittee must follow recommended procedures for a unit of similar design for which manufacturer's recommended procedures are available.</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63.11214(d), 40 CFR 63.11223(g), 40 CFR Part 63, Subpart JJJJJJ, Table 2.1)</w:t>
      </w:r>
    </w:p>
    <w:p w14:paraId="6659E6CB" w14:textId="057B5302" w:rsidR="00063B4A" w:rsidRPr="00C8109A" w:rsidRDefault="009F09E5" w:rsidP="00057A8B">
      <w:pPr>
        <w:pStyle w:val="ListParagraph"/>
        <w:numPr>
          <w:ilvl w:val="0"/>
          <w:numId w:val="17"/>
        </w:numPr>
        <w:spacing w:before="120"/>
        <w:rPr>
          <w:rFonts w:ascii="Arial" w:eastAsia="Times New Roman" w:hAnsi="Arial" w:cs="Arial"/>
          <w:sz w:val="20"/>
          <w:szCs w:val="20"/>
        </w:rPr>
      </w:pPr>
      <w:r w:rsidRPr="00C8109A">
        <w:rPr>
          <w:rFonts w:ascii="Arial" w:eastAsia="Times New Roman" w:hAnsi="Arial" w:cs="Arial"/>
          <w:color w:val="000000"/>
          <w:sz w:val="20"/>
          <w:szCs w:val="20"/>
        </w:rPr>
        <w:t xml:space="preserve">At all times the permittee must operate and maintain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 including associated air pollution control equipment and monitoring equipment, in a manner consistent with safety and good air pollution control practices for minimizing emissions.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general duty to minimize emissions does not require the permittee to make any further efforts to reduce emissions if levels required by this standard have been achieved.</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63.11205(a))</w:t>
      </w:r>
    </w:p>
    <w:p w14:paraId="3E7C70A2" w14:textId="2E7333F4"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Use if the permittee is using stack testing to demonstrate compliance with any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  </w:t>
      </w:r>
    </w:p>
    <w:p w14:paraId="46F9DC74" w14:textId="62679EAF" w:rsidR="00063B4A" w:rsidRPr="00C8109A" w:rsidRDefault="009F09E5" w:rsidP="00057A8B">
      <w:pPr>
        <w:pStyle w:val="ListParagraph"/>
        <w:numPr>
          <w:ilvl w:val="0"/>
          <w:numId w:val="17"/>
        </w:numPr>
        <w:spacing w:before="120"/>
        <w:rPr>
          <w:rFonts w:ascii="Arial" w:eastAsia="Times New Roman" w:hAnsi="Arial" w:cs="Arial"/>
          <w:sz w:val="20"/>
          <w:szCs w:val="20"/>
        </w:rPr>
      </w:pPr>
      <w:r w:rsidRPr="00C8109A">
        <w:rPr>
          <w:rFonts w:ascii="Arial" w:eastAsia="Times New Roman" w:hAnsi="Arial" w:cs="Arial"/>
          <w:color w:val="000000"/>
          <w:sz w:val="20"/>
          <w:szCs w:val="20"/>
        </w:rPr>
        <w:t xml:space="preserve">The permittee shall maintain the 30-day rolling average operating load of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 xml:space="preserve">{ID} </w:t>
      </w:r>
      <w:r w:rsidRPr="00C8109A">
        <w:rPr>
          <w:rFonts w:ascii="Arial" w:eastAsia="Times New Roman" w:hAnsi="Arial" w:cs="Arial"/>
          <w:color w:val="000000"/>
          <w:sz w:val="20"/>
          <w:szCs w:val="20"/>
        </w:rPr>
        <w:t>such that it does not exceed 110 percent of the highest hourly average operating load recorded during the most recent performance test.</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63.11212(c), 40 CFR 63.11224(d), 40 CFR Part 63, Subpart JJJJJJ, Table 3.7)</w:t>
      </w:r>
    </w:p>
    <w:p w14:paraId="494A05AE" w14:textId="6C550FD4"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IV.</w:t>
      </w:r>
      <w:r w:rsidR="00C8109A">
        <w:rPr>
          <w:rFonts w:eastAsia="Times New Roman"/>
        </w:rPr>
        <w:t xml:space="preserve"> </w:t>
      </w:r>
      <w:r w:rsidRPr="00063B4A">
        <w:rPr>
          <w:rFonts w:eastAsia="Times New Roman"/>
        </w:rPr>
        <w:t xml:space="preserve"> DESIGN/EQUIPMENT PARAMETER(S)</w:t>
      </w:r>
    </w:p>
    <w:p w14:paraId="37C8C70B" w14:textId="0F3E1567"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color w:val="0000FF"/>
          <w:sz w:val="20"/>
          <w:szCs w:val="20"/>
        </w:rPr>
        <w:t>Boilers that have a CO emission limit are required to have either a CO CEMS, an oxygen analyzer system, or an oxygen trim system installed and operating to show compliance with this emission limit</w:t>
      </w:r>
      <w:r w:rsidR="00C8109A">
        <w:rPr>
          <w:rFonts w:ascii="Arial" w:eastAsia="Times New Roman" w:hAnsi="Arial" w:cs="Arial"/>
          <w:color w:val="0000FF"/>
          <w:sz w:val="20"/>
          <w:szCs w:val="20"/>
        </w:rPr>
        <w:t xml:space="preserve">. </w:t>
      </w:r>
      <w:r w:rsidRPr="00063B4A">
        <w:rPr>
          <w:rFonts w:ascii="Arial" w:eastAsia="Times New Roman" w:hAnsi="Arial" w:cs="Arial"/>
          <w:color w:val="0000FF"/>
          <w:sz w:val="20"/>
          <w:szCs w:val="20"/>
        </w:rPr>
        <w:t xml:space="preserve"> If the facility is using stack tests to show compliance with this limit, they must also have either an oxygen analyzer system or an oxygen trim system installed.</w:t>
      </w:r>
    </w:p>
    <w:p w14:paraId="147600F7" w14:textId="77777777" w:rsidR="00063B4A" w:rsidRPr="00174B84" w:rsidRDefault="009F09E5" w:rsidP="00057A8B">
      <w:pPr>
        <w:spacing w:before="120"/>
        <w:rPr>
          <w:rFonts w:ascii="Arial" w:eastAsia="Times New Roman" w:hAnsi="Arial" w:cs="Arial"/>
          <w:sz w:val="20"/>
          <w:szCs w:val="20"/>
        </w:rPr>
      </w:pPr>
      <w:r w:rsidRPr="00174B84">
        <w:rPr>
          <w:rFonts w:ascii="Arial" w:eastAsia="Times New Roman" w:hAnsi="Arial" w:cs="Arial"/>
          <w:b/>
          <w:bCs/>
          <w:color w:val="FF0000"/>
          <w:sz w:val="20"/>
          <w:szCs w:val="20"/>
        </w:rPr>
        <w:t>CHOOSE AT LEAST ONE CO MONITORING OPTION</w:t>
      </w:r>
    </w:p>
    <w:p w14:paraId="0E0FB230" w14:textId="216EAA50"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Use if the permittee is using an oxygen analyzer system to demonstrate compliance with the CO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This requirement does not apply to units that install an oxygen trim system since these units will set the trim system to the level specified in 40 CFR 63.7525(a).</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0B33A698" w14:textId="4DA2EAEF" w:rsidR="00063B4A" w:rsidRPr="00C8109A" w:rsidRDefault="009F09E5" w:rsidP="00057A8B">
      <w:pPr>
        <w:numPr>
          <w:ilvl w:val="0"/>
          <w:numId w:val="2"/>
        </w:numPr>
        <w:spacing w:before="120"/>
        <w:ind w:left="360"/>
        <w:textAlignment w:val="baseline"/>
        <w:rPr>
          <w:rFonts w:ascii="Arial" w:eastAsia="Times New Roman" w:hAnsi="Arial" w:cs="Arial"/>
          <w:b/>
          <w:bCs/>
          <w:color w:val="000000"/>
          <w:sz w:val="20"/>
          <w:szCs w:val="20"/>
        </w:rPr>
      </w:pPr>
      <w:r w:rsidRPr="00C8109A">
        <w:rPr>
          <w:rFonts w:ascii="Arial" w:eastAsia="Times New Roman" w:hAnsi="Arial" w:cs="Arial"/>
          <w:color w:val="000000"/>
          <w:sz w:val="20"/>
          <w:szCs w:val="20"/>
        </w:rPr>
        <w:t>The permittee must install, operate, and maintain an oxygen analyzer system in accordance with the manufacturer’s recommendations.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Oxygen analyzer systems must be installed to monitor oxygen in the boiler flue gas, boiler firebox, or other appropriate intermediate location.</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maintain the 30-day rolling average oxygen content at or above the minimum oxygen concentration measured during the most recent CO performance test.</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63.11224(c) and (d), 40 CFR Part 63, Subpart JJJJJJ, Table 6.3)</w:t>
      </w:r>
    </w:p>
    <w:p w14:paraId="03533A0E" w14:textId="2835AE74"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Use if the permittee is specifically using an oxygen trim system to demonstrate compliance with the CO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numbering</w:t>
      </w:r>
      <w:r w:rsidRPr="00C8109A">
        <w:rPr>
          <w:rFonts w:ascii="Arial" w:eastAsia="Times New Roman" w:hAnsi="Arial" w:cs="Arial"/>
          <w:color w:val="FF0000"/>
          <w:sz w:val="20"/>
          <w:szCs w:val="20"/>
        </w:rPr>
        <w:t>.</w:t>
      </w:r>
    </w:p>
    <w:p w14:paraId="2AE6D63F" w14:textId="05990EF4" w:rsidR="00063B4A" w:rsidRPr="00C8109A" w:rsidRDefault="009F09E5" w:rsidP="00057A8B">
      <w:pPr>
        <w:numPr>
          <w:ilvl w:val="0"/>
          <w:numId w:val="3"/>
        </w:numPr>
        <w:spacing w:before="120"/>
        <w:textAlignment w:val="baseline"/>
        <w:rPr>
          <w:rFonts w:ascii="Arial" w:eastAsia="Times New Roman" w:hAnsi="Arial" w:cs="Arial"/>
          <w:b/>
          <w:bCs/>
          <w:color w:val="000000"/>
          <w:sz w:val="20"/>
          <w:szCs w:val="20"/>
        </w:rPr>
      </w:pPr>
      <w:r w:rsidRPr="00C8109A">
        <w:rPr>
          <w:rFonts w:ascii="Arial" w:eastAsia="Times New Roman" w:hAnsi="Arial" w:cs="Arial"/>
          <w:color w:val="000000"/>
          <w:sz w:val="20"/>
          <w:szCs w:val="20"/>
        </w:rPr>
        <w:lastRenderedPageBreak/>
        <w:t>The permittee must install, operate, and maintain an oxygen trim system in accordance with the manufacturer’s recommendations.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Oxygen trim systems must be installed to monitor oxygen in the boiler flue gas, boiler firebox, or other appropriate intermediate location.</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The permittee shall operate an oxygen trim system with the oxygen level set no lower than the lowest hourly average oxygen concentration measured during the most recent CO performance test as the operating limit for oxygen in the combustion device.</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Operation of oxygen trim systems to meet these requirements shall not be done in a manner which compromises furnace safety.</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63.11224(a)(7), 40 CFR 63.11224(c) and (d), 40 CFR Part 63, Subpart JJJJJJ, Table 7.7)</w:t>
      </w:r>
    </w:p>
    <w:p w14:paraId="0451C914" w14:textId="6086F871"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Use if the permittee is using a CO CEMS to demonstrate compliance with the CO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509BC647" w14:textId="6A49C030" w:rsidR="00063B4A" w:rsidRPr="00C8109A" w:rsidRDefault="009F09E5" w:rsidP="00057A8B">
      <w:pPr>
        <w:numPr>
          <w:ilvl w:val="0"/>
          <w:numId w:val="4"/>
        </w:numPr>
        <w:spacing w:before="120"/>
        <w:textAlignment w:val="baseline"/>
        <w:rPr>
          <w:rFonts w:ascii="Arial" w:eastAsia="Times New Roman" w:hAnsi="Arial" w:cs="Arial"/>
          <w:b/>
          <w:bCs/>
          <w:color w:val="000000"/>
          <w:sz w:val="20"/>
          <w:szCs w:val="20"/>
        </w:rPr>
      </w:pPr>
      <w:r w:rsidRPr="00C8109A">
        <w:rPr>
          <w:rFonts w:ascii="Arial" w:eastAsia="Times New Roman" w:hAnsi="Arial" w:cs="Arial"/>
          <w:color w:val="000000"/>
          <w:sz w:val="20"/>
          <w:szCs w:val="20"/>
        </w:rPr>
        <w:t>The permittee must install, operate, and maintain in a satisfactory manner device(s) to monitor and record the CO and oxygen content of the exhaust gas on a continuous basis.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 shall be operated in accordance with 40 CFR Part 60, Appendix B,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63.11224(a), 40 CFR Part 63, Subpart JJJJJJ, Table 7.8)</w:t>
      </w:r>
    </w:p>
    <w:p w14:paraId="74DD55D7" w14:textId="77777777" w:rsidR="00063B4A" w:rsidRPr="00174B84" w:rsidRDefault="009F09E5" w:rsidP="00057A8B">
      <w:pPr>
        <w:spacing w:before="120"/>
        <w:rPr>
          <w:rFonts w:ascii="Arial" w:eastAsia="Times New Roman" w:hAnsi="Arial" w:cs="Arial"/>
          <w:sz w:val="20"/>
          <w:szCs w:val="20"/>
        </w:rPr>
      </w:pPr>
      <w:r w:rsidRPr="00174B84">
        <w:rPr>
          <w:rFonts w:ascii="Arial" w:eastAsia="Times New Roman" w:hAnsi="Arial" w:cs="Arial"/>
          <w:b/>
          <w:bCs/>
          <w:color w:val="FF0000"/>
          <w:sz w:val="20"/>
          <w:szCs w:val="20"/>
        </w:rPr>
        <w:t>CHOOSE THE APPROPRIATE MERCURY MONITORING OPTION(S) IF NOT USING FUEL ANALYSIS TO COMPLY</w:t>
      </w:r>
    </w:p>
    <w:p w14:paraId="6A3309A6" w14:textId="51200D03"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 </w:t>
      </w:r>
      <w:r w:rsidRPr="00C8109A">
        <w:rPr>
          <w:rFonts w:ascii="Arial" w:eastAsia="Times New Roman" w:hAnsi="Arial" w:cs="Arial"/>
          <w:color w:val="FF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 </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If deleted, verify all final numbering.</w:t>
      </w:r>
    </w:p>
    <w:p w14:paraId="43060F7A" w14:textId="3C1158C8" w:rsidR="00063B4A" w:rsidRPr="00C8109A" w:rsidRDefault="009F09E5" w:rsidP="00057A8B">
      <w:pPr>
        <w:numPr>
          <w:ilvl w:val="0"/>
          <w:numId w:val="5"/>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shall install, calibrate, maintain, and operate in a satisfactory manner a device to monitor and record the sorbent or carbon injection rate on a continuous basis.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 shall be operated in accordance with Table 7.4 of 40 CFR Part 63, Subpart JJJJJJ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maintain the 30-day rolling average sorbent or activated carbon injection rate at or above the minimum sorbent or carbon injection rate measured during the most recent performance test demonstrating compliance with the mercury emission limit.</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If the boiler operates at lower loads, multiply the sorbent or activated carbon injection rate by the load fraction.</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63.11224(c) and (d), 40 CFR Part 63, Subpart JJJJJJ, Table 3.4)</w:t>
      </w:r>
    </w:p>
    <w:p w14:paraId="60795E16" w14:textId="2296DA6A"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Use if the source has a wet scrubber and is using pressure drop and liquid flow rate to demonstrate compliance with the mercury emissions limit.</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 xml:space="preserve"> </w:t>
      </w:r>
      <w:r w:rsidRPr="00C8109A">
        <w:rPr>
          <w:rFonts w:ascii="Arial" w:eastAsia="Times New Roman" w:hAnsi="Arial" w:cs="Arial"/>
          <w:color w:val="FF0000"/>
          <w:sz w:val="20"/>
          <w:szCs w:val="20"/>
        </w:rPr>
        <w:t xml:space="preserve">If necessary, specify emission units that are subject to this condition. </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p>
    <w:p w14:paraId="2B1B6B87" w14:textId="5EFF65D4" w:rsidR="00063B4A" w:rsidRPr="00C8109A" w:rsidRDefault="009F09E5" w:rsidP="00057A8B">
      <w:pPr>
        <w:numPr>
          <w:ilvl w:val="0"/>
          <w:numId w:val="6"/>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shall install, calibrate, maintain, and operate in a satisfactory manner device(s) to monitor and record the scrubber pressure drop and a flow monitoring system on a continuous basis.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monitors shall be operated in accordance with procedures outlined in Table 7.3 of 40 CFR Part 63, Subpart JJJJJJ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mercury emission limitation.</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w:t>
      </w:r>
      <w:r w:rsidR="00895573" w:rsidRPr="00C8109A">
        <w:rPr>
          <w:rFonts w:ascii="Arial" w:eastAsia="Times New Roman" w:hAnsi="Arial" w:cs="Arial"/>
          <w:b/>
          <w:bCs/>
          <w:color w:val="000000"/>
          <w:sz w:val="20"/>
          <w:szCs w:val="20"/>
        </w:rPr>
        <w:t> </w:t>
      </w:r>
      <w:r w:rsidRPr="00C8109A">
        <w:rPr>
          <w:rFonts w:ascii="Arial" w:eastAsia="Times New Roman" w:hAnsi="Arial" w:cs="Arial"/>
          <w:b/>
          <w:bCs/>
          <w:color w:val="000000"/>
          <w:sz w:val="20"/>
          <w:szCs w:val="20"/>
        </w:rPr>
        <w:t>CFR 63.11224(c) and (d), 40 CFR Part 63, Subpart JJJJJJ, Table 3.3)</w:t>
      </w:r>
    </w:p>
    <w:p w14:paraId="48834FDD" w14:textId="5EC17B7C"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 </w:t>
      </w:r>
      <w:r w:rsidRPr="00C8109A">
        <w:rPr>
          <w:rFonts w:ascii="Arial" w:eastAsia="Times New Roman" w:hAnsi="Arial" w:cs="Arial"/>
          <w:color w:val="FF0000"/>
          <w:sz w:val="20"/>
          <w:szCs w:val="20"/>
        </w:rPr>
        <w:t>If the permittee has a fabric filter or an ESP and elects to comply with an opacity operating limit per Table 3 and is not otherwise required or elect to install and operate a bag leak detection system or monitor secondary electric power, respectively.</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p>
    <w:p w14:paraId="709BA487" w14:textId="40B99E0F" w:rsidR="00063B4A" w:rsidRPr="00C8109A" w:rsidRDefault="009F09E5" w:rsidP="00057A8B">
      <w:pPr>
        <w:numPr>
          <w:ilvl w:val="0"/>
          <w:numId w:val="7"/>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must install, operate, certify and maintain in a satisfactory manner a COMS to monitor and record opacity on a continuous basis.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 shall be operated in accordance with the procedures in 40 CFR Part 60, Appendix B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maintain an opacity of less than or equal to 10 percent opacity (daily block average).</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63.11224(e), 40 CFR Part 63, Subpart JJJJJJ, Table 3.1.a</w:t>
      </w:r>
      <w:r w:rsidRPr="00C8109A">
        <w:rPr>
          <w:rFonts w:ascii="Arial" w:eastAsia="Times New Roman" w:hAnsi="Arial" w:cs="Arial"/>
          <w:b/>
          <w:bCs/>
          <w:color w:val="0000FF"/>
          <w:sz w:val="20"/>
          <w:szCs w:val="20"/>
        </w:rPr>
        <w:t>{if fabric filter}</w:t>
      </w:r>
      <w:r w:rsidRPr="00C8109A">
        <w:rPr>
          <w:rFonts w:ascii="Arial" w:eastAsia="Times New Roman" w:hAnsi="Arial" w:cs="Arial"/>
          <w:b/>
          <w:bCs/>
          <w:color w:val="000000"/>
          <w:sz w:val="20"/>
          <w:szCs w:val="20"/>
        </w:rPr>
        <w:t xml:space="preserve"> </w:t>
      </w:r>
      <w:r w:rsidRPr="00C8109A">
        <w:rPr>
          <w:rFonts w:ascii="Arial" w:eastAsia="Times New Roman" w:hAnsi="Arial" w:cs="Arial"/>
          <w:b/>
          <w:bCs/>
          <w:color w:val="FF0000"/>
          <w:sz w:val="20"/>
          <w:szCs w:val="20"/>
        </w:rPr>
        <w:t>OR</w:t>
      </w:r>
      <w:r w:rsidRPr="00C8109A">
        <w:rPr>
          <w:rFonts w:ascii="Arial" w:eastAsia="Times New Roman" w:hAnsi="Arial" w:cs="Arial"/>
          <w:b/>
          <w:bCs/>
          <w:color w:val="000000"/>
          <w:sz w:val="20"/>
          <w:szCs w:val="20"/>
        </w:rPr>
        <w:t xml:space="preserve"> Table 3.2.a </w:t>
      </w:r>
      <w:r w:rsidRPr="00C8109A">
        <w:rPr>
          <w:rFonts w:ascii="Arial" w:eastAsia="Times New Roman" w:hAnsi="Arial" w:cs="Arial"/>
          <w:b/>
          <w:bCs/>
          <w:color w:val="0000FF"/>
          <w:sz w:val="20"/>
          <w:szCs w:val="20"/>
        </w:rPr>
        <w:t>{if ESP}</w:t>
      </w:r>
      <w:r w:rsidRPr="00C8109A">
        <w:rPr>
          <w:rFonts w:ascii="Arial" w:eastAsia="Times New Roman" w:hAnsi="Arial" w:cs="Arial"/>
          <w:b/>
          <w:bCs/>
          <w:color w:val="000000"/>
          <w:sz w:val="20"/>
          <w:szCs w:val="20"/>
        </w:rPr>
        <w:t>)</w:t>
      </w:r>
    </w:p>
    <w:p w14:paraId="121022C6" w14:textId="7F46C7DA"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lastRenderedPageBreak/>
        <w:t>OPTIONAL</w:t>
      </w:r>
      <w:r w:rsidRPr="00C8109A">
        <w:rPr>
          <w:rFonts w:ascii="Arial" w:eastAsia="Times New Roman" w:hAnsi="Arial" w:cs="Arial"/>
          <w:color w:val="FF0000"/>
          <w:sz w:val="20"/>
          <w:szCs w:val="20"/>
        </w:rPr>
        <w:t xml:space="preserve"> – Use if the permittee has a fabric filter and elects to use a bag leak detection system to demonstrate compliance</w:t>
      </w:r>
      <w:r w:rsidRPr="00C8109A">
        <w:rPr>
          <w:rFonts w:ascii="Arial" w:eastAsia="Times New Roman" w:hAnsi="Arial" w:cs="Arial"/>
          <w:b/>
          <w:bCs/>
          <w:color w:val="FF0000"/>
          <w:sz w:val="20"/>
          <w:szCs w:val="20"/>
        </w:rPr>
        <w:t>.</w:t>
      </w:r>
      <w:r w:rsidR="00C8109A" w:rsidRPr="00C8109A">
        <w:rPr>
          <w:rFonts w:ascii="Arial" w:eastAsia="Times New Roman" w:hAnsi="Arial" w:cs="Arial"/>
          <w:b/>
          <w:bCs/>
          <w:color w:val="FF0000"/>
          <w:sz w:val="20"/>
          <w:szCs w:val="20"/>
        </w:rPr>
        <w:t xml:space="preserve"> </w:t>
      </w:r>
      <w:r w:rsidRPr="00C8109A">
        <w:rPr>
          <w:rFonts w:ascii="Arial" w:eastAsia="Times New Roman" w:hAnsi="Arial" w:cs="Arial"/>
          <w:b/>
          <w:bCs/>
          <w:color w:val="FF0000"/>
          <w:sz w:val="20"/>
          <w:szCs w:val="20"/>
        </w:rPr>
        <w:t xml:space="preserve"> </w:t>
      </w:r>
      <w:r w:rsidRPr="00C8109A">
        <w:rPr>
          <w:rFonts w:ascii="Arial" w:eastAsia="Times New Roman" w:hAnsi="Arial" w:cs="Arial"/>
          <w:color w:val="FF0000"/>
          <w:sz w:val="20"/>
          <w:szCs w:val="20"/>
        </w:rPr>
        <w:t xml:space="preserve">If necessary, specify emission units that are subject to this condition. </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p>
    <w:p w14:paraId="1012C120" w14:textId="3FC04715" w:rsidR="00063B4A" w:rsidRPr="00C8109A" w:rsidRDefault="009F09E5" w:rsidP="00057A8B">
      <w:pPr>
        <w:numPr>
          <w:ilvl w:val="0"/>
          <w:numId w:val="8"/>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must install, calibrate, maintain, and continuously operate the bag leak detection system.</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 shall be operated in accordance with 40 CFR 63.11224(f)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operate the fabric filter such that the bag leak detection system alert is not activated more than 5 percent of the operating time during each 6-month period.</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63.11224(f), 40 CFR Part 63, Subpart JJJJJJ, Table 3.1.b)</w:t>
      </w:r>
    </w:p>
    <w:p w14:paraId="02568246" w14:textId="2D47C43B"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Use if the source has an ESP and is monitoring secondary electric power to demonstrate compliance.</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 </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p>
    <w:p w14:paraId="4BD05F84" w14:textId="2F40C2A3" w:rsidR="00063B4A" w:rsidRPr="00C8109A" w:rsidRDefault="009F09E5" w:rsidP="00057A8B">
      <w:pPr>
        <w:numPr>
          <w:ilvl w:val="0"/>
          <w:numId w:val="9"/>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shall install, calibrate, maintain, and operate in a satisfactory manner a device to monitor and record the secondary electric power monitoring system for an electrostatic precipitator (ESP) on a continuous basis.</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monitor shall be operated in accordance with procedures outlined in Table 7.5 of 40 CFR Part 63, Subpart JJJJJJ and the site-specific monitoring plan developed according to 40 CFR 63.11224(c) as specified in SC VI.1.</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maintain the 30-day rolling average total secondary electric power input of the electrostatic precipitator at or above the operating limits established during the most recent performance test.</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63.11224(c) and (d), 40 CFR Part 63, Subpart JJJJJJ, Table 3.2.b)</w:t>
      </w:r>
    </w:p>
    <w:p w14:paraId="0CAEFCA8" w14:textId="252DCAAB" w:rsidR="00063B4A" w:rsidRPr="00063B4A" w:rsidRDefault="009F09E5" w:rsidP="00174B84">
      <w:pPr>
        <w:pStyle w:val="Heading5"/>
        <w:spacing w:after="0"/>
        <w:rPr>
          <w:rFonts w:ascii="Times New Roman" w:eastAsia="Times New Roman" w:hAnsi="Times New Roman" w:cs="Times New Roman"/>
          <w:szCs w:val="24"/>
        </w:rPr>
      </w:pPr>
      <w:r w:rsidRPr="00063B4A">
        <w:rPr>
          <w:rFonts w:eastAsia="Times New Roman"/>
        </w:rPr>
        <w:t>V.</w:t>
      </w:r>
      <w:r w:rsidR="00895573">
        <w:rPr>
          <w:rFonts w:eastAsia="Times New Roman"/>
        </w:rPr>
        <w:t xml:space="preserve"> </w:t>
      </w:r>
      <w:r w:rsidRPr="00063B4A">
        <w:rPr>
          <w:rFonts w:eastAsia="Times New Roman"/>
        </w:rPr>
        <w:t xml:space="preserve"> TESTING/SAMPLING</w:t>
      </w:r>
    </w:p>
    <w:p w14:paraId="301F6B9C" w14:textId="6D90D404" w:rsidR="00063B4A" w:rsidRPr="00063B4A" w:rsidRDefault="009F09E5" w:rsidP="00057A8B">
      <w:pPr>
        <w:spacing w:line="240" w:lineRule="auto"/>
        <w:rPr>
          <w:rFonts w:ascii="Times New Roman" w:eastAsia="Times New Roman" w:hAnsi="Times New Roman" w:cs="Times New Roman"/>
          <w:sz w:val="24"/>
          <w:szCs w:val="24"/>
        </w:rPr>
      </w:pPr>
      <w:r w:rsidRPr="00063B4A">
        <w:rPr>
          <w:rFonts w:ascii="Arial" w:eastAsia="Times New Roman" w:hAnsi="Arial" w:cs="Arial"/>
          <w:color w:val="000000"/>
          <w:sz w:val="20"/>
          <w:szCs w:val="20"/>
        </w:rPr>
        <w:t>Records shall be maintained on file for a period of five years.</w:t>
      </w:r>
      <w:r w:rsidR="00C8109A">
        <w:rPr>
          <w:rFonts w:ascii="Arial" w:eastAsia="Times New Roman" w:hAnsi="Arial" w:cs="Arial"/>
          <w:color w:val="000000"/>
          <w:sz w:val="20"/>
          <w:szCs w:val="20"/>
        </w:rPr>
        <w:t xml:space="preserve"> </w:t>
      </w:r>
      <w:r w:rsidRPr="00063B4A">
        <w:rPr>
          <w:rFonts w:ascii="Arial" w:eastAsia="Times New Roman" w:hAnsi="Arial" w:cs="Arial"/>
          <w:color w:val="000000"/>
          <w:sz w:val="20"/>
          <w:szCs w:val="20"/>
        </w:rPr>
        <w:t xml:space="preserve"> </w:t>
      </w:r>
      <w:r w:rsidRPr="00063B4A">
        <w:rPr>
          <w:rFonts w:ascii="Arial" w:eastAsia="Times New Roman" w:hAnsi="Arial" w:cs="Arial"/>
          <w:b/>
          <w:bCs/>
          <w:color w:val="000000"/>
          <w:sz w:val="20"/>
          <w:szCs w:val="20"/>
        </w:rPr>
        <w:t>(R 336.1213(3)(b)(ii))</w:t>
      </w:r>
    </w:p>
    <w:p w14:paraId="40700A73" w14:textId="22559C4C"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b/>
          <w:bCs/>
          <w:color w:val="0000FF"/>
          <w:sz w:val="20"/>
          <w:szCs w:val="20"/>
        </w:rPr>
        <w:t xml:space="preserve">Permit staff – </w:t>
      </w:r>
      <w:r w:rsidR="00057A8B" w:rsidRPr="00057A8B">
        <w:rPr>
          <w:rFonts w:ascii="Arial" w:eastAsia="Times New Roman" w:hAnsi="Arial" w:cs="Arial"/>
          <w:b/>
          <w:bCs/>
          <w:color w:val="0000FF"/>
          <w:sz w:val="20"/>
          <w:szCs w:val="20"/>
        </w:rPr>
        <w:t>CHANGE</w:t>
      </w:r>
      <w:r w:rsidRPr="00063B4A">
        <w:rPr>
          <w:rFonts w:ascii="Arial" w:eastAsia="Times New Roman" w:hAnsi="Arial" w:cs="Arial"/>
          <w:b/>
          <w:bCs/>
          <w:color w:val="0000FF"/>
          <w:sz w:val="20"/>
          <w:szCs w:val="20"/>
        </w:rPr>
        <w:t xml:space="preserve"> above UAR to R 336.1201(3) if using in a PTI.</w:t>
      </w:r>
    </w:p>
    <w:p w14:paraId="332227B5"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{Make sure Special Condition references match what is in Section I.}</w:t>
      </w:r>
    </w:p>
    <w:p w14:paraId="405A1A67"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color w:val="FF0000"/>
          <w:sz w:val="20"/>
          <w:szCs w:val="20"/>
        </w:rPr>
        <w:t>Items in red font are optional and should only be used if there are units that meet the specified condition, otherwise delete.</w:t>
      </w:r>
    </w:p>
    <w:p w14:paraId="199F3F17"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ALWAYS INCLUDE</w:t>
      </w:r>
    </w:p>
    <w:p w14:paraId="0D4416FF" w14:textId="779407F2" w:rsidR="00063B4A" w:rsidRPr="00C8109A" w:rsidRDefault="009F09E5" w:rsidP="00057A8B">
      <w:pPr>
        <w:numPr>
          <w:ilvl w:val="0"/>
          <w:numId w:val="10"/>
        </w:numPr>
        <w:spacing w:before="120"/>
        <w:ind w:left="36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The permittee must demonstrate compliance with all applicable emission limits using performance stack testing, fuel analysis, or a continuous monitoring system (CMS), including a continuous emission monitoring system (CEMS), a continuous opacity monitoring system (COMS), or a continuous parameter monitoring system (CPMS), where applicable.</w:t>
      </w:r>
      <w:r w:rsidR="00895573"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63.11205(b))</w:t>
      </w:r>
    </w:p>
    <w:p w14:paraId="24ABEA73" w14:textId="105526D2"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w:t>
      </w:r>
      <w:r w:rsidRPr="00C8109A">
        <w:rPr>
          <w:rFonts w:ascii="Arial" w:eastAsia="Times New Roman" w:hAnsi="Arial" w:cs="Arial"/>
          <w:color w:val="FF0000"/>
          <w:sz w:val="20"/>
          <w:szCs w:val="20"/>
        </w:rPr>
        <w:t>- Include only pollutants that are going to be monitored through performance testing and not with a CEMS or fuel analysis.</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Delete the pollutants that will not be monitored through performance testing.</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724E0615" w14:textId="1F84D520" w:rsidR="00063B4A" w:rsidRPr="00C8109A" w:rsidRDefault="009F09E5" w:rsidP="00057A8B">
      <w:pPr>
        <w:numPr>
          <w:ilvl w:val="0"/>
          <w:numId w:val="11"/>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 xml:space="preserve">The permittee shall verify </w:t>
      </w:r>
      <w:r w:rsidRPr="00C8109A">
        <w:rPr>
          <w:rFonts w:ascii="Arial" w:eastAsia="Times New Roman" w:hAnsi="Arial" w:cs="Arial"/>
          <w:color w:val="FF0000"/>
          <w:sz w:val="20"/>
          <w:szCs w:val="20"/>
        </w:rPr>
        <w:t>mercury and CO</w:t>
      </w:r>
      <w:r w:rsidRPr="00C8109A">
        <w:rPr>
          <w:rFonts w:ascii="Arial" w:eastAsia="Times New Roman" w:hAnsi="Arial" w:cs="Arial"/>
          <w:color w:val="000000"/>
          <w:sz w:val="20"/>
          <w:szCs w:val="20"/>
        </w:rPr>
        <w:t xml:space="preserve"> emission rates from </w:t>
      </w:r>
      <w:r w:rsidRPr="00C8109A">
        <w:rPr>
          <w:rFonts w:ascii="Arial" w:eastAsia="Times New Roman" w:hAnsi="Arial" w:cs="Arial"/>
          <w:color w:val="FF0000"/>
          <w:sz w:val="20"/>
          <w:szCs w:val="20"/>
        </w:rPr>
        <w:t>{FG / PORTION OF THE FG}</w:t>
      </w:r>
      <w:r w:rsidRPr="00C8109A">
        <w:rPr>
          <w:rFonts w:ascii="Arial" w:eastAsia="Times New Roman" w:hAnsi="Arial" w:cs="Arial"/>
          <w:color w:val="000000"/>
          <w:sz w:val="20"/>
          <w:szCs w:val="20"/>
        </w:rPr>
        <w:t xml:space="preserve"> by testing at owner's expense, in accordance with the Department requirements.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Testing shall be performed using an approved EPA Method listed in:</w:t>
      </w:r>
    </w:p>
    <w:tbl>
      <w:tblPr>
        <w:tblW w:w="0" w:type="auto"/>
        <w:tblInd w:w="355" w:type="dxa"/>
        <w:tblCellMar>
          <w:top w:w="15" w:type="dxa"/>
          <w:left w:w="15" w:type="dxa"/>
          <w:bottom w:w="15" w:type="dxa"/>
          <w:right w:w="15" w:type="dxa"/>
        </w:tblCellMar>
        <w:tblLook w:val="04A0" w:firstRow="1" w:lastRow="0" w:firstColumn="1" w:lastColumn="0" w:noHBand="0" w:noVBand="1"/>
      </w:tblPr>
      <w:tblGrid>
        <w:gridCol w:w="2070"/>
        <w:gridCol w:w="7650"/>
      </w:tblGrid>
      <w:tr w:rsidR="00F33956" w14:paraId="61514C58" w14:textId="77777777" w:rsidTr="00057A8B">
        <w:tc>
          <w:tcPr>
            <w:tcW w:w="20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15" w:type="dxa"/>
              <w:bottom w:w="0" w:type="dxa"/>
              <w:right w:w="115" w:type="dxa"/>
            </w:tcMar>
            <w:hideMark/>
          </w:tcPr>
          <w:p w14:paraId="2519F384" w14:textId="77777777" w:rsidR="00063B4A" w:rsidRPr="00C8109A" w:rsidRDefault="009F09E5" w:rsidP="00063B4A">
            <w:pPr>
              <w:spacing w:after="0" w:line="240" w:lineRule="auto"/>
              <w:ind w:left="-17"/>
              <w:rPr>
                <w:rFonts w:ascii="Arial" w:eastAsia="Times New Roman" w:hAnsi="Arial" w:cs="Arial"/>
                <w:sz w:val="20"/>
                <w:szCs w:val="20"/>
              </w:rPr>
            </w:pPr>
            <w:r w:rsidRPr="00C8109A">
              <w:rPr>
                <w:rFonts w:ascii="Arial" w:eastAsia="Times New Roman" w:hAnsi="Arial" w:cs="Arial"/>
                <w:b/>
                <w:bCs/>
                <w:color w:val="000000"/>
                <w:sz w:val="20"/>
                <w:szCs w:val="20"/>
              </w:rPr>
              <w:t>Pollutant</w:t>
            </w:r>
          </w:p>
        </w:tc>
        <w:tc>
          <w:tcPr>
            <w:tcW w:w="76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15" w:type="dxa"/>
              <w:bottom w:w="0" w:type="dxa"/>
              <w:right w:w="115" w:type="dxa"/>
            </w:tcMar>
            <w:hideMark/>
          </w:tcPr>
          <w:p w14:paraId="6F9FD23C" w14:textId="77777777" w:rsidR="00063B4A" w:rsidRPr="00C8109A" w:rsidRDefault="009F09E5" w:rsidP="00063B4A">
            <w:pPr>
              <w:spacing w:after="0" w:line="240" w:lineRule="auto"/>
              <w:jc w:val="both"/>
              <w:rPr>
                <w:rFonts w:ascii="Arial" w:eastAsia="Times New Roman" w:hAnsi="Arial" w:cs="Arial"/>
                <w:sz w:val="20"/>
                <w:szCs w:val="20"/>
              </w:rPr>
            </w:pPr>
            <w:r w:rsidRPr="00C8109A">
              <w:rPr>
                <w:rFonts w:ascii="Arial" w:eastAsia="Times New Roman" w:hAnsi="Arial" w:cs="Arial"/>
                <w:b/>
                <w:bCs/>
                <w:color w:val="000000"/>
                <w:sz w:val="20"/>
                <w:szCs w:val="20"/>
              </w:rPr>
              <w:t>Test Method Reference</w:t>
            </w:r>
          </w:p>
        </w:tc>
      </w:tr>
      <w:tr w:rsidR="00F33956" w14:paraId="42943940" w14:textId="77777777" w:rsidTr="00C8109A">
        <w:tc>
          <w:tcPr>
            <w:tcW w:w="20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AB240" w14:textId="77777777" w:rsidR="00063B4A" w:rsidRPr="00C8109A" w:rsidRDefault="009F09E5" w:rsidP="00057A8B">
            <w:pPr>
              <w:spacing w:before="60" w:after="60"/>
              <w:ind w:left="-17"/>
              <w:rPr>
                <w:rFonts w:ascii="Arial" w:eastAsia="Times New Roman" w:hAnsi="Arial" w:cs="Arial"/>
                <w:sz w:val="20"/>
                <w:szCs w:val="20"/>
              </w:rPr>
            </w:pPr>
            <w:r w:rsidRPr="00C8109A">
              <w:rPr>
                <w:rFonts w:ascii="Arial" w:eastAsia="Times New Roman" w:hAnsi="Arial" w:cs="Arial"/>
                <w:color w:val="FF0000"/>
                <w:sz w:val="20"/>
                <w:szCs w:val="20"/>
              </w:rPr>
              <w:t>CO</w:t>
            </w:r>
          </w:p>
        </w:tc>
        <w:tc>
          <w:tcPr>
            <w:tcW w:w="76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4F266" w14:textId="77777777" w:rsidR="00063B4A" w:rsidRPr="00C8109A" w:rsidRDefault="009F09E5" w:rsidP="00057A8B">
            <w:pPr>
              <w:spacing w:before="60" w:after="60"/>
              <w:rPr>
                <w:rFonts w:ascii="Arial" w:eastAsia="Times New Roman" w:hAnsi="Arial" w:cs="Arial"/>
                <w:sz w:val="20"/>
                <w:szCs w:val="20"/>
              </w:rPr>
            </w:pPr>
            <w:r w:rsidRPr="00C8109A">
              <w:rPr>
                <w:rFonts w:ascii="Arial" w:eastAsia="Times New Roman" w:hAnsi="Arial" w:cs="Arial"/>
                <w:color w:val="FF0000"/>
                <w:sz w:val="20"/>
                <w:szCs w:val="20"/>
              </w:rPr>
              <w:t>40 CFR Part 63, Subpart JJJJJJ, Table 4.3</w:t>
            </w:r>
          </w:p>
        </w:tc>
      </w:tr>
      <w:tr w:rsidR="00F33956" w14:paraId="38A34600" w14:textId="77777777" w:rsidTr="00C8109A">
        <w:tc>
          <w:tcPr>
            <w:tcW w:w="20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53260" w14:textId="77777777" w:rsidR="00063B4A" w:rsidRPr="00C8109A" w:rsidRDefault="009F09E5" w:rsidP="00057A8B">
            <w:pPr>
              <w:spacing w:before="60" w:after="60"/>
              <w:ind w:left="-17"/>
              <w:rPr>
                <w:rFonts w:ascii="Arial" w:eastAsia="Times New Roman" w:hAnsi="Arial" w:cs="Arial"/>
                <w:sz w:val="20"/>
                <w:szCs w:val="20"/>
              </w:rPr>
            </w:pPr>
            <w:r w:rsidRPr="00C8109A">
              <w:rPr>
                <w:rFonts w:ascii="Arial" w:eastAsia="Times New Roman" w:hAnsi="Arial" w:cs="Arial"/>
                <w:color w:val="FF0000"/>
                <w:sz w:val="20"/>
                <w:szCs w:val="20"/>
              </w:rPr>
              <w:t>Mercury</w:t>
            </w:r>
          </w:p>
        </w:tc>
        <w:tc>
          <w:tcPr>
            <w:tcW w:w="76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A7CD2" w14:textId="77777777" w:rsidR="00063B4A" w:rsidRPr="00C8109A" w:rsidRDefault="009F09E5" w:rsidP="00057A8B">
            <w:pPr>
              <w:spacing w:before="60" w:after="60"/>
              <w:rPr>
                <w:rFonts w:ascii="Arial" w:eastAsia="Times New Roman" w:hAnsi="Arial" w:cs="Arial"/>
                <w:sz w:val="20"/>
                <w:szCs w:val="20"/>
              </w:rPr>
            </w:pPr>
            <w:r w:rsidRPr="00C8109A">
              <w:rPr>
                <w:rFonts w:ascii="Arial" w:eastAsia="Times New Roman" w:hAnsi="Arial" w:cs="Arial"/>
                <w:color w:val="FF0000"/>
                <w:sz w:val="20"/>
                <w:szCs w:val="20"/>
              </w:rPr>
              <w:t>40 CFR Part 63, Subpart JJJJJJ, Table 4.2</w:t>
            </w:r>
          </w:p>
        </w:tc>
      </w:tr>
    </w:tbl>
    <w:p w14:paraId="15A5A0FE" w14:textId="39D1C571" w:rsidR="00063B4A" w:rsidRPr="00C8109A" w:rsidRDefault="009F09E5" w:rsidP="00057A8B">
      <w:pPr>
        <w:spacing w:before="120"/>
        <w:ind w:left="360"/>
        <w:rPr>
          <w:rFonts w:ascii="Arial" w:eastAsia="Times New Roman" w:hAnsi="Arial" w:cs="Arial"/>
          <w:sz w:val="20"/>
          <w:szCs w:val="20"/>
        </w:rPr>
      </w:pPr>
      <w:r w:rsidRPr="00C8109A">
        <w:rPr>
          <w:rFonts w:ascii="Arial" w:eastAsia="Times New Roman" w:hAnsi="Arial" w:cs="Arial"/>
          <w:color w:val="000000"/>
          <w:sz w:val="20"/>
          <w:szCs w:val="20"/>
        </w:rPr>
        <w:t>No less than 30 days prior to testing, the permittee shall submit a complete test plan to the AQD Technical Programs Unit and District Office.</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AQD must approve the final plan prior to testing.</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submit a complete report of the test results to the AQD Technical Programs Unit and District Office within 60 days following the last date of the test.</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63.11212, 40 CFR 63.11220(a), 40 CFR Part 63, Subpart JJJJJJ, Table 4)</w:t>
      </w:r>
    </w:p>
    <w:p w14:paraId="2EE489D3"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Always include the following 4 conditions with any stack testing conditions</w:t>
      </w:r>
    </w:p>
    <w:p w14:paraId="10882DAF" w14:textId="5DAE4DDD" w:rsidR="00063B4A" w:rsidRPr="00C8109A" w:rsidRDefault="009F09E5" w:rsidP="00057A8B">
      <w:pPr>
        <w:numPr>
          <w:ilvl w:val="0"/>
          <w:numId w:val="12"/>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lastRenderedPageBreak/>
        <w:t>The permittee must conduct all performance tests according to 40 CFR 63.7(c), (d), (f), and (h), and each stack test according to the requirements in Table 4 of 40 CFR Part 63, Subpart JJJJJJ.</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also develop a site-specific test plan according to the requirements in 40 CFR 63.7(c).</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Performance stack tests must be conducted at the representative operating load conditions while burning the type of fuel or mixture of fuels that have the highest emissions potential for each regulated pollutant, and establish the operating limits based on these performance stack tests.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Following each performance stack test and until the next performance stack test, the permittee must comply with the operating limit for operating load conditions established from the results of the performance stack test.</w:t>
      </w:r>
      <w:r w:rsidR="00C8109A"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63.11212)</w:t>
      </w:r>
    </w:p>
    <w:p w14:paraId="592B93DF" w14:textId="14E10CE9" w:rsidR="00063B4A" w:rsidRPr="00C8109A" w:rsidRDefault="009F09E5" w:rsidP="00057A8B">
      <w:pPr>
        <w:numPr>
          <w:ilvl w:val="0"/>
          <w:numId w:val="13"/>
        </w:numPr>
        <w:spacing w:before="120"/>
        <w:textAlignment w:val="baseline"/>
        <w:rPr>
          <w:rFonts w:ascii="Arial" w:eastAsia="Times New Roman" w:hAnsi="Arial" w:cs="Arial"/>
          <w:color w:val="000000"/>
          <w:sz w:val="20"/>
          <w:szCs w:val="20"/>
        </w:rPr>
      </w:pPr>
      <w:r w:rsidRPr="00C8109A">
        <w:rPr>
          <w:rFonts w:ascii="Arial" w:eastAsia="Times New Roman" w:hAnsi="Arial" w:cs="Arial"/>
          <w:color w:val="000000"/>
          <w:sz w:val="20"/>
          <w:szCs w:val="20"/>
        </w:rPr>
        <w:t xml:space="preserve">The permittee shall verify the </w:t>
      </w:r>
      <w:r w:rsidRPr="00C8109A">
        <w:rPr>
          <w:rFonts w:ascii="Arial" w:eastAsia="Times New Roman" w:hAnsi="Arial" w:cs="Arial"/>
          <w:color w:val="FF0000"/>
          <w:sz w:val="20"/>
          <w:szCs w:val="20"/>
        </w:rPr>
        <w:t>mercury and CO</w:t>
      </w:r>
      <w:r w:rsidRPr="00C8109A">
        <w:rPr>
          <w:rFonts w:ascii="Arial" w:eastAsia="Times New Roman" w:hAnsi="Arial" w:cs="Arial"/>
          <w:color w:val="000000"/>
          <w:sz w:val="20"/>
          <w:szCs w:val="20"/>
        </w:rPr>
        <w:t xml:space="preserve"> emission rates from each boiler in</w:t>
      </w:r>
      <w:r w:rsidRPr="00C8109A">
        <w:rPr>
          <w:rFonts w:ascii="Arial" w:eastAsia="Times New Roman" w:hAnsi="Arial" w:cs="Arial"/>
          <w:color w:val="FF0000"/>
          <w:sz w:val="20"/>
          <w:szCs w:val="20"/>
        </w:rPr>
        <w:t xml:space="preserve"> </w:t>
      </w:r>
      <w:r w:rsidRPr="00C8109A">
        <w:rPr>
          <w:rFonts w:ascii="Arial" w:eastAsia="Times New Roman" w:hAnsi="Arial" w:cs="Arial"/>
          <w:sz w:val="20"/>
          <w:szCs w:val="20"/>
        </w:rPr>
        <w:t>FG</w:t>
      </w:r>
      <w:r w:rsidRPr="00C8109A">
        <w:rPr>
          <w:rFonts w:ascii="Arial" w:eastAsia="Times New Roman" w:hAnsi="Arial" w:cs="Arial"/>
          <w:color w:val="FF0000"/>
          <w:sz w:val="20"/>
          <w:szCs w:val="20"/>
        </w:rPr>
        <w:t>{ID} / {PORTION OF THE FG}</w:t>
      </w:r>
      <w:r w:rsidRPr="00C8109A">
        <w:rPr>
          <w:rFonts w:ascii="Arial" w:eastAsia="Times New Roman" w:hAnsi="Arial" w:cs="Arial"/>
          <w:color w:val="000000"/>
          <w:sz w:val="20"/>
          <w:szCs w:val="20"/>
        </w:rPr>
        <w:t>, at a minimum, on a triennial basis.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Triennial performance tests must be completed no more than 37 months after the previous performance test.</w:t>
      </w:r>
      <w:r w:rsidR="00C8109A"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 xml:space="preserve"> (40 CFR 63.11220(a))</w:t>
      </w:r>
    </w:p>
    <w:p w14:paraId="387AB1B5" w14:textId="33A41BB7" w:rsidR="00063B4A" w:rsidRPr="00C8109A" w:rsidRDefault="009F09E5" w:rsidP="00057A8B">
      <w:pPr>
        <w:numPr>
          <w:ilvl w:val="0"/>
          <w:numId w:val="14"/>
        </w:numPr>
        <w:spacing w:before="120"/>
        <w:textAlignment w:val="baseline"/>
        <w:rPr>
          <w:rFonts w:ascii="Arial" w:eastAsia="Times New Roman" w:hAnsi="Arial" w:cs="Arial"/>
          <w:b/>
          <w:bCs/>
          <w:color w:val="000000"/>
          <w:sz w:val="20"/>
          <w:szCs w:val="20"/>
        </w:rPr>
      </w:pPr>
      <w:r w:rsidRPr="00C8109A">
        <w:rPr>
          <w:rFonts w:ascii="Arial" w:eastAsia="Times New Roman" w:hAnsi="Arial" w:cs="Arial"/>
          <w:color w:val="000000"/>
          <w:sz w:val="20"/>
          <w:szCs w:val="20"/>
        </w:rPr>
        <w:t>The permittee must submit a Notification of Intent to conduct a performance test to the administrator at least 60 days before the performance stack test is scheduled to begin.</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shall notify the AQD Technical Programs Unit Supervisor and the District Supervisor.</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(R 336.1213(3), 40 CFR 63.11225(a)(3))</w:t>
      </w:r>
    </w:p>
    <w:p w14:paraId="637308F5" w14:textId="01CB8803" w:rsidR="00063B4A" w:rsidRPr="00C8109A" w:rsidRDefault="009F09E5" w:rsidP="00057A8B">
      <w:pPr>
        <w:pStyle w:val="ListParagraph"/>
        <w:numPr>
          <w:ilvl w:val="0"/>
          <w:numId w:val="14"/>
        </w:numPr>
        <w:spacing w:before="120"/>
        <w:rPr>
          <w:rFonts w:ascii="Arial" w:eastAsia="Times New Roman" w:hAnsi="Arial" w:cs="Arial"/>
          <w:sz w:val="20"/>
          <w:szCs w:val="20"/>
        </w:rPr>
      </w:pPr>
      <w:r w:rsidRPr="00C8109A">
        <w:rPr>
          <w:rFonts w:ascii="Arial" w:eastAsia="Times New Roman" w:hAnsi="Arial" w:cs="Arial"/>
          <w:color w:val="000000"/>
          <w:sz w:val="20"/>
          <w:szCs w:val="20"/>
        </w:rPr>
        <w:t>For existing affected boilers that have not operated since the previous compliance demonstration and more than 3 years have passed since the previous compliance demonstration, the permittee must complete the permittee’s subsequent compliance demonstration no later than 180 days after the re-start of the affected boiler.</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63.11220(e))</w:t>
      </w:r>
    </w:p>
    <w:p w14:paraId="55D85953" w14:textId="7FE8BC0B"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If the permittee elects to demonstrate compliance with an applicable mercury emission limit through fuel analysis, use the following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67E7A2E3" w14:textId="324F02A7" w:rsidR="00063B4A" w:rsidRPr="00C8109A" w:rsidRDefault="009F09E5" w:rsidP="00057A8B">
      <w:pPr>
        <w:pStyle w:val="ListParagraph"/>
        <w:numPr>
          <w:ilvl w:val="0"/>
          <w:numId w:val="14"/>
        </w:numPr>
        <w:spacing w:before="120"/>
        <w:rPr>
          <w:rFonts w:ascii="Arial" w:eastAsia="Times New Roman" w:hAnsi="Arial" w:cs="Arial"/>
          <w:sz w:val="20"/>
          <w:szCs w:val="20"/>
        </w:rPr>
      </w:pPr>
      <w:r w:rsidRPr="00C8109A">
        <w:rPr>
          <w:rFonts w:ascii="Arial" w:eastAsia="Times New Roman" w:hAnsi="Arial" w:cs="Arial"/>
          <w:color w:val="000000"/>
          <w:sz w:val="20"/>
          <w:szCs w:val="20"/>
        </w:rPr>
        <w:t>The permittee must conduct fuel analyses to demonstrate compliance with the mercury emission limit in accordance with 40 CFR 63.11213 and Table 5 of 40 CFR Part 63, Subpart JJJJJJ.</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is not required to conduct fuel analyses for fuels used for only startup, unit shutdown, and transient flame stability purposes.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w:t>
      </w:r>
      <w:r w:rsidR="00C8109A" w:rsidRPr="00C8109A">
        <w:rPr>
          <w:rFonts w:ascii="Arial" w:eastAsia="Times New Roman" w:hAnsi="Arial" w:cs="Arial"/>
          <w:b/>
          <w:bCs/>
          <w:color w:val="000000"/>
          <w:sz w:val="20"/>
          <w:szCs w:val="20"/>
        </w:rPr>
        <w:t> </w:t>
      </w:r>
      <w:r w:rsidRPr="00C8109A">
        <w:rPr>
          <w:rFonts w:ascii="Arial" w:eastAsia="Times New Roman" w:hAnsi="Arial" w:cs="Arial"/>
          <w:b/>
          <w:bCs/>
          <w:color w:val="000000"/>
          <w:sz w:val="20"/>
          <w:szCs w:val="20"/>
        </w:rPr>
        <w:t>CFR 63.11213, 40 CFR Part 63, Subpart JJJJJJ, Table 5)</w:t>
      </w:r>
    </w:p>
    <w:p w14:paraId="66E16A9E" w14:textId="5EA2C0B1"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Use this condition if the permittee demonstrates compliance with the mercury emission limit based on fuel analysis and their initial compliance if the mercury constituents in the fuel or fuel mixture are measured to be </w:t>
      </w:r>
      <w:r w:rsidR="00174B84" w:rsidRPr="00174B84">
        <w:rPr>
          <w:rFonts w:ascii="Arial" w:eastAsia="Times New Roman" w:hAnsi="Arial" w:cs="Arial"/>
          <w:color w:val="FF0000"/>
          <w:sz w:val="20"/>
          <w:szCs w:val="20"/>
        </w:rPr>
        <w:t xml:space="preserve">EQUAL TO OR LESS THAN </w:t>
      </w:r>
      <w:r w:rsidRPr="00C8109A">
        <w:rPr>
          <w:rFonts w:ascii="Arial" w:eastAsia="Times New Roman" w:hAnsi="Arial" w:cs="Arial"/>
          <w:color w:val="FF0000"/>
          <w:sz w:val="20"/>
          <w:szCs w:val="20"/>
        </w:rPr>
        <w:t>half of the mercury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color w:val="FF0000"/>
          <w:sz w:val="20"/>
          <w:szCs w:val="20"/>
        </w:rPr>
        <w:t xml:space="preserve">If necessary, specify emission units that are subject to this condition. </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70C4111A" w14:textId="3D9C4095" w:rsidR="00063B4A" w:rsidRPr="00C8109A" w:rsidRDefault="009F09E5" w:rsidP="00057A8B">
      <w:pPr>
        <w:pStyle w:val="ListParagraph"/>
        <w:numPr>
          <w:ilvl w:val="0"/>
          <w:numId w:val="14"/>
        </w:numPr>
        <w:spacing w:before="120"/>
        <w:rPr>
          <w:rFonts w:ascii="Arial" w:eastAsia="Times New Roman" w:hAnsi="Arial" w:cs="Arial"/>
          <w:sz w:val="20"/>
          <w:szCs w:val="20"/>
        </w:rPr>
      </w:pPr>
      <w:r w:rsidRPr="00C8109A">
        <w:rPr>
          <w:rFonts w:ascii="Arial" w:eastAsia="Times New Roman" w:hAnsi="Arial" w:cs="Arial"/>
          <w:color w:val="000000"/>
          <w:sz w:val="20"/>
          <w:szCs w:val="20"/>
        </w:rPr>
        <w:t>The permittee must conduct a fuel analysis for each type of fuel burned every 12 months in each boiler in</w:t>
      </w:r>
      <w:r w:rsidRPr="00C8109A">
        <w:rPr>
          <w:rFonts w:ascii="Arial" w:eastAsia="Times New Roman" w:hAnsi="Arial" w:cs="Arial"/>
          <w:sz w:val="20"/>
          <w:szCs w:val="20"/>
        </w:rPr>
        <w:t xml:space="preserve"> 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63.11220(d)(1)(ii))</w:t>
      </w:r>
    </w:p>
    <w:p w14:paraId="6AF6455C" w14:textId="0779279F"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Use this condition if the permittee demonstrates compliance with the mercury emission limit based on fuel analysis and their initial compliance if the mercury constituents in the fuel or fuel mixture are measured to be </w:t>
      </w:r>
      <w:r w:rsidR="00174B84" w:rsidRPr="00174B84">
        <w:rPr>
          <w:rFonts w:ascii="Arial" w:eastAsia="Times New Roman" w:hAnsi="Arial" w:cs="Arial"/>
          <w:color w:val="FF0000"/>
          <w:sz w:val="20"/>
          <w:szCs w:val="20"/>
        </w:rPr>
        <w:t>GREATER THAN</w:t>
      </w:r>
      <w:r w:rsidRPr="00C8109A">
        <w:rPr>
          <w:rFonts w:ascii="Arial" w:eastAsia="Times New Roman" w:hAnsi="Arial" w:cs="Arial"/>
          <w:color w:val="FF0000"/>
          <w:sz w:val="20"/>
          <w:szCs w:val="20"/>
        </w:rPr>
        <w:t xml:space="preserve"> half of the mercury emission limit.</w:t>
      </w:r>
      <w:r w:rsidR="00C8109A" w:rsidRP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If necessary, specify emission units that are subject to this condition. </w:t>
      </w:r>
      <w:r w:rsidR="00C8109A"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p>
    <w:p w14:paraId="04CFD6F5" w14:textId="5A5A9913" w:rsidR="00063B4A" w:rsidRPr="00C8109A" w:rsidRDefault="009F09E5" w:rsidP="00057A8B">
      <w:pPr>
        <w:pStyle w:val="ListParagraph"/>
        <w:numPr>
          <w:ilvl w:val="0"/>
          <w:numId w:val="14"/>
        </w:numPr>
        <w:spacing w:before="120"/>
        <w:rPr>
          <w:rFonts w:ascii="Arial" w:eastAsia="Times New Roman" w:hAnsi="Arial" w:cs="Arial"/>
          <w:sz w:val="20"/>
          <w:szCs w:val="20"/>
        </w:rPr>
      </w:pPr>
      <w:r w:rsidRPr="00C8109A">
        <w:rPr>
          <w:rFonts w:ascii="Arial" w:eastAsia="Times New Roman" w:hAnsi="Arial" w:cs="Arial"/>
          <w:color w:val="000000"/>
          <w:sz w:val="20"/>
          <w:szCs w:val="20"/>
        </w:rPr>
        <w:t xml:space="preserve">The permittee must conduct a fuel analysis for each type of fuel burned on a quarterly basis in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w:t>
      </w:r>
      <w:r w:rsidR="00866984">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63.11220(d)(3))</w:t>
      </w:r>
    </w:p>
    <w:p w14:paraId="335ACF99"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000000"/>
          <w:sz w:val="20"/>
          <w:szCs w:val="20"/>
        </w:rPr>
        <w:t>See Appendix 5</w:t>
      </w:r>
    </w:p>
    <w:p w14:paraId="14CB92A7" w14:textId="76711799" w:rsidR="00063B4A" w:rsidRPr="00063B4A" w:rsidRDefault="009F09E5" w:rsidP="00174B84">
      <w:pPr>
        <w:pStyle w:val="Heading5"/>
        <w:spacing w:after="0"/>
        <w:rPr>
          <w:rFonts w:ascii="Times New Roman" w:eastAsia="Times New Roman" w:hAnsi="Times New Roman" w:cs="Times New Roman"/>
          <w:szCs w:val="24"/>
        </w:rPr>
      </w:pPr>
      <w:r w:rsidRPr="00063B4A">
        <w:rPr>
          <w:rFonts w:eastAsia="Times New Roman"/>
        </w:rPr>
        <w:t>VI.</w:t>
      </w:r>
      <w:r w:rsidR="00C8109A">
        <w:rPr>
          <w:rFonts w:eastAsia="Times New Roman"/>
        </w:rPr>
        <w:t xml:space="preserve"> </w:t>
      </w:r>
      <w:r w:rsidRPr="00063B4A">
        <w:rPr>
          <w:rFonts w:eastAsia="Times New Roman"/>
        </w:rPr>
        <w:t xml:space="preserve"> MONITORING/RECORDKEEPING</w:t>
      </w:r>
    </w:p>
    <w:p w14:paraId="60C5BB73" w14:textId="533EDD44" w:rsidR="00063B4A" w:rsidRPr="00063B4A" w:rsidRDefault="009F09E5" w:rsidP="00057A8B">
      <w:pPr>
        <w:jc w:val="both"/>
        <w:rPr>
          <w:rFonts w:ascii="Times New Roman" w:eastAsia="Times New Roman" w:hAnsi="Times New Roman" w:cs="Times New Roman"/>
          <w:sz w:val="24"/>
          <w:szCs w:val="24"/>
        </w:rPr>
      </w:pPr>
      <w:r w:rsidRPr="00063B4A">
        <w:rPr>
          <w:rFonts w:ascii="Arial" w:eastAsia="Times New Roman" w:hAnsi="Arial" w:cs="Arial"/>
          <w:color w:val="000000"/>
          <w:sz w:val="20"/>
          <w:szCs w:val="20"/>
        </w:rPr>
        <w:t>Records shall be maintained on file for a period of five years.</w:t>
      </w:r>
      <w:r w:rsidR="00C8109A">
        <w:rPr>
          <w:rFonts w:ascii="Arial" w:eastAsia="Times New Roman" w:hAnsi="Arial" w:cs="Arial"/>
          <w:color w:val="000000"/>
          <w:sz w:val="20"/>
          <w:szCs w:val="20"/>
        </w:rPr>
        <w:t xml:space="preserve"> </w:t>
      </w:r>
      <w:r w:rsidRPr="00063B4A">
        <w:rPr>
          <w:rFonts w:ascii="Arial" w:eastAsia="Times New Roman" w:hAnsi="Arial" w:cs="Arial"/>
          <w:color w:val="000000"/>
          <w:sz w:val="20"/>
          <w:szCs w:val="20"/>
        </w:rPr>
        <w:t xml:space="preserve"> </w:t>
      </w:r>
      <w:r w:rsidRPr="00063B4A">
        <w:rPr>
          <w:rFonts w:ascii="Arial" w:eastAsia="Times New Roman" w:hAnsi="Arial" w:cs="Arial"/>
          <w:b/>
          <w:bCs/>
          <w:color w:val="000000"/>
          <w:sz w:val="20"/>
          <w:szCs w:val="20"/>
        </w:rPr>
        <w:t>(R 336.1213(3)(b)(ii))</w:t>
      </w:r>
    </w:p>
    <w:p w14:paraId="1CB5201E" w14:textId="4165CD50"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b/>
          <w:bCs/>
          <w:color w:val="0000FF"/>
          <w:sz w:val="20"/>
          <w:szCs w:val="20"/>
        </w:rPr>
        <w:t xml:space="preserve">Permit staff – </w:t>
      </w:r>
      <w:r w:rsidR="00057A8B" w:rsidRPr="00057A8B">
        <w:rPr>
          <w:rFonts w:ascii="Arial" w:eastAsia="Times New Roman" w:hAnsi="Arial" w:cs="Arial"/>
          <w:b/>
          <w:bCs/>
          <w:color w:val="0000FF"/>
          <w:sz w:val="20"/>
          <w:szCs w:val="20"/>
        </w:rPr>
        <w:t>CHANGE</w:t>
      </w:r>
      <w:r w:rsidRPr="00063B4A">
        <w:rPr>
          <w:rFonts w:ascii="Arial" w:eastAsia="Times New Roman" w:hAnsi="Arial" w:cs="Arial"/>
          <w:b/>
          <w:bCs/>
          <w:color w:val="0000FF"/>
          <w:sz w:val="20"/>
          <w:szCs w:val="20"/>
        </w:rPr>
        <w:t xml:space="preserve"> above UAR to R 336.1201(3) if using in a PTI.</w:t>
      </w:r>
    </w:p>
    <w:p w14:paraId="2331A0CE" w14:textId="7E926539" w:rsidR="00063B4A" w:rsidRPr="00C8109A" w:rsidRDefault="009F09E5" w:rsidP="00057A8B">
      <w:pPr>
        <w:pStyle w:val="ListParagraph"/>
        <w:numPr>
          <w:ilvl w:val="0"/>
          <w:numId w:val="18"/>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If the permittee demonstrates compliance with any applicable emission limit through performance stack testing and subsequent compliance with operating limits (including the use of CPMS), with a CEMS, or with a COMS, the permittee must develop a site-specific monitoring plan according to the requirements in 40 CFR 63.11205(c)(1) through (3), as listed below:</w:t>
      </w:r>
      <w:r w:rsidR="00C8109A">
        <w:rPr>
          <w:rFonts w:ascii="Arial" w:eastAsia="Times New Roman" w:hAnsi="Arial" w:cs="Arial"/>
          <w:color w:val="000000"/>
          <w:sz w:val="20"/>
          <w:szCs w:val="20"/>
        </w:rPr>
        <w:t xml:space="preserve"> </w:t>
      </w:r>
    </w:p>
    <w:p w14:paraId="41F2BD1A" w14:textId="5A7764D0" w:rsidR="00063B4A" w:rsidRPr="00C8109A" w:rsidRDefault="009F09E5" w:rsidP="00057A8B">
      <w:pPr>
        <w:pStyle w:val="ListParagraph"/>
        <w:numPr>
          <w:ilvl w:val="0"/>
          <w:numId w:val="19"/>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lastRenderedPageBreak/>
        <w:t>For each CMS required (including CEMS, COMS, or CPMS), the permittee must develop, and submit to the Administrator for approval upon request, a site-specific monitoring plan, as listed below.</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This requirement to develop and submit a site-specific monitoring plan does not apply to affected sources with existing CEMS or COMS operated according to the performance specifications under 40 CFR Part 60, Appendix B and that meet the requirements of 40 CFR 63.11224.</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63.11205(c)(1))</w:t>
      </w:r>
      <w:r w:rsidRPr="00C8109A">
        <w:rPr>
          <w:rFonts w:ascii="Arial" w:eastAsia="Times New Roman" w:hAnsi="Arial" w:cs="Arial"/>
          <w:color w:val="000000"/>
          <w:sz w:val="20"/>
          <w:szCs w:val="20"/>
        </w:rPr>
        <w:t> </w:t>
      </w:r>
    </w:p>
    <w:p w14:paraId="184D661D" w14:textId="31635A01"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63.11205(c)(1)(i), 40 CFR 63.11224(c)(1)(i))</w:t>
      </w:r>
    </w:p>
    <w:p w14:paraId="6C532DF0" w14:textId="1653748B"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Performance and equipment specifications for the sample interface, the pollutant concentration or parametric signal analyzer, and the data collection and reduction systems.</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63.11205(c)(1)(ii), 40 CFR 63.11224(c)(1)(ii))</w:t>
      </w:r>
    </w:p>
    <w:p w14:paraId="4E16545C" w14:textId="5C028321"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Performance evaluation procedures and acceptance criteria (</w:t>
      </w:r>
      <w:r w:rsidRPr="00C8109A">
        <w:rPr>
          <w:rFonts w:ascii="Arial" w:eastAsia="Times New Roman" w:hAnsi="Arial" w:cs="Arial"/>
          <w:i/>
          <w:iCs/>
          <w:color w:val="000000"/>
          <w:sz w:val="20"/>
          <w:szCs w:val="20"/>
        </w:rPr>
        <w:t>e.g.,</w:t>
      </w:r>
      <w:r w:rsidRPr="00C8109A">
        <w:rPr>
          <w:rFonts w:ascii="Arial" w:eastAsia="Times New Roman" w:hAnsi="Arial" w:cs="Arial"/>
          <w:color w:val="000000"/>
          <w:sz w:val="20"/>
          <w:szCs w:val="20"/>
        </w:rPr>
        <w:t xml:space="preserve"> calibrations).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w:t>
      </w:r>
      <w:r w:rsidR="00C8109A">
        <w:rPr>
          <w:rFonts w:ascii="Arial" w:eastAsia="Times New Roman" w:hAnsi="Arial" w:cs="Arial"/>
          <w:b/>
          <w:bCs/>
          <w:color w:val="000000"/>
          <w:sz w:val="20"/>
          <w:szCs w:val="20"/>
        </w:rPr>
        <w:t xml:space="preserve"> </w:t>
      </w:r>
      <w:r w:rsidRPr="00C8109A">
        <w:rPr>
          <w:rFonts w:ascii="Arial" w:eastAsia="Times New Roman" w:hAnsi="Arial" w:cs="Arial"/>
          <w:b/>
          <w:bCs/>
          <w:color w:val="000000"/>
          <w:sz w:val="20"/>
          <w:szCs w:val="20"/>
        </w:rPr>
        <w:t>63.11205(c)(1)(iii), 40 CFR 63.11224(c)(1)(iii))</w:t>
      </w:r>
    </w:p>
    <w:p w14:paraId="61E36B98" w14:textId="0B2018EE"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Ongoing operation and maintenance procedures. </w:t>
      </w:r>
      <w:r w:rsidRPr="00C8109A">
        <w:rPr>
          <w:rFonts w:ascii="Arial" w:eastAsia="Times New Roman" w:hAnsi="Arial" w:cs="Arial"/>
          <w:b/>
          <w:bCs/>
          <w:color w:val="000000"/>
          <w:sz w:val="20"/>
          <w:szCs w:val="20"/>
        </w:rPr>
        <w:t>(40 CFR 63.11205(c)(1)(iv),</w:t>
      </w:r>
      <w:r w:rsidR="00C8109A" w:rsidRPr="00C8109A">
        <w:rPr>
          <w:rFonts w:ascii="Arial" w:eastAsia="Times New Roman" w:hAnsi="Arial" w:cs="Arial"/>
          <w:b/>
          <w:bCs/>
          <w:color w:val="000000"/>
          <w:sz w:val="20"/>
          <w:szCs w:val="20"/>
        </w:rPr>
        <w:t xml:space="preserve"> </w:t>
      </w:r>
      <w:r w:rsidRPr="00C8109A">
        <w:rPr>
          <w:rFonts w:ascii="Arial" w:eastAsia="Times New Roman" w:hAnsi="Arial" w:cs="Arial"/>
          <w:b/>
          <w:bCs/>
          <w:color w:val="000000"/>
          <w:sz w:val="20"/>
          <w:szCs w:val="20"/>
        </w:rPr>
        <w:t>40 CFR 63.11224(c)(2)(i))</w:t>
      </w:r>
    </w:p>
    <w:p w14:paraId="6CA3884C" w14:textId="5301183F"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Ongoing data quality assurance procedures.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63.11205(c)(1)(v), 40 CFR 63.11224(c)(2)(ii))</w:t>
      </w:r>
    </w:p>
    <w:p w14:paraId="1031ABA1" w14:textId="30E7A036" w:rsidR="00063B4A" w:rsidRPr="00C8109A" w:rsidRDefault="009F09E5" w:rsidP="00057A8B">
      <w:pPr>
        <w:pStyle w:val="ListParagraph"/>
        <w:numPr>
          <w:ilvl w:val="0"/>
          <w:numId w:val="20"/>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Ongoing recordkeeping and reporting procedures.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63.11205(c)(1)(vi),</w:t>
      </w:r>
      <w:r w:rsidR="00C8109A" w:rsidRPr="00C8109A">
        <w:rPr>
          <w:rFonts w:ascii="Arial" w:eastAsia="Times New Roman" w:hAnsi="Arial" w:cs="Arial"/>
          <w:b/>
          <w:bCs/>
          <w:color w:val="000000"/>
          <w:sz w:val="20"/>
          <w:szCs w:val="20"/>
        </w:rPr>
        <w:t xml:space="preserve"> </w:t>
      </w:r>
      <w:r w:rsidRPr="00C8109A">
        <w:rPr>
          <w:rFonts w:ascii="Arial" w:eastAsia="Times New Roman" w:hAnsi="Arial" w:cs="Arial"/>
          <w:b/>
          <w:bCs/>
          <w:color w:val="000000"/>
          <w:sz w:val="20"/>
          <w:szCs w:val="20"/>
        </w:rPr>
        <w:t>40 CFR 63.11224(c)(2)(iii))</w:t>
      </w:r>
    </w:p>
    <w:p w14:paraId="5C91EA32" w14:textId="28A20AB9" w:rsidR="00063B4A" w:rsidRPr="00C8109A" w:rsidRDefault="009F09E5" w:rsidP="00057A8B">
      <w:pPr>
        <w:pStyle w:val="ListParagraph"/>
        <w:numPr>
          <w:ilvl w:val="0"/>
          <w:numId w:val="21"/>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conduct a performance evaluation of each CMS in accordance with the permittee’s site-specific monitoring plan.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63.11205(c)(2), 40 CFR 63.11224(c)(3))</w:t>
      </w:r>
    </w:p>
    <w:p w14:paraId="64D26E88" w14:textId="790C8F23" w:rsidR="00063B4A" w:rsidRPr="00C8109A" w:rsidRDefault="009F09E5" w:rsidP="00057A8B">
      <w:pPr>
        <w:pStyle w:val="ListParagraph"/>
        <w:numPr>
          <w:ilvl w:val="0"/>
          <w:numId w:val="21"/>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operate and maintain the CMS in continuous operation according to the site-specific monitoring plan.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63.11205(c)(3), 40 CFR 63.11224(c)(4))</w:t>
      </w:r>
    </w:p>
    <w:p w14:paraId="7E8C4AB2" w14:textId="13FF631D" w:rsidR="00063B4A" w:rsidRPr="00C8109A" w:rsidRDefault="009F09E5" w:rsidP="00174B84">
      <w:pPr>
        <w:pStyle w:val="ListParagraph"/>
        <w:numPr>
          <w:ilvl w:val="0"/>
          <w:numId w:val="22"/>
        </w:numPr>
        <w:spacing w:before="12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The permittee must operate the monitoring system and collect data at all required intervals at all times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 xml:space="preserve">{ID} </w:t>
      </w:r>
      <w:r w:rsidRPr="00C8109A">
        <w:rPr>
          <w:rFonts w:ascii="Arial" w:eastAsia="Times New Roman" w:hAnsi="Arial" w:cs="Arial"/>
          <w:color w:val="000000"/>
          <w:sz w:val="20"/>
          <w:szCs w:val="20"/>
        </w:rPr>
        <w:t>is operating and compliance is required, except for periods of monitoring system malfunctions or out-of-control periods (see 40 CFR 63.8(c)(7)), repairs associated with monitoring system malfunctions or out-of-control periods, and required monitoring system quality assurance or quality control activities including, as applicable, calibration checks, required zero and span adjustments, and scheduled CMS maintenance as defined in the permittee’s site-specific monitoring plan.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A monitoring system malfunction is any sudden, infrequent, not reasonably preventable failure of the monitoring system to provide valid data.</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Monitoring system failures that are caused in part by poor maintenance or careless operation are not malfunctions.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is required to complete monitoring system repairs in response to monitoring system malfunctions or out-of-control periods and to return the monitoring system to operation as expeditiously as practicable.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w:t>
      </w:r>
      <w:r w:rsidRPr="00C8109A">
        <w:rPr>
          <w:rFonts w:ascii="Times New Roman" w:eastAsia="Times New Roman" w:hAnsi="Times New Roman" w:cs="Times New Roman"/>
          <w:b/>
          <w:bCs/>
          <w:color w:val="000000"/>
          <w:sz w:val="20"/>
          <w:szCs w:val="20"/>
        </w:rPr>
        <w:t> </w:t>
      </w:r>
      <w:r w:rsidRPr="00C8109A">
        <w:rPr>
          <w:rFonts w:ascii="Arial" w:eastAsia="Times New Roman" w:hAnsi="Arial" w:cs="Arial"/>
          <w:b/>
          <w:bCs/>
          <w:color w:val="000000"/>
          <w:sz w:val="20"/>
          <w:szCs w:val="20"/>
        </w:rPr>
        <w:t>CFR</w:t>
      </w:r>
      <w:r w:rsidRPr="00C8109A">
        <w:rPr>
          <w:rFonts w:ascii="Times New Roman" w:eastAsia="Times New Roman" w:hAnsi="Times New Roman" w:cs="Times New Roman"/>
          <w:b/>
          <w:bCs/>
          <w:color w:val="000000"/>
          <w:sz w:val="20"/>
          <w:szCs w:val="20"/>
        </w:rPr>
        <w:t> </w:t>
      </w:r>
      <w:r w:rsidRPr="00C8109A">
        <w:rPr>
          <w:rFonts w:ascii="Arial" w:eastAsia="Times New Roman" w:hAnsi="Arial" w:cs="Arial"/>
          <w:b/>
          <w:bCs/>
          <w:color w:val="000000"/>
          <w:sz w:val="20"/>
          <w:szCs w:val="20"/>
        </w:rPr>
        <w:t>63.11221(b))</w:t>
      </w:r>
    </w:p>
    <w:p w14:paraId="030F9392" w14:textId="581D86D6" w:rsidR="00063B4A" w:rsidRPr="00C8109A" w:rsidRDefault="009F09E5" w:rsidP="00174B84">
      <w:pPr>
        <w:pStyle w:val="ListParagraph"/>
        <w:numPr>
          <w:ilvl w:val="0"/>
          <w:numId w:val="2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The permittee may not use data collected during monitoring system malfunctions or out-of-control periods, repairs associated with monitoring system malfunctions or out-of-control periods or required monitoring system quality assurance or quality control activities in calculations used to report emissions or operating levels.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Any such periods must be reported according to the requirements in SC VII.5.</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use all the data collected during all other periods in assessing the operation of the control device and associated control system.</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63.11221(c))</w:t>
      </w:r>
    </w:p>
    <w:p w14:paraId="29CC06C3" w14:textId="6557B218" w:rsidR="00063B4A" w:rsidRPr="00C8109A" w:rsidRDefault="009F09E5" w:rsidP="00174B84">
      <w:pPr>
        <w:pStyle w:val="ListParagraph"/>
        <w:numPr>
          <w:ilvl w:val="0"/>
          <w:numId w:val="22"/>
        </w:numPr>
        <w:spacing w:before="12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Except for periods of monitoring system malfunctions or monitoring system out-of-control periods, repairs associated with monitoring system malfunctions or monitoring system out-of-control periods, and required monitoring system quality assurance or quality control activities (including, as applicable, calibration checks, required zero and span adjustments, and scheduled CMS maintenance as defined in the permittee’s site-specific monitoring plan), failure to collect required data is a deviation of the monitoring requirements.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63.11221(d))</w:t>
      </w:r>
    </w:p>
    <w:p w14:paraId="21866242" w14:textId="5668EDF1" w:rsidR="00063B4A" w:rsidRPr="00C8109A" w:rsidRDefault="009F09E5" w:rsidP="00174B84">
      <w:pPr>
        <w:pStyle w:val="ListParagraph"/>
        <w:numPr>
          <w:ilvl w:val="0"/>
          <w:numId w:val="22"/>
        </w:numPr>
        <w:spacing w:before="12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demonstrate continuous compliance with each emission limit and operating limit, as listed below:</w:t>
      </w:r>
      <w:r w:rsidR="00C8109A">
        <w:rPr>
          <w:rFonts w:ascii="Arial" w:eastAsia="Times New Roman" w:hAnsi="Arial" w:cs="Arial"/>
          <w:color w:val="000000"/>
          <w:sz w:val="20"/>
          <w:szCs w:val="20"/>
        </w:rPr>
        <w:t xml:space="preserve"> </w:t>
      </w:r>
    </w:p>
    <w:p w14:paraId="3B7447AB" w14:textId="2A09F285" w:rsidR="00063B4A" w:rsidRPr="00C8109A" w:rsidRDefault="009F09E5" w:rsidP="00057A8B">
      <w:pPr>
        <w:pStyle w:val="ListParagraph"/>
        <w:numPr>
          <w:ilvl w:val="0"/>
          <w:numId w:val="23"/>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lastRenderedPageBreak/>
        <w:t>The permittee must continuously monitor the operating parameters according to the methods specified in Table 7 of 40 CFR Part 63, Subpart JJJJJJ, as applicable.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Operation above the established maximum, below the established minimum, or outside the allowable range of the operating limits, as applicable, constitutes a deviation from the permittee’s operating limits established under Table 3 of 40 CFR Part 63, Subpart JJJJJJ, except during performance tests conducted to determine compliance with the emission and operating limits or to establish new operating limits.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Operating limits are confirmed or reestablished during performance tests.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63.11222(a)(1))</w:t>
      </w:r>
    </w:p>
    <w:p w14:paraId="76EE4A77" w14:textId="3713E905" w:rsidR="00063B4A" w:rsidRPr="00C8109A" w:rsidRDefault="009F09E5" w:rsidP="00057A8B">
      <w:pPr>
        <w:pStyle w:val="ListParagraph"/>
        <w:numPr>
          <w:ilvl w:val="0"/>
          <w:numId w:val="23"/>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keep records of the type and amount of all fuels burned in each boiler in</w:t>
      </w:r>
      <w:r w:rsidRPr="00C8109A">
        <w:rPr>
          <w:rFonts w:ascii="Arial" w:eastAsia="Times New Roman" w:hAnsi="Arial" w:cs="Arial"/>
          <w:sz w:val="20"/>
          <w:szCs w:val="20"/>
        </w:rPr>
        <w:t xml:space="preserve"> 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 xml:space="preserve"> during the reporting period to demonstrate that all fuel types and mixtures of fuels burned would result in lower emissions of mercury than the applicable emission limit (if permittee demonstrates compliance through fuel analysis), or result in lower fuel input of mercury than the maximum values calculated during the last performance stack test (if permittee demonstrates compliance through performance stack testing).</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w:t>
      </w:r>
      <w:r w:rsidRPr="00C8109A">
        <w:rPr>
          <w:rFonts w:ascii="Times New Roman" w:eastAsia="Times New Roman" w:hAnsi="Times New Roman" w:cs="Times New Roman"/>
          <w:b/>
          <w:bCs/>
          <w:color w:val="000000"/>
          <w:sz w:val="20"/>
          <w:szCs w:val="20"/>
        </w:rPr>
        <w:t> </w:t>
      </w:r>
      <w:r w:rsidRPr="00C8109A">
        <w:rPr>
          <w:rFonts w:ascii="Arial" w:eastAsia="Times New Roman" w:hAnsi="Arial" w:cs="Arial"/>
          <w:b/>
          <w:bCs/>
          <w:color w:val="000000"/>
          <w:sz w:val="20"/>
          <w:szCs w:val="20"/>
        </w:rPr>
        <w:t>CFR 63.11222(a)(2))</w:t>
      </w:r>
    </w:p>
    <w:p w14:paraId="2EABA993" w14:textId="0E2C4517" w:rsidR="00063B4A" w:rsidRPr="00C8109A" w:rsidRDefault="009F09E5" w:rsidP="00057A8B">
      <w:pPr>
        <w:pStyle w:val="ListParagraph"/>
        <w:numPr>
          <w:ilvl w:val="0"/>
          <w:numId w:val="23"/>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Use this condition if the permittee’s unit is controlled with a fabric filter, and the permittee demonstrates continuous compliance using a bag leak detection system.</w:t>
      </w:r>
      <w:r w:rsid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Otherwise delete.</w:t>
      </w:r>
      <w:r w:rsidR="00C8109A">
        <w:rPr>
          <w:rFonts w:ascii="Arial" w:eastAsia="Times New Roman" w:hAnsi="Arial" w:cs="Arial"/>
          <w:color w:val="FF0000"/>
          <w:sz w:val="20"/>
          <w:szCs w:val="20"/>
        </w:rPr>
        <w:t xml:space="preserve"> </w:t>
      </w:r>
      <w:r w:rsidRPr="00C8109A">
        <w:rPr>
          <w:rFonts w:ascii="Arial" w:eastAsia="Times New Roman" w:hAnsi="Arial" w:cs="Arial"/>
          <w:color w:val="000000"/>
          <w:sz w:val="20"/>
          <w:szCs w:val="20"/>
        </w:rPr>
        <w:t xml:space="preserve"> The permittee must initiate corrective action within 1 hour of a bag leak detection system alarm and operate and maintain the fabric filter system such that the alarm does not sound more than 5 percent of the operating time during a 6-month period.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The permittee must also keep records of the date, time, and duration of each alarm, the time corrective action was initiated and completed, and a brief description of the cause of the alarm and the corrective action taken.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also record the percent of the operating time during each 6-month period that the alarm sounds.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In calculating this operating time percentage, if inspection of the fabric filter demonstrates that no corrective action is required, no alarm time is counted.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If corrective action is required, each alarm is counted as a minimum of 1 hour.</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If the permittee takes longer than 1 hour to initiate corrective action, the alarm time is counted as the actual amount of time taken to initiate corrective action.</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63.11222(a)(4))</w:t>
      </w:r>
    </w:p>
    <w:p w14:paraId="1708BFFF" w14:textId="1CE0C8F0" w:rsidR="00063B4A" w:rsidRPr="00C8109A" w:rsidRDefault="009F09E5" w:rsidP="00057A8B">
      <w:pPr>
        <w:pStyle w:val="ListParagraph"/>
        <w:numPr>
          <w:ilvl w:val="0"/>
          <w:numId w:val="24"/>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maintain the records listed below.</w:t>
      </w:r>
      <w:r w:rsidR="00C8109A">
        <w:rPr>
          <w:rFonts w:ascii="Arial" w:eastAsia="Times New Roman" w:hAnsi="Arial" w:cs="Arial"/>
          <w:color w:val="000000"/>
          <w:sz w:val="20"/>
          <w:szCs w:val="20"/>
        </w:rPr>
        <w:t xml:space="preserve"> </w:t>
      </w:r>
    </w:p>
    <w:p w14:paraId="45BA670A" w14:textId="1AED0B64"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keep a copy of each notification and report that the permittee submitted to comply with 40 CFR Part 63, Subpart JJJJJJ and all documentation supporting any Initial Notification or Notification of Compliance Status that the permittee submitted.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63.11225(c)(1))</w:t>
      </w:r>
    </w:p>
    <w:p w14:paraId="1B0FB676" w14:textId="6EDA93AE"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keep records to document conformance with the work practices, emission reduction measures, and management practices as listed below.</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63.11225(c)(2))</w:t>
      </w:r>
    </w:p>
    <w:p w14:paraId="1F1ACB53" w14:textId="18967DA6" w:rsidR="00063B4A" w:rsidRPr="00C8109A" w:rsidRDefault="009F09E5" w:rsidP="00057A8B">
      <w:pPr>
        <w:pStyle w:val="ListParagraph"/>
        <w:numPr>
          <w:ilvl w:val="0"/>
          <w:numId w:val="26"/>
        </w:numPr>
        <w:spacing w:before="160"/>
        <w:contextualSpacing w:val="0"/>
        <w:rPr>
          <w:rFonts w:ascii="Times New Roman" w:eastAsia="Times New Roman" w:hAnsi="Times New Roman" w:cs="Times New Roman"/>
          <w:sz w:val="24"/>
          <w:szCs w:val="24"/>
        </w:rPr>
      </w:pPr>
      <w:r>
        <w:rPr>
          <w:rFonts w:ascii="Arial" w:eastAsia="Times New Roman" w:hAnsi="Arial" w:cs="Arial"/>
          <w:color w:val="000000"/>
          <w:sz w:val="20"/>
          <w:szCs w:val="20"/>
        </w:rPr>
        <w:t>.</w:t>
      </w:r>
      <w:r w:rsidRPr="00C8109A">
        <w:rPr>
          <w:rFonts w:ascii="Arial" w:eastAsia="Times New Roman" w:hAnsi="Arial" w:cs="Arial"/>
          <w:color w:val="000000"/>
          <w:sz w:val="20"/>
          <w:szCs w:val="20"/>
        </w:rPr>
        <w:t>For operating units that combust non-hazardous secondary materials that have been determined not to be solid waste pursuant to 40 CFR 241.3(b)(1), the permittee must keep a record which documents how the secondary material meets each of the legitimacy criteria under 40 CFR 241.3(d)(1).</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If the permittee combusts a fuel that has been processed from a discarded non-hazardous secondary material pursuant to 40 CFR 241.3(b)(4), the permittee must keep records as to how the operations that produced the fuel satisfies the definition of processing in 40 CFR 241.2 and each of the legitimacy criteria in 40 CFR 241.3(d)(1).</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If the fuel received a non-waste determination pursuant to the petition process submitted under 40 CFR 241.3(c), the permittee must keep a record that documents how the fuel satisfies the requirements of the petition process.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For operating units that combust non-hazardous secondary material as fuel per 40 CFR 241.4, the permittee must keep records documenting that the material is a listed non-waste under 40 CFR 241.4(a).</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63.11225(c)(2)(ii))</w:t>
      </w:r>
    </w:p>
    <w:p w14:paraId="61F7040B" w14:textId="42FF5AC4" w:rsidR="00063B4A" w:rsidRPr="00C8109A" w:rsidRDefault="009F09E5" w:rsidP="00057A8B">
      <w:pPr>
        <w:pStyle w:val="ListParagraph"/>
        <w:numPr>
          <w:ilvl w:val="0"/>
          <w:numId w:val="26"/>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 must maintain a copy of the energy assessment report for each boiler in</w:t>
      </w:r>
      <w:r w:rsidRPr="00C8109A">
        <w:rPr>
          <w:rFonts w:ascii="Arial" w:eastAsia="Times New Roman" w:hAnsi="Arial" w:cs="Arial"/>
          <w:sz w:val="20"/>
          <w:szCs w:val="20"/>
        </w:rPr>
        <w:t xml:space="preserve"> 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w:t>
      </w:r>
      <w:r w:rsidRPr="00C8109A">
        <w:rPr>
          <w:rFonts w:ascii="Times New Roman" w:eastAsia="Times New Roman" w:hAnsi="Times New Roman" w:cs="Times New Roman"/>
          <w:b/>
          <w:bCs/>
          <w:color w:val="000000"/>
          <w:sz w:val="20"/>
          <w:szCs w:val="20"/>
        </w:rPr>
        <w:t> </w:t>
      </w:r>
      <w:r w:rsidRPr="00C8109A">
        <w:rPr>
          <w:rFonts w:ascii="Arial" w:eastAsia="Times New Roman" w:hAnsi="Arial" w:cs="Arial"/>
          <w:b/>
          <w:bCs/>
          <w:color w:val="000000"/>
          <w:sz w:val="20"/>
          <w:szCs w:val="20"/>
        </w:rPr>
        <w:t>CFR 63.11225(c)(2)(iii))</w:t>
      </w:r>
    </w:p>
    <w:p w14:paraId="5C63127B" w14:textId="03D65628" w:rsidR="00063B4A" w:rsidRPr="00C8109A" w:rsidRDefault="009F09E5" w:rsidP="00057A8B">
      <w:pPr>
        <w:pStyle w:val="ListParagraph"/>
        <w:numPr>
          <w:ilvl w:val="0"/>
          <w:numId w:val="26"/>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The permittee must also keep records of monthly fuel use by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 including the type(s) of fuel and amount(s) used.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63.11225(c)(2)(iv))</w:t>
      </w:r>
    </w:p>
    <w:p w14:paraId="5FC8D585" w14:textId="4DCD9DBC"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b/>
          <w:bCs/>
          <w:color w:val="FF0000"/>
          <w:sz w:val="20"/>
          <w:szCs w:val="20"/>
        </w:rPr>
        <w:t xml:space="preserve">OPTIONAL - </w:t>
      </w:r>
      <w:r w:rsidRPr="00C8109A">
        <w:rPr>
          <w:rFonts w:ascii="Arial" w:eastAsia="Times New Roman" w:hAnsi="Arial" w:cs="Arial"/>
          <w:color w:val="FF0000"/>
          <w:sz w:val="20"/>
          <w:szCs w:val="20"/>
        </w:rPr>
        <w:t>For sources that demonstrate compliance through fuel analysis.</w:t>
      </w:r>
      <w:r w:rsid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w:t>
      </w:r>
      <w:r w:rsidRPr="00C8109A">
        <w:rPr>
          <w:rFonts w:ascii="Arial" w:eastAsia="Times New Roman" w:hAnsi="Arial" w:cs="Arial"/>
          <w:b/>
          <w:bCs/>
          <w:color w:val="FF0000"/>
          <w:sz w:val="20"/>
          <w:szCs w:val="20"/>
        </w:rPr>
        <w:t>If deleted, verify all final numbering</w:t>
      </w:r>
      <w:r w:rsidRPr="00C8109A">
        <w:rPr>
          <w:rFonts w:ascii="Arial" w:eastAsia="Times New Roman" w:hAnsi="Arial" w:cs="Arial"/>
          <w:color w:val="FF0000"/>
          <w:sz w:val="20"/>
          <w:szCs w:val="20"/>
        </w:rPr>
        <w:t>.</w:t>
      </w:r>
      <w:r w:rsidR="00C8109A">
        <w:rPr>
          <w:rFonts w:ascii="Arial" w:eastAsia="Times New Roman" w:hAnsi="Arial" w:cs="Arial"/>
          <w:color w:val="FF0000"/>
          <w:sz w:val="20"/>
          <w:szCs w:val="20"/>
        </w:rPr>
        <w:t xml:space="preserve">  </w:t>
      </w:r>
      <w:r w:rsidRPr="00C8109A">
        <w:rPr>
          <w:rFonts w:ascii="Arial" w:eastAsia="Times New Roman" w:hAnsi="Arial" w:cs="Arial"/>
          <w:color w:val="000000"/>
          <w:sz w:val="20"/>
          <w:szCs w:val="20"/>
        </w:rPr>
        <w:t>The permittee must keep a copy of all calculations and supporting documentation that were done to demonstrate compliance with the mercury emission limits.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Supporting documentation should </w:t>
      </w:r>
      <w:r w:rsidRPr="00C8109A">
        <w:rPr>
          <w:rFonts w:ascii="Arial" w:eastAsia="Times New Roman" w:hAnsi="Arial" w:cs="Arial"/>
          <w:color w:val="000000"/>
          <w:sz w:val="20"/>
          <w:szCs w:val="20"/>
        </w:rPr>
        <w:lastRenderedPageBreak/>
        <w:t>include results of any fuel analyses.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can use the results from one fuel analysis for multiple boilers provided they are all burning the same fuel type.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63.11225(c)(3))</w:t>
      </w:r>
    </w:p>
    <w:p w14:paraId="36B42B2E" w14:textId="15FD05FA"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Records of the occurrence and duration of each malfunction of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 or of the associated air pollution control and monitoring equipment.</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63.11225(c)(4))</w:t>
      </w:r>
    </w:p>
    <w:p w14:paraId="38E951B6" w14:textId="3AB09B3B"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Records of actions taken during periods of malfunction to minimize emissions including corrective actions to restore the malfunctioning boiler, air pollution control, or monitoring equipment to its normal or usual manner of operation.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63.11225(c)(5))</w:t>
      </w:r>
    </w:p>
    <w:p w14:paraId="69F09053" w14:textId="43497247" w:rsidR="00063B4A" w:rsidRPr="00C8109A" w:rsidRDefault="009F09E5" w:rsidP="00057A8B">
      <w:pPr>
        <w:pStyle w:val="ListParagraph"/>
        <w:numPr>
          <w:ilvl w:val="0"/>
          <w:numId w:val="25"/>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 xml:space="preserve">The permittee must keep the records of all inspection and monitoring data of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 xml:space="preserve">{ID} </w:t>
      </w:r>
      <w:r w:rsidRPr="00C8109A">
        <w:rPr>
          <w:rFonts w:ascii="Arial" w:eastAsia="Times New Roman" w:hAnsi="Arial" w:cs="Arial"/>
          <w:color w:val="000000"/>
          <w:sz w:val="20"/>
          <w:szCs w:val="20"/>
        </w:rPr>
        <w:t>required by SC VI.2 through 5, and the information, for each required inspection or monitoring, as listed below.</w:t>
      </w:r>
    </w:p>
    <w:p w14:paraId="4CDDBEDB" w14:textId="0C40B5D1"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date, place, and time of the monitoring event.</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63.11225(c)(6)(i))</w:t>
      </w:r>
    </w:p>
    <w:p w14:paraId="71EFB750" w14:textId="75BC8741"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Person conducting the monitoring.</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63.11225(c)(6)(ii))</w:t>
      </w:r>
    </w:p>
    <w:p w14:paraId="14587D83" w14:textId="2B9E1224"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Technique or method used.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63.11225(c)(6)(iii))</w:t>
      </w:r>
    </w:p>
    <w:p w14:paraId="21D3D166" w14:textId="03C72F70"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Operating conditions during the activity.</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63.11225(c)(6)(iv))</w:t>
      </w:r>
    </w:p>
    <w:p w14:paraId="5615027B" w14:textId="6C9E208A"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Results, including the date, time, and duration of the period from the time the monitoring indicated a problem to the time that monitoring indicated proper operation.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63.11225(c)(6)(v))</w:t>
      </w:r>
    </w:p>
    <w:p w14:paraId="7F0D0D02" w14:textId="575F1F8C" w:rsidR="00063B4A" w:rsidRPr="00C8109A" w:rsidRDefault="009F09E5" w:rsidP="00057A8B">
      <w:pPr>
        <w:pStyle w:val="ListParagraph"/>
        <w:numPr>
          <w:ilvl w:val="0"/>
          <w:numId w:val="27"/>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Maintenance or corrective action taken (if applicable).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63.11225(c)(6)(vi))</w:t>
      </w:r>
    </w:p>
    <w:p w14:paraId="32B90E3F" w14:textId="162F45C5" w:rsidR="00063B4A" w:rsidRPr="00C8109A" w:rsidRDefault="009F09E5" w:rsidP="00057A8B">
      <w:pPr>
        <w:pStyle w:val="ListParagraph"/>
        <w:numPr>
          <w:ilvl w:val="0"/>
          <w:numId w:val="29"/>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b/>
          <w:bCs/>
          <w:color w:val="FF0000"/>
          <w:sz w:val="20"/>
          <w:szCs w:val="20"/>
        </w:rPr>
        <w:t>OPTIONAL</w:t>
      </w:r>
      <w:r w:rsidRPr="00C8109A">
        <w:rPr>
          <w:rFonts w:ascii="Arial" w:eastAsia="Times New Roman" w:hAnsi="Arial" w:cs="Arial"/>
          <w:color w:val="FF0000"/>
          <w:sz w:val="20"/>
          <w:szCs w:val="20"/>
        </w:rPr>
        <w:t xml:space="preserve"> – Use this condition if the permittee uses a bag leak detection system.</w:t>
      </w:r>
      <w:r w:rsidR="00C8109A">
        <w:rPr>
          <w:rFonts w:ascii="Arial" w:eastAsia="Times New Roman" w:hAnsi="Arial" w:cs="Arial"/>
          <w:color w:val="FF0000"/>
          <w:sz w:val="20"/>
          <w:szCs w:val="20"/>
        </w:rPr>
        <w:t xml:space="preserve"> </w:t>
      </w:r>
      <w:r w:rsidRPr="00C8109A">
        <w:rPr>
          <w:rFonts w:ascii="Arial" w:eastAsia="Times New Roman" w:hAnsi="Arial" w:cs="Arial"/>
          <w:color w:val="FF0000"/>
          <w:sz w:val="20"/>
          <w:szCs w:val="20"/>
        </w:rPr>
        <w:t xml:space="preserve"> Otherwise delete.</w:t>
      </w:r>
      <w:r w:rsidR="00C8109A">
        <w:rPr>
          <w:rFonts w:ascii="Arial" w:eastAsia="Times New Roman" w:hAnsi="Arial" w:cs="Arial"/>
          <w:color w:val="FF0000"/>
          <w:sz w:val="20"/>
          <w:szCs w:val="20"/>
        </w:rPr>
        <w:t xml:space="preserve"> </w:t>
      </w:r>
      <w:r w:rsidRPr="00C8109A">
        <w:rPr>
          <w:rFonts w:ascii="Arial" w:eastAsia="Times New Roman" w:hAnsi="Arial" w:cs="Arial"/>
          <w:color w:val="000000"/>
          <w:sz w:val="20"/>
          <w:szCs w:val="20"/>
        </w:rPr>
        <w:t xml:space="preserve"> The permittee must keep the records of the bag leak detection system, as listed below:</w:t>
      </w:r>
    </w:p>
    <w:p w14:paraId="00645EEF" w14:textId="0D0595D9" w:rsidR="00063B4A" w:rsidRPr="00C8109A" w:rsidRDefault="009F09E5" w:rsidP="00057A8B">
      <w:pPr>
        <w:pStyle w:val="ListParagraph"/>
        <w:numPr>
          <w:ilvl w:val="0"/>
          <w:numId w:val="28"/>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Records of the bag leak detection system output.</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63.11225(c)(7)(i))</w:t>
      </w:r>
    </w:p>
    <w:p w14:paraId="259A9459" w14:textId="0B236156" w:rsidR="00063B4A" w:rsidRPr="00C8109A" w:rsidRDefault="009F09E5" w:rsidP="00057A8B">
      <w:pPr>
        <w:pStyle w:val="ListParagraph"/>
        <w:numPr>
          <w:ilvl w:val="0"/>
          <w:numId w:val="28"/>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Records of bag leak detection system adjustments, including the date and time of the adjustment, the initial bag leak detection system settings, and the final bag leak detection system settings.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63.11225(c)(7)(ii)</w:t>
      </w:r>
    </w:p>
    <w:p w14:paraId="3639E38A" w14:textId="7A8F5D5C" w:rsidR="00063B4A" w:rsidRPr="00C8109A" w:rsidRDefault="009F09E5" w:rsidP="00057A8B">
      <w:pPr>
        <w:pStyle w:val="ListParagraph"/>
        <w:numPr>
          <w:ilvl w:val="0"/>
          <w:numId w:val="28"/>
        </w:numPr>
        <w:spacing w:before="160"/>
        <w:contextualSpacing w:val="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date and time of all bag leak detection system alarms, and for each valid alarm, the time the permittee initiated corrective action, the corrective action taken, and the date on which corrective action was completed.</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63.11225(c)(7)(iii))</w:t>
      </w:r>
    </w:p>
    <w:p w14:paraId="1C85D2DE" w14:textId="4A7375E8" w:rsidR="00063B4A" w:rsidRPr="00C8109A" w:rsidRDefault="009F09E5" w:rsidP="00057A8B">
      <w:pPr>
        <w:pStyle w:val="ListParagraph"/>
        <w:numPr>
          <w:ilvl w:val="0"/>
          <w:numId w:val="30"/>
        </w:numPr>
        <w:spacing w:before="120"/>
        <w:rPr>
          <w:rFonts w:ascii="Times New Roman" w:eastAsia="Times New Roman" w:hAnsi="Times New Roman" w:cs="Times New Roman"/>
          <w:sz w:val="24"/>
          <w:szCs w:val="24"/>
        </w:rPr>
      </w:pPr>
      <w:r w:rsidRPr="00C8109A">
        <w:rPr>
          <w:rFonts w:ascii="Arial" w:eastAsia="Times New Roman" w:hAnsi="Arial" w:cs="Arial"/>
          <w:color w:val="000000"/>
          <w:sz w:val="20"/>
          <w:szCs w:val="20"/>
        </w:rPr>
        <w:t>The permittee’s records must be in a form suitable and readily available for expeditious review.</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keep each record for 5 years following the date of each recorded action.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must keep each record on-site or be accessible from a central location by computer or other means that instantly provide access at the site for at least 2 years after the date of each recorded action.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permittee may keep the records off site for the remaining 3 years.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63.11225(d))</w:t>
      </w:r>
    </w:p>
    <w:p w14:paraId="2C23BDA3"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000000"/>
          <w:sz w:val="20"/>
          <w:szCs w:val="20"/>
        </w:rPr>
        <w:t xml:space="preserve">See Appendices </w:t>
      </w:r>
      <w:r w:rsidRPr="00C8109A">
        <w:rPr>
          <w:rFonts w:ascii="Arial" w:eastAsia="Times New Roman" w:hAnsi="Arial" w:cs="Arial"/>
          <w:b/>
          <w:bCs/>
          <w:color w:val="FF0000"/>
          <w:sz w:val="20"/>
          <w:szCs w:val="20"/>
        </w:rPr>
        <w:t>{Enter 3, 4, and/or 7}</w:t>
      </w:r>
    </w:p>
    <w:p w14:paraId="096F2C4B" w14:textId="0B3E29E7" w:rsidR="00063B4A" w:rsidRPr="00063B4A" w:rsidRDefault="009F09E5" w:rsidP="00174B84">
      <w:pPr>
        <w:pStyle w:val="Heading5"/>
        <w:rPr>
          <w:rFonts w:ascii="Times New Roman" w:eastAsia="Times New Roman" w:hAnsi="Times New Roman" w:cs="Times New Roman"/>
          <w:szCs w:val="24"/>
        </w:rPr>
      </w:pPr>
      <w:r w:rsidRPr="00063B4A">
        <w:rPr>
          <w:rFonts w:eastAsia="Times New Roman"/>
        </w:rPr>
        <w:t>VII.</w:t>
      </w:r>
      <w:r w:rsidR="00C8109A">
        <w:rPr>
          <w:rFonts w:eastAsia="Times New Roman"/>
        </w:rPr>
        <w:t xml:space="preserve"> </w:t>
      </w:r>
      <w:r w:rsidRPr="00063B4A">
        <w:rPr>
          <w:rFonts w:eastAsia="Times New Roman"/>
        </w:rPr>
        <w:t xml:space="preserve"> REPORTING</w:t>
      </w:r>
    </w:p>
    <w:p w14:paraId="0902F1D2" w14:textId="4E7CE859" w:rsidR="00063B4A" w:rsidRPr="00063B4A" w:rsidRDefault="009F09E5" w:rsidP="00057A8B">
      <w:pPr>
        <w:spacing w:before="120"/>
        <w:rPr>
          <w:rFonts w:ascii="Times New Roman" w:eastAsia="Times New Roman" w:hAnsi="Times New Roman" w:cs="Times New Roman"/>
          <w:sz w:val="24"/>
          <w:szCs w:val="24"/>
        </w:rPr>
      </w:pPr>
      <w:r w:rsidRPr="00063B4A">
        <w:rPr>
          <w:rFonts w:ascii="Arial" w:eastAsia="Times New Roman" w:hAnsi="Arial" w:cs="Arial"/>
          <w:b/>
          <w:bCs/>
          <w:color w:val="0000FF"/>
          <w:sz w:val="20"/>
          <w:szCs w:val="20"/>
        </w:rPr>
        <w:t>Permit Staff – SC VII.1, 2, and 3, references to Rule 213 are ROP only.</w:t>
      </w:r>
      <w:r w:rsidR="00C8109A">
        <w:rPr>
          <w:rFonts w:ascii="Arial" w:eastAsia="Times New Roman" w:hAnsi="Arial" w:cs="Arial"/>
          <w:b/>
          <w:bCs/>
          <w:color w:val="0000FF"/>
          <w:sz w:val="20"/>
          <w:szCs w:val="20"/>
        </w:rPr>
        <w:t xml:space="preserve"> </w:t>
      </w:r>
      <w:r w:rsidRPr="00063B4A">
        <w:rPr>
          <w:rFonts w:ascii="Arial" w:eastAsia="Times New Roman" w:hAnsi="Arial" w:cs="Arial"/>
          <w:b/>
          <w:bCs/>
          <w:color w:val="0000FF"/>
          <w:sz w:val="20"/>
          <w:szCs w:val="20"/>
        </w:rPr>
        <w:t xml:space="preserve"> Remove before putting into a PTI. Renumber as appropriate.</w:t>
      </w:r>
    </w:p>
    <w:p w14:paraId="17A01FB2" w14:textId="7734FE38"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Prompt reporting of deviations pursuant to General Conditions 21 and 22 of Part A.</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(R 336.1213(3)(c)(ii))</w:t>
      </w:r>
    </w:p>
    <w:p w14:paraId="374F35D3" w14:textId="31C75F9B"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Semiannual reporting of monitoring and deviations pursuant to General Condition 23 of Part A.</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report shall be received by March 15 for reporting period July 1 to December 31 and September 15 for reporting period January 1 to June 30.</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(R 336.1213(3)(c)(i))</w:t>
      </w:r>
    </w:p>
    <w:p w14:paraId="071560B1" w14:textId="785F8F28"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Annual certification of compliance pursuant to General Conditions 19 and 20 of Part A.</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 report shall be received by March 15 for the previous calendar year.</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(R 336.1213(4)(c))</w:t>
      </w:r>
    </w:p>
    <w:p w14:paraId="3FEDD6F8" w14:textId="3C811C7B"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lastRenderedPageBreak/>
        <w:t>The permittee must report each instance in which the permittee did not meet each emission limit and operating limit in Tables 1 and 3 of 40 CFR Part 63, Subpart JJJJJJ that apply to the permittee.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These instances are deviations from the emission limits in 40 CFR Part 63, Subpart JJJJJJ.</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63.11222(b))</w:t>
      </w:r>
    </w:p>
    <w:p w14:paraId="5B048572" w14:textId="5862A534"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The permittee must prepare, by March 1 of each year, and submit to the delegated authority upon request, an annual compliance certification report for the previous calendar year containing the information as listed below. </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The permittee must submit the report by March 15 if the permittee had any deviations.</w:t>
      </w:r>
      <w:r w:rsidR="00C8109A">
        <w:rPr>
          <w:rFonts w:ascii="Arial" w:eastAsia="Times New Roman" w:hAnsi="Arial" w:cs="Arial"/>
          <w:color w:val="000000"/>
          <w:sz w:val="20"/>
          <w:szCs w:val="20"/>
        </w:rPr>
        <w:t xml:space="preserve"> </w:t>
      </w:r>
    </w:p>
    <w:p w14:paraId="57803D8E" w14:textId="3AD48AEB" w:rsidR="00063B4A" w:rsidRPr="00C8109A" w:rsidRDefault="009F09E5" w:rsidP="00174B84">
      <w:pPr>
        <w:pStyle w:val="ListParagraph"/>
        <w:numPr>
          <w:ilvl w:val="0"/>
          <w:numId w:val="3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Company name and address.</w:t>
      </w:r>
      <w:r w:rsidR="00C8109A"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63.11225(b)(1))</w:t>
      </w:r>
    </w:p>
    <w:p w14:paraId="6DC653F0" w14:textId="290551F1" w:rsidR="00063B4A" w:rsidRPr="00C8109A" w:rsidRDefault="009F09E5" w:rsidP="00174B84">
      <w:pPr>
        <w:pStyle w:val="ListParagraph"/>
        <w:numPr>
          <w:ilvl w:val="0"/>
          <w:numId w:val="3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The permittee’s notification must include the following certification(s) of compliance, as applicable, and signed by a responsible official:</w:t>
      </w:r>
      <w:r w:rsidR="00C8109A">
        <w:rPr>
          <w:rFonts w:ascii="Arial" w:eastAsia="Times New Roman" w:hAnsi="Arial" w:cs="Arial"/>
          <w:b/>
          <w:bCs/>
          <w:color w:val="000000"/>
          <w:sz w:val="20"/>
          <w:szCs w:val="20"/>
        </w:rPr>
        <w:t xml:space="preserve"> </w:t>
      </w:r>
    </w:p>
    <w:p w14:paraId="6C8F18D8" w14:textId="4E1F4951" w:rsidR="00063B4A" w:rsidRPr="00C8109A" w:rsidRDefault="009F09E5" w:rsidP="00174B84">
      <w:pPr>
        <w:pStyle w:val="ListParagraph"/>
        <w:numPr>
          <w:ilvl w:val="0"/>
          <w:numId w:val="33"/>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For units that do not qualify for a statutory exemption as provided in Section 129(g)(1) of the Clean Air Act: “No secondary materials that are solid waste were combusted in any affected unit.”</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63.11225(b)(2)(ii))</w:t>
      </w:r>
    </w:p>
    <w:p w14:paraId="48B8FDA5" w14:textId="0D2313EA" w:rsidR="00063B4A" w:rsidRPr="00C8109A" w:rsidRDefault="009F09E5" w:rsidP="00174B84">
      <w:pPr>
        <w:pStyle w:val="ListParagraph"/>
        <w:numPr>
          <w:ilvl w:val="0"/>
          <w:numId w:val="33"/>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“This facility complies with the requirements in 40 CFR 63.11214(d) and 63.11223(g) to minimize the boiler's time spent during startup and shutdown and to conduct startups and shutdowns according to the manufacturer's recommended procedures or procedures specified for a boiler of similar design if manufacturer's recommended procedures are not available.”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63.11225(b)(2)(iii))</w:t>
      </w:r>
    </w:p>
    <w:p w14:paraId="7BE7816C" w14:textId="783BE206" w:rsidR="00063B4A" w:rsidRPr="00C8109A" w:rsidRDefault="009F09E5" w:rsidP="00174B84">
      <w:pPr>
        <w:pStyle w:val="ListParagraph"/>
        <w:numPr>
          <w:ilvl w:val="0"/>
          <w:numId w:val="3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If the source experiences any deviations from the applicable requirements during the reporting period, include a description of deviations, the time periods during which the deviations occurred, and the corrective actions taken.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63.11225(b)(3))</w:t>
      </w:r>
    </w:p>
    <w:p w14:paraId="7B5D0E4E" w14:textId="488B52DF" w:rsidR="00063B4A" w:rsidRPr="00C8109A" w:rsidRDefault="009F09E5" w:rsidP="00174B84">
      <w:pPr>
        <w:pStyle w:val="ListParagraph"/>
        <w:numPr>
          <w:ilvl w:val="0"/>
          <w:numId w:val="3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 xml:space="preserve">The total fuel use by each boiler in </w:t>
      </w:r>
      <w:r w:rsidRPr="00C8109A">
        <w:rPr>
          <w:rFonts w:ascii="Arial" w:eastAsia="Times New Roman" w:hAnsi="Arial" w:cs="Arial"/>
          <w:sz w:val="20"/>
          <w:szCs w:val="20"/>
        </w:rPr>
        <w:t>FG</w:t>
      </w:r>
      <w:r w:rsidRPr="00C8109A">
        <w:rPr>
          <w:rFonts w:ascii="Arial" w:eastAsia="Times New Roman" w:hAnsi="Arial" w:cs="Arial"/>
          <w:color w:val="FF0000"/>
          <w:sz w:val="20"/>
          <w:szCs w:val="20"/>
        </w:rPr>
        <w:t>{ID}</w:t>
      </w:r>
      <w:r w:rsidRPr="00C8109A">
        <w:rPr>
          <w:rFonts w:ascii="Arial" w:eastAsia="Times New Roman" w:hAnsi="Arial" w:cs="Arial"/>
          <w:color w:val="000000"/>
          <w:sz w:val="20"/>
          <w:szCs w:val="20"/>
        </w:rPr>
        <w:t>, for each calendar month within the reporting period, including, but not limited to, a description of the fuel, whether the fuel has received a non-waste determination by the permittee or EPA through a petition process to be a non-waste under 40 CFR 241.3(c), whether the fuel(s) were processed from discarded non-hazardous secondary materials within the meaning of 40 CFR 241.3, and the total fuel usage amount with units of measure.</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63.11225(b)(4))</w:t>
      </w:r>
    </w:p>
    <w:p w14:paraId="3BFAD320" w14:textId="750D1ECB" w:rsidR="00063B4A" w:rsidRPr="00C8109A" w:rsidRDefault="009F09E5" w:rsidP="00174B84">
      <w:pPr>
        <w:pStyle w:val="ListParagraph"/>
        <w:numPr>
          <w:ilvl w:val="0"/>
          <w:numId w:val="32"/>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 xml:space="preserve">The notification must be submitted electronically using the Compliance and Emissions Data Reporting Interface (CEDRI) that is accessed through </w:t>
      </w:r>
      <w:r w:rsidRPr="00174B84">
        <w:rPr>
          <w:rFonts w:ascii="Arial" w:eastAsia="Times New Roman" w:hAnsi="Arial" w:cs="Arial"/>
          <w:sz w:val="20"/>
          <w:szCs w:val="20"/>
        </w:rPr>
        <w:t xml:space="preserve">EPA's </w:t>
      </w:r>
      <w:hyperlink r:id="rId5" w:history="1">
        <w:r w:rsidR="00063B4A" w:rsidRPr="00174B84">
          <w:rPr>
            <w:rStyle w:val="Hyperlink"/>
            <w:rFonts w:ascii="Arial" w:eastAsia="Times New Roman" w:hAnsi="Arial" w:cs="Arial"/>
            <w:color w:val="3333FF"/>
            <w:sz w:val="20"/>
            <w:szCs w:val="20"/>
          </w:rPr>
          <w:t>Central Data Exchange</w:t>
        </w:r>
      </w:hyperlink>
      <w:r w:rsidRPr="00C8109A">
        <w:rPr>
          <w:rFonts w:ascii="Arial" w:eastAsia="Times New Roman" w:hAnsi="Arial" w:cs="Arial"/>
          <w:color w:val="000000"/>
          <w:sz w:val="20"/>
          <w:szCs w:val="20"/>
        </w:rPr>
        <w:t xml:space="preserve"> (CDX). </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However, if the reporting form specific to this subpart is not available in CEDRI at the time that the report is due, the written Notification of Compliance Status must be submitted to the USEPA at the appropriate address listed in 40 CFR 63.13.</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63.11225(a)(4)(vi))</w:t>
      </w:r>
    </w:p>
    <w:p w14:paraId="437CAEBA" w14:textId="7696D9DD"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Within 60 days after the date of completing each required performance test, the permittee must submit the results of the performance tests, including any associated fuel analyses.</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For data collected using test methods supported by the </w:t>
      </w:r>
      <w:r w:rsidRPr="00174B84">
        <w:rPr>
          <w:rFonts w:ascii="Arial" w:eastAsia="Times New Roman" w:hAnsi="Arial" w:cs="Arial"/>
          <w:sz w:val="20"/>
          <w:szCs w:val="20"/>
        </w:rPr>
        <w:t xml:space="preserve">EPA’s </w:t>
      </w:r>
      <w:hyperlink r:id="rId6" w:history="1">
        <w:r w:rsidR="00063B4A" w:rsidRPr="00174B84">
          <w:rPr>
            <w:rStyle w:val="Hyperlink"/>
            <w:rFonts w:ascii="Arial" w:eastAsia="Times New Roman" w:hAnsi="Arial" w:cs="Arial"/>
            <w:color w:val="3333FF"/>
            <w:sz w:val="20"/>
            <w:szCs w:val="20"/>
          </w:rPr>
          <w:t>Electronic Reporting Tool</w:t>
        </w:r>
      </w:hyperlink>
      <w:r w:rsidRPr="00174B84">
        <w:rPr>
          <w:rFonts w:ascii="Arial" w:eastAsia="Times New Roman" w:hAnsi="Arial" w:cs="Arial"/>
          <w:color w:val="3333FF"/>
          <w:sz w:val="20"/>
          <w:szCs w:val="20"/>
        </w:rPr>
        <w:t xml:space="preserve"> </w:t>
      </w:r>
      <w:r w:rsidRPr="00C8109A">
        <w:rPr>
          <w:rFonts w:ascii="Arial" w:eastAsia="Times New Roman" w:hAnsi="Arial" w:cs="Arial"/>
          <w:color w:val="000000"/>
          <w:sz w:val="20"/>
          <w:szCs w:val="20"/>
        </w:rPr>
        <w:t>(ERT) at the time of the test, the permittee must submit the results of the performance test to the EPA via the Compliance and Emissions Data Reporting Interface (CEDRI).</w:t>
      </w:r>
      <w:r w:rsidR="00174B84">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(CEDRI can be accessed through the </w:t>
      </w:r>
      <w:r w:rsidR="00057A8B" w:rsidRPr="00174B84">
        <w:rPr>
          <w:rFonts w:ascii="Arial" w:eastAsia="Times New Roman" w:hAnsi="Arial" w:cs="Arial"/>
          <w:sz w:val="20"/>
          <w:szCs w:val="20"/>
        </w:rPr>
        <w:t xml:space="preserve">EPA's </w:t>
      </w:r>
      <w:hyperlink r:id="rId7" w:history="1">
        <w:r w:rsidR="00057A8B" w:rsidRPr="00174B84">
          <w:rPr>
            <w:rStyle w:val="Hyperlink"/>
            <w:rFonts w:ascii="Arial" w:eastAsia="Times New Roman" w:hAnsi="Arial" w:cs="Arial"/>
            <w:color w:val="3333FF"/>
            <w:sz w:val="20"/>
            <w:szCs w:val="20"/>
          </w:rPr>
          <w:t>Central Data Exchange</w:t>
        </w:r>
      </w:hyperlink>
      <w:r w:rsidR="00057A8B" w:rsidRP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(CDX). </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Performance test data must be submitted in a file format generated through the use of the EPA’s ERT or an alternate electronic file format consistent with the extensible markup language (XML) schema listed on the EPA’s ERT Web site.</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For data collected using test methods that are not supported by the EPA’s ERT as listed on the EPA’s ERT Web site at the time of the test, the permittee must submit the results of the performance test to the Administrator at the appropriate address listed in 40 CFR 63.13.</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63.11225(e)(1))</w:t>
      </w:r>
    </w:p>
    <w:p w14:paraId="610B918E" w14:textId="3C02AA50"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b/>
          <w:bCs/>
          <w:color w:val="FF0000"/>
          <w:sz w:val="20"/>
          <w:szCs w:val="20"/>
        </w:rPr>
        <w:t xml:space="preserve">OPTIONAL – If not using CEMS to comply then delete and renumber - </w:t>
      </w:r>
      <w:r w:rsidRPr="00C8109A">
        <w:rPr>
          <w:rFonts w:ascii="Arial" w:eastAsia="Times New Roman" w:hAnsi="Arial" w:cs="Arial"/>
          <w:color w:val="000000"/>
          <w:sz w:val="20"/>
          <w:szCs w:val="20"/>
        </w:rPr>
        <w:t>Within 60 days after the date of completing each CEMS performance evaluation, the permittee must submit the results of the performance evaluation.</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For performance evaluations of continuous monitoring systems measuring relative accuracy test audit (RATA) pollutants that are supported by the EPA’s ERT as listed on the EPA’s ERT Web site at the time of the evaluation, the permittee must submit the results of the performance evaluation to the EPA via the CEDRI.</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Performance evaluation data must be submitted in a file format generated through the use of the </w:t>
      </w:r>
      <w:r w:rsidRPr="00C8109A">
        <w:rPr>
          <w:rFonts w:ascii="Arial" w:eastAsia="Times New Roman" w:hAnsi="Arial" w:cs="Arial"/>
          <w:color w:val="000000"/>
          <w:sz w:val="20"/>
          <w:szCs w:val="20"/>
        </w:rPr>
        <w:lastRenderedPageBreak/>
        <w:t xml:space="preserve">EPA’s ERT or an alternate file format consistent with the XML schema listed on the EPA’s ERT Web site. </w:t>
      </w:r>
      <w:r w:rsid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63.11225(e)(2))</w:t>
      </w:r>
    </w:p>
    <w:p w14:paraId="7456E893" w14:textId="1A5D66BE" w:rsidR="00063B4A" w:rsidRPr="00C8109A" w:rsidRDefault="009F09E5" w:rsidP="00174B84">
      <w:pPr>
        <w:pStyle w:val="ListParagraph"/>
        <w:numPr>
          <w:ilvl w:val="0"/>
          <w:numId w:val="31"/>
        </w:numPr>
        <w:spacing w:before="120"/>
        <w:contextualSpacing w:val="0"/>
        <w:rPr>
          <w:rFonts w:ascii="Arial" w:eastAsia="Times New Roman" w:hAnsi="Arial" w:cs="Arial"/>
          <w:sz w:val="20"/>
          <w:szCs w:val="20"/>
        </w:rPr>
      </w:pPr>
      <w:r w:rsidRPr="00C8109A">
        <w:rPr>
          <w:rFonts w:ascii="Arial" w:eastAsia="Times New Roman" w:hAnsi="Arial" w:cs="Arial"/>
          <w:color w:val="000000"/>
          <w:sz w:val="20"/>
          <w:szCs w:val="20"/>
        </w:rPr>
        <w:t xml:space="preserve">The permittee shall submit any performance test reports </w:t>
      </w:r>
      <w:r w:rsidRPr="00C8109A">
        <w:rPr>
          <w:rFonts w:ascii="Arial" w:eastAsia="Times New Roman" w:hAnsi="Arial" w:cs="Arial"/>
          <w:color w:val="FF0000"/>
          <w:sz w:val="20"/>
          <w:szCs w:val="20"/>
        </w:rPr>
        <w:t>{including RATA reports}</w:t>
      </w:r>
      <w:r w:rsidRPr="00C8109A">
        <w:rPr>
          <w:rFonts w:ascii="Arial" w:eastAsia="Times New Roman" w:hAnsi="Arial" w:cs="Arial"/>
          <w:color w:val="000000"/>
          <w:sz w:val="20"/>
          <w:szCs w:val="20"/>
        </w:rPr>
        <w:t xml:space="preserve"> to the AQD</w:t>
      </w:r>
      <w:r w:rsidR="00174B84" w:rsidRPr="00F4589F">
        <w:rPr>
          <w:rFonts w:ascii="Arial" w:hAnsi="Arial" w:cs="Arial"/>
          <w:sz w:val="20"/>
        </w:rPr>
        <w:t xml:space="preserve"> through MiEnviro Portal, in a format approved by the AQD.  </w:t>
      </w:r>
      <w:r w:rsidR="00174B84" w:rsidRPr="00F4589F">
        <w:rPr>
          <w:rFonts w:ascii="Arial" w:hAnsi="Arial" w:cs="Arial"/>
          <w:b/>
          <w:bCs/>
          <w:sz w:val="20"/>
        </w:rPr>
        <w:t xml:space="preserve">(R 336.1213(3)(c), </w:t>
      </w:r>
      <w:r w:rsidR="00174B84">
        <w:rPr>
          <w:rFonts w:ascii="Arial" w:hAnsi="Arial" w:cs="Arial"/>
          <w:b/>
          <w:bCs/>
          <w:sz w:val="20"/>
        </w:rPr>
        <w:t>R 336.2001(4)</w:t>
      </w:r>
      <w:r w:rsidR="00174B84" w:rsidRPr="00F4589F">
        <w:rPr>
          <w:rFonts w:ascii="Arial" w:hAnsi="Arial" w:cs="Arial"/>
          <w:b/>
          <w:bCs/>
          <w:sz w:val="20"/>
        </w:rPr>
        <w:t>)</w:t>
      </w:r>
    </w:p>
    <w:p w14:paraId="42468C3F" w14:textId="77777777" w:rsidR="00063B4A" w:rsidRPr="00C8109A" w:rsidRDefault="009F09E5" w:rsidP="00057A8B">
      <w:pPr>
        <w:spacing w:before="120"/>
        <w:rPr>
          <w:rFonts w:ascii="Arial" w:eastAsia="Times New Roman" w:hAnsi="Arial" w:cs="Arial"/>
          <w:sz w:val="20"/>
          <w:szCs w:val="20"/>
        </w:rPr>
      </w:pPr>
      <w:r w:rsidRPr="00C8109A">
        <w:rPr>
          <w:rFonts w:ascii="Arial" w:eastAsia="Times New Roman" w:hAnsi="Arial" w:cs="Arial"/>
          <w:b/>
          <w:bCs/>
          <w:color w:val="000000"/>
          <w:sz w:val="20"/>
          <w:szCs w:val="20"/>
        </w:rPr>
        <w:t xml:space="preserve">See Appendix 8 </w:t>
      </w:r>
      <w:r w:rsidRPr="00C8109A">
        <w:rPr>
          <w:rFonts w:ascii="Arial" w:eastAsia="Times New Roman" w:hAnsi="Arial" w:cs="Arial"/>
          <w:b/>
          <w:bCs/>
          <w:color w:val="0000FF"/>
          <w:sz w:val="20"/>
          <w:szCs w:val="20"/>
        </w:rPr>
        <w:t>Permit Staff: Remove if PTI since this is ROP only.  </w:t>
      </w:r>
    </w:p>
    <w:p w14:paraId="54B856D6" w14:textId="5C8485EF"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VIII.</w:t>
      </w:r>
      <w:r w:rsidR="00C8109A">
        <w:rPr>
          <w:rFonts w:eastAsia="Times New Roman"/>
        </w:rPr>
        <w:t xml:space="preserve"> </w:t>
      </w:r>
      <w:r w:rsidRPr="00063B4A">
        <w:rPr>
          <w:rFonts w:eastAsia="Times New Roman"/>
        </w:rPr>
        <w:t xml:space="preserve"> STACK/VENT RESTRICTION(S)</w:t>
      </w:r>
    </w:p>
    <w:p w14:paraId="6B98AA69" w14:textId="77777777" w:rsidR="00063B4A" w:rsidRPr="00C8109A" w:rsidRDefault="009F09E5" w:rsidP="00057A8B">
      <w:pPr>
        <w:spacing w:before="120"/>
        <w:jc w:val="both"/>
        <w:rPr>
          <w:rFonts w:ascii="Arial" w:eastAsia="Times New Roman" w:hAnsi="Arial" w:cs="Arial"/>
          <w:sz w:val="20"/>
          <w:szCs w:val="20"/>
        </w:rPr>
      </w:pPr>
      <w:r w:rsidRPr="00C8109A">
        <w:rPr>
          <w:rFonts w:ascii="Arial" w:eastAsia="Times New Roman" w:hAnsi="Arial" w:cs="Arial"/>
          <w:color w:val="000000"/>
          <w:sz w:val="20"/>
          <w:szCs w:val="20"/>
        </w:rPr>
        <w:t>NA</w:t>
      </w:r>
    </w:p>
    <w:p w14:paraId="3CE6641E" w14:textId="6E7ACA51" w:rsidR="00063B4A" w:rsidRPr="00063B4A" w:rsidRDefault="009F09E5" w:rsidP="00057A8B">
      <w:pPr>
        <w:pStyle w:val="Heading5"/>
        <w:rPr>
          <w:rFonts w:ascii="Times New Roman" w:eastAsia="Times New Roman" w:hAnsi="Times New Roman" w:cs="Times New Roman"/>
          <w:szCs w:val="24"/>
        </w:rPr>
      </w:pPr>
      <w:r w:rsidRPr="00063B4A">
        <w:rPr>
          <w:rFonts w:eastAsia="Times New Roman"/>
        </w:rPr>
        <w:t>IX.</w:t>
      </w:r>
      <w:r w:rsidR="00C8109A">
        <w:rPr>
          <w:rFonts w:eastAsia="Times New Roman"/>
        </w:rPr>
        <w:t xml:space="preserve"> </w:t>
      </w:r>
      <w:r w:rsidRPr="00063B4A">
        <w:rPr>
          <w:rFonts w:eastAsia="Times New Roman"/>
        </w:rPr>
        <w:t xml:space="preserve"> OTHER REQUIREMENT(S)</w:t>
      </w:r>
    </w:p>
    <w:p w14:paraId="39EF6856" w14:textId="64FAB9F7" w:rsidR="00063B4A" w:rsidRPr="00C8109A" w:rsidRDefault="009F09E5" w:rsidP="00057A8B">
      <w:pPr>
        <w:numPr>
          <w:ilvl w:val="0"/>
          <w:numId w:val="15"/>
        </w:numPr>
        <w:spacing w:before="120"/>
        <w:ind w:left="360"/>
        <w:textAlignment w:val="baseline"/>
        <w:rPr>
          <w:rFonts w:ascii="Arial" w:eastAsia="Times New Roman" w:hAnsi="Arial" w:cs="Arial"/>
          <w:b/>
          <w:bCs/>
          <w:color w:val="000000"/>
          <w:sz w:val="20"/>
          <w:szCs w:val="20"/>
        </w:rPr>
      </w:pPr>
      <w:r w:rsidRPr="00C8109A">
        <w:rPr>
          <w:rFonts w:ascii="Arial" w:eastAsia="Times New Roman" w:hAnsi="Arial" w:cs="Arial"/>
          <w:color w:val="000000"/>
          <w:sz w:val="20"/>
          <w:szCs w:val="20"/>
        </w:rPr>
        <w:t>The permittee shall comply with all applicable provisions of the National Emission Standards for Hazardous Air Pollutants for Industrial, Commercial, and Institutional Boilers Area Sources as specified in 40 CFR Part 63, Subparts A and JJJJJJ.</w:t>
      </w:r>
      <w:r w:rsidR="00C8109A">
        <w:rPr>
          <w:rFonts w:ascii="Arial" w:eastAsia="Times New Roman" w:hAnsi="Arial" w:cs="Arial"/>
          <w:color w:val="000000"/>
          <w:sz w:val="20"/>
          <w:szCs w:val="20"/>
        </w:rPr>
        <w:t xml:space="preserve"> </w:t>
      </w:r>
      <w:r w:rsidRPr="00C8109A">
        <w:rPr>
          <w:rFonts w:ascii="Arial" w:eastAsia="Times New Roman" w:hAnsi="Arial" w:cs="Arial"/>
          <w:color w:val="000000"/>
          <w:sz w:val="20"/>
          <w:szCs w:val="20"/>
        </w:rPr>
        <w:t xml:space="preserve"> </w:t>
      </w:r>
      <w:r w:rsidRPr="00C8109A">
        <w:rPr>
          <w:rFonts w:ascii="Arial" w:eastAsia="Times New Roman" w:hAnsi="Arial" w:cs="Arial"/>
          <w:b/>
          <w:bCs/>
          <w:color w:val="000000"/>
          <w:sz w:val="20"/>
          <w:szCs w:val="20"/>
        </w:rPr>
        <w:t>(40 CFR Part 63, Subparts A and JJJJJJ)</w:t>
      </w:r>
    </w:p>
    <w:p w14:paraId="30827845" w14:textId="77777777" w:rsidR="00063B4A" w:rsidRPr="00057A8B" w:rsidRDefault="009F09E5" w:rsidP="00174B84">
      <w:pPr>
        <w:spacing w:before="240" w:after="60" w:line="240" w:lineRule="auto"/>
        <w:jc w:val="both"/>
        <w:rPr>
          <w:rFonts w:ascii="Arial" w:eastAsia="Times New Roman" w:hAnsi="Arial" w:cs="Arial"/>
          <w:sz w:val="20"/>
          <w:szCs w:val="20"/>
        </w:rPr>
      </w:pPr>
      <w:r w:rsidRPr="00057A8B">
        <w:rPr>
          <w:rFonts w:ascii="Arial" w:eastAsia="Times New Roman" w:hAnsi="Arial" w:cs="Arial"/>
          <w:b/>
          <w:bCs/>
          <w:color w:val="000000"/>
          <w:sz w:val="20"/>
          <w:szCs w:val="20"/>
        </w:rPr>
        <w:t>Footnotes:</w:t>
      </w:r>
    </w:p>
    <w:p w14:paraId="184CBE6B" w14:textId="77777777" w:rsidR="00063B4A" w:rsidRPr="00057A8B" w:rsidRDefault="009F09E5" w:rsidP="00174B84">
      <w:pPr>
        <w:spacing w:before="20" w:after="20"/>
        <w:jc w:val="both"/>
        <w:rPr>
          <w:rFonts w:ascii="Arial" w:eastAsia="Times New Roman" w:hAnsi="Arial" w:cs="Arial"/>
          <w:sz w:val="20"/>
          <w:szCs w:val="20"/>
        </w:rPr>
      </w:pPr>
      <w:r w:rsidRPr="00057A8B">
        <w:rPr>
          <w:rFonts w:ascii="Arial" w:eastAsia="Times New Roman" w:hAnsi="Arial" w:cs="Arial"/>
          <w:color w:val="000000"/>
          <w:sz w:val="20"/>
          <w:szCs w:val="20"/>
          <w:vertAlign w:val="superscript"/>
        </w:rPr>
        <w:t xml:space="preserve">1 </w:t>
      </w:r>
      <w:r w:rsidRPr="00057A8B">
        <w:rPr>
          <w:rFonts w:ascii="Arial" w:eastAsia="Times New Roman" w:hAnsi="Arial" w:cs="Arial"/>
          <w:color w:val="000000"/>
          <w:sz w:val="20"/>
          <w:szCs w:val="20"/>
        </w:rPr>
        <w:t>This condition is state only enforceable and was established pursuant to Rule 201(1)(b).</w:t>
      </w:r>
    </w:p>
    <w:p w14:paraId="61740690" w14:textId="6E9CC509" w:rsidR="00063B4A" w:rsidRPr="00057A8B" w:rsidRDefault="009F09E5" w:rsidP="00174B84">
      <w:pPr>
        <w:spacing w:before="20" w:after="20"/>
        <w:jc w:val="both"/>
        <w:rPr>
          <w:rFonts w:ascii="Arial" w:eastAsia="Times New Roman" w:hAnsi="Arial" w:cs="Arial"/>
          <w:sz w:val="20"/>
          <w:szCs w:val="20"/>
        </w:rPr>
      </w:pPr>
      <w:r w:rsidRPr="00057A8B">
        <w:rPr>
          <w:rFonts w:ascii="Arial" w:eastAsia="Times New Roman" w:hAnsi="Arial" w:cs="Arial"/>
          <w:color w:val="000000"/>
          <w:sz w:val="20"/>
          <w:szCs w:val="20"/>
          <w:vertAlign w:val="superscript"/>
        </w:rPr>
        <w:t xml:space="preserve">2 </w:t>
      </w:r>
      <w:r w:rsidRPr="00057A8B">
        <w:rPr>
          <w:rFonts w:ascii="Arial" w:eastAsia="Times New Roman" w:hAnsi="Arial" w:cs="Arial"/>
          <w:color w:val="000000"/>
          <w:sz w:val="20"/>
          <w:szCs w:val="20"/>
        </w:rPr>
        <w:t>This condition is federally enforceable and was established pursuant to Rule 201(1)(a).</w:t>
      </w:r>
    </w:p>
    <w:sectPr w:rsidR="00063B4A" w:rsidRPr="00057A8B" w:rsidSect="00895573">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444"/>
    <w:multiLevelType w:val="hybridMultilevel"/>
    <w:tmpl w:val="68B21498"/>
    <w:lvl w:ilvl="0" w:tplc="15549D3A">
      <w:start w:val="1"/>
      <w:numFmt w:val="lowerRoman"/>
      <w:lvlText w:val="%1."/>
      <w:lvlJc w:val="left"/>
      <w:pPr>
        <w:ind w:left="1080" w:hanging="360"/>
      </w:pPr>
      <w:rPr>
        <w:rFonts w:ascii="Arial" w:hAnsi="Arial" w:cs="Arial" w:hint="default"/>
        <w:b w:val="0"/>
        <w:i w:val="0"/>
        <w:sz w:val="20"/>
        <w:szCs w:val="20"/>
      </w:rPr>
    </w:lvl>
    <w:lvl w:ilvl="1" w:tplc="2D2A02A8" w:tentative="1">
      <w:start w:val="1"/>
      <w:numFmt w:val="lowerLetter"/>
      <w:lvlText w:val="%2."/>
      <w:lvlJc w:val="left"/>
      <w:pPr>
        <w:ind w:left="1800" w:hanging="360"/>
      </w:pPr>
    </w:lvl>
    <w:lvl w:ilvl="2" w:tplc="68C481F0" w:tentative="1">
      <w:start w:val="1"/>
      <w:numFmt w:val="lowerRoman"/>
      <w:lvlText w:val="%3."/>
      <w:lvlJc w:val="right"/>
      <w:pPr>
        <w:ind w:left="2520" w:hanging="180"/>
      </w:pPr>
    </w:lvl>
    <w:lvl w:ilvl="3" w:tplc="6E4020B8" w:tentative="1">
      <w:start w:val="1"/>
      <w:numFmt w:val="decimal"/>
      <w:lvlText w:val="%4."/>
      <w:lvlJc w:val="left"/>
      <w:pPr>
        <w:ind w:left="3240" w:hanging="360"/>
      </w:pPr>
    </w:lvl>
    <w:lvl w:ilvl="4" w:tplc="830268F6" w:tentative="1">
      <w:start w:val="1"/>
      <w:numFmt w:val="lowerLetter"/>
      <w:lvlText w:val="%5."/>
      <w:lvlJc w:val="left"/>
      <w:pPr>
        <w:ind w:left="3960" w:hanging="360"/>
      </w:pPr>
    </w:lvl>
    <w:lvl w:ilvl="5" w:tplc="FB186ABE" w:tentative="1">
      <w:start w:val="1"/>
      <w:numFmt w:val="lowerRoman"/>
      <w:lvlText w:val="%6."/>
      <w:lvlJc w:val="right"/>
      <w:pPr>
        <w:ind w:left="4680" w:hanging="180"/>
      </w:pPr>
    </w:lvl>
    <w:lvl w:ilvl="6" w:tplc="5DE45C1C" w:tentative="1">
      <w:start w:val="1"/>
      <w:numFmt w:val="decimal"/>
      <w:lvlText w:val="%7."/>
      <w:lvlJc w:val="left"/>
      <w:pPr>
        <w:ind w:left="5400" w:hanging="360"/>
      </w:pPr>
    </w:lvl>
    <w:lvl w:ilvl="7" w:tplc="FCFE3292" w:tentative="1">
      <w:start w:val="1"/>
      <w:numFmt w:val="lowerLetter"/>
      <w:lvlText w:val="%8."/>
      <w:lvlJc w:val="left"/>
      <w:pPr>
        <w:ind w:left="6120" w:hanging="360"/>
      </w:pPr>
    </w:lvl>
    <w:lvl w:ilvl="8" w:tplc="59048602" w:tentative="1">
      <w:start w:val="1"/>
      <w:numFmt w:val="lowerRoman"/>
      <w:lvlText w:val="%9."/>
      <w:lvlJc w:val="right"/>
      <w:pPr>
        <w:ind w:left="6840" w:hanging="180"/>
      </w:pPr>
    </w:lvl>
  </w:abstractNum>
  <w:abstractNum w:abstractNumId="1" w15:restartNumberingAfterBreak="0">
    <w:nsid w:val="059F6262"/>
    <w:multiLevelType w:val="hybridMultilevel"/>
    <w:tmpl w:val="9EA806EA"/>
    <w:lvl w:ilvl="0" w:tplc="A00A4CFE">
      <w:start w:val="1"/>
      <w:numFmt w:val="lowerRoman"/>
      <w:lvlText w:val="%1."/>
      <w:lvlJc w:val="left"/>
      <w:pPr>
        <w:ind w:left="1080" w:hanging="360"/>
      </w:pPr>
      <w:rPr>
        <w:rFonts w:ascii="Arial" w:hAnsi="Arial" w:cs="Arial" w:hint="default"/>
        <w:b w:val="0"/>
        <w:i w:val="0"/>
        <w:sz w:val="20"/>
        <w:szCs w:val="20"/>
      </w:rPr>
    </w:lvl>
    <w:lvl w:ilvl="1" w:tplc="35160122">
      <w:start w:val="1"/>
      <w:numFmt w:val="lowerLetter"/>
      <w:lvlText w:val="%2."/>
      <w:lvlJc w:val="left"/>
      <w:pPr>
        <w:ind w:left="1440" w:hanging="360"/>
      </w:pPr>
    </w:lvl>
    <w:lvl w:ilvl="2" w:tplc="D9D8E1A8" w:tentative="1">
      <w:start w:val="1"/>
      <w:numFmt w:val="lowerRoman"/>
      <w:lvlText w:val="%3."/>
      <w:lvlJc w:val="right"/>
      <w:pPr>
        <w:ind w:left="2160" w:hanging="180"/>
      </w:pPr>
    </w:lvl>
    <w:lvl w:ilvl="3" w:tplc="7C48673C" w:tentative="1">
      <w:start w:val="1"/>
      <w:numFmt w:val="decimal"/>
      <w:lvlText w:val="%4."/>
      <w:lvlJc w:val="left"/>
      <w:pPr>
        <w:ind w:left="2880" w:hanging="360"/>
      </w:pPr>
    </w:lvl>
    <w:lvl w:ilvl="4" w:tplc="FB1629CE" w:tentative="1">
      <w:start w:val="1"/>
      <w:numFmt w:val="lowerLetter"/>
      <w:lvlText w:val="%5."/>
      <w:lvlJc w:val="left"/>
      <w:pPr>
        <w:ind w:left="3600" w:hanging="360"/>
      </w:pPr>
    </w:lvl>
    <w:lvl w:ilvl="5" w:tplc="48C62F52" w:tentative="1">
      <w:start w:val="1"/>
      <w:numFmt w:val="lowerRoman"/>
      <w:lvlText w:val="%6."/>
      <w:lvlJc w:val="right"/>
      <w:pPr>
        <w:ind w:left="4320" w:hanging="180"/>
      </w:pPr>
    </w:lvl>
    <w:lvl w:ilvl="6" w:tplc="A678D5BE" w:tentative="1">
      <w:start w:val="1"/>
      <w:numFmt w:val="decimal"/>
      <w:lvlText w:val="%7."/>
      <w:lvlJc w:val="left"/>
      <w:pPr>
        <w:ind w:left="5040" w:hanging="360"/>
      </w:pPr>
    </w:lvl>
    <w:lvl w:ilvl="7" w:tplc="898E7412" w:tentative="1">
      <w:start w:val="1"/>
      <w:numFmt w:val="lowerLetter"/>
      <w:lvlText w:val="%8."/>
      <w:lvlJc w:val="left"/>
      <w:pPr>
        <w:ind w:left="5760" w:hanging="360"/>
      </w:pPr>
    </w:lvl>
    <w:lvl w:ilvl="8" w:tplc="74BE0D04" w:tentative="1">
      <w:start w:val="1"/>
      <w:numFmt w:val="lowerRoman"/>
      <w:lvlText w:val="%9."/>
      <w:lvlJc w:val="right"/>
      <w:pPr>
        <w:ind w:left="6480" w:hanging="180"/>
      </w:pPr>
    </w:lvl>
  </w:abstractNum>
  <w:abstractNum w:abstractNumId="2" w15:restartNumberingAfterBreak="0">
    <w:nsid w:val="06715043"/>
    <w:multiLevelType w:val="multilevel"/>
    <w:tmpl w:val="E4D682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D5A52"/>
    <w:multiLevelType w:val="hybridMultilevel"/>
    <w:tmpl w:val="215AF316"/>
    <w:lvl w:ilvl="0" w:tplc="B394C66E">
      <w:start w:val="1"/>
      <w:numFmt w:val="lowerLetter"/>
      <w:lvlText w:val="%1."/>
      <w:lvlJc w:val="left"/>
      <w:pPr>
        <w:ind w:left="720" w:hanging="360"/>
      </w:pPr>
      <w:rPr>
        <w:rFonts w:hint="default"/>
        <w:b w:val="0"/>
        <w:bCs w:val="0"/>
        <w:sz w:val="20"/>
        <w:szCs w:val="20"/>
      </w:rPr>
    </w:lvl>
    <w:lvl w:ilvl="1" w:tplc="069CF5EE" w:tentative="1">
      <w:start w:val="1"/>
      <w:numFmt w:val="lowerLetter"/>
      <w:lvlText w:val="%2."/>
      <w:lvlJc w:val="left"/>
      <w:pPr>
        <w:ind w:left="1440" w:hanging="360"/>
      </w:pPr>
    </w:lvl>
    <w:lvl w:ilvl="2" w:tplc="6552525E" w:tentative="1">
      <w:start w:val="1"/>
      <w:numFmt w:val="lowerRoman"/>
      <w:lvlText w:val="%3."/>
      <w:lvlJc w:val="right"/>
      <w:pPr>
        <w:ind w:left="2160" w:hanging="180"/>
      </w:pPr>
    </w:lvl>
    <w:lvl w:ilvl="3" w:tplc="3600217A" w:tentative="1">
      <w:start w:val="1"/>
      <w:numFmt w:val="decimal"/>
      <w:lvlText w:val="%4."/>
      <w:lvlJc w:val="left"/>
      <w:pPr>
        <w:ind w:left="2880" w:hanging="360"/>
      </w:pPr>
    </w:lvl>
    <w:lvl w:ilvl="4" w:tplc="CC241A18" w:tentative="1">
      <w:start w:val="1"/>
      <w:numFmt w:val="lowerLetter"/>
      <w:lvlText w:val="%5."/>
      <w:lvlJc w:val="left"/>
      <w:pPr>
        <w:ind w:left="3600" w:hanging="360"/>
      </w:pPr>
    </w:lvl>
    <w:lvl w:ilvl="5" w:tplc="7C9604D6" w:tentative="1">
      <w:start w:val="1"/>
      <w:numFmt w:val="lowerRoman"/>
      <w:lvlText w:val="%6."/>
      <w:lvlJc w:val="right"/>
      <w:pPr>
        <w:ind w:left="4320" w:hanging="180"/>
      </w:pPr>
    </w:lvl>
    <w:lvl w:ilvl="6" w:tplc="CEE82902" w:tentative="1">
      <w:start w:val="1"/>
      <w:numFmt w:val="decimal"/>
      <w:lvlText w:val="%7."/>
      <w:lvlJc w:val="left"/>
      <w:pPr>
        <w:ind w:left="5040" w:hanging="360"/>
      </w:pPr>
    </w:lvl>
    <w:lvl w:ilvl="7" w:tplc="B992A620" w:tentative="1">
      <w:start w:val="1"/>
      <w:numFmt w:val="lowerLetter"/>
      <w:lvlText w:val="%8."/>
      <w:lvlJc w:val="left"/>
      <w:pPr>
        <w:ind w:left="5760" w:hanging="360"/>
      </w:pPr>
    </w:lvl>
    <w:lvl w:ilvl="8" w:tplc="893A06B8" w:tentative="1">
      <w:start w:val="1"/>
      <w:numFmt w:val="lowerRoman"/>
      <w:lvlText w:val="%9."/>
      <w:lvlJc w:val="right"/>
      <w:pPr>
        <w:ind w:left="6480" w:hanging="180"/>
      </w:pPr>
    </w:lvl>
  </w:abstractNum>
  <w:abstractNum w:abstractNumId="4" w15:restartNumberingAfterBreak="0">
    <w:nsid w:val="126617D2"/>
    <w:multiLevelType w:val="multilevel"/>
    <w:tmpl w:val="F3BE85C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9E7401"/>
    <w:multiLevelType w:val="multilevel"/>
    <w:tmpl w:val="1972A0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A65917"/>
    <w:multiLevelType w:val="multilevel"/>
    <w:tmpl w:val="A27AD170"/>
    <w:lvl w:ilvl="0">
      <w:start w:val="5"/>
      <w:numFmt w:val="decimal"/>
      <w:lvlText w:val="%1."/>
      <w:lvlJc w:val="left"/>
      <w:pPr>
        <w:ind w:left="360" w:hanging="360"/>
      </w:pPr>
      <w:rPr>
        <w:rFonts w:ascii="Arial" w:hAnsi="Arial" w:cs="Arial" w:hint="default"/>
        <w:b w:val="0"/>
        <w:bCs w:val="0"/>
        <w:sz w:val="20"/>
        <w:szCs w:val="2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C2B6155"/>
    <w:multiLevelType w:val="hybridMultilevel"/>
    <w:tmpl w:val="6B68F88A"/>
    <w:lvl w:ilvl="0" w:tplc="CFEC31F8">
      <w:start w:val="1"/>
      <w:numFmt w:val="lowerLetter"/>
      <w:lvlText w:val="%1."/>
      <w:lvlJc w:val="left"/>
      <w:pPr>
        <w:ind w:left="720" w:hanging="360"/>
      </w:pPr>
      <w:rPr>
        <w:rFonts w:ascii="Arial" w:hAnsi="Arial" w:cs="Arial" w:hint="default"/>
        <w:b w:val="0"/>
        <w:bCs w:val="0"/>
        <w:sz w:val="20"/>
        <w:szCs w:val="20"/>
      </w:rPr>
    </w:lvl>
    <w:lvl w:ilvl="1" w:tplc="521C7BD0" w:tentative="1">
      <w:start w:val="1"/>
      <w:numFmt w:val="lowerLetter"/>
      <w:lvlText w:val="%2."/>
      <w:lvlJc w:val="left"/>
      <w:pPr>
        <w:ind w:left="1440" w:hanging="360"/>
      </w:pPr>
    </w:lvl>
    <w:lvl w:ilvl="2" w:tplc="5DD0576C" w:tentative="1">
      <w:start w:val="1"/>
      <w:numFmt w:val="lowerRoman"/>
      <w:lvlText w:val="%3."/>
      <w:lvlJc w:val="right"/>
      <w:pPr>
        <w:ind w:left="2160" w:hanging="180"/>
      </w:pPr>
    </w:lvl>
    <w:lvl w:ilvl="3" w:tplc="28C8EE6E" w:tentative="1">
      <w:start w:val="1"/>
      <w:numFmt w:val="decimal"/>
      <w:lvlText w:val="%4."/>
      <w:lvlJc w:val="left"/>
      <w:pPr>
        <w:ind w:left="2880" w:hanging="360"/>
      </w:pPr>
    </w:lvl>
    <w:lvl w:ilvl="4" w:tplc="AEE63AE2" w:tentative="1">
      <w:start w:val="1"/>
      <w:numFmt w:val="lowerLetter"/>
      <w:lvlText w:val="%5."/>
      <w:lvlJc w:val="left"/>
      <w:pPr>
        <w:ind w:left="3600" w:hanging="360"/>
      </w:pPr>
    </w:lvl>
    <w:lvl w:ilvl="5" w:tplc="3EFCBE5E" w:tentative="1">
      <w:start w:val="1"/>
      <w:numFmt w:val="lowerRoman"/>
      <w:lvlText w:val="%6."/>
      <w:lvlJc w:val="right"/>
      <w:pPr>
        <w:ind w:left="4320" w:hanging="180"/>
      </w:pPr>
    </w:lvl>
    <w:lvl w:ilvl="6" w:tplc="C3005C94" w:tentative="1">
      <w:start w:val="1"/>
      <w:numFmt w:val="decimal"/>
      <w:lvlText w:val="%7."/>
      <w:lvlJc w:val="left"/>
      <w:pPr>
        <w:ind w:left="5040" w:hanging="360"/>
      </w:pPr>
    </w:lvl>
    <w:lvl w:ilvl="7" w:tplc="26FACF86" w:tentative="1">
      <w:start w:val="1"/>
      <w:numFmt w:val="lowerLetter"/>
      <w:lvlText w:val="%8."/>
      <w:lvlJc w:val="left"/>
      <w:pPr>
        <w:ind w:left="5760" w:hanging="360"/>
      </w:pPr>
    </w:lvl>
    <w:lvl w:ilvl="8" w:tplc="EFD8B3CC" w:tentative="1">
      <w:start w:val="1"/>
      <w:numFmt w:val="lowerRoman"/>
      <w:lvlText w:val="%9."/>
      <w:lvlJc w:val="right"/>
      <w:pPr>
        <w:ind w:left="6480" w:hanging="180"/>
      </w:pPr>
    </w:lvl>
  </w:abstractNum>
  <w:abstractNum w:abstractNumId="8" w15:restartNumberingAfterBreak="0">
    <w:nsid w:val="1D21306E"/>
    <w:multiLevelType w:val="multilevel"/>
    <w:tmpl w:val="637CE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1A40D5"/>
    <w:multiLevelType w:val="multilevel"/>
    <w:tmpl w:val="EB1879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175FBF"/>
    <w:multiLevelType w:val="multilevel"/>
    <w:tmpl w:val="C5D059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9C3A1D"/>
    <w:multiLevelType w:val="multilevel"/>
    <w:tmpl w:val="35EE5F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DD521D"/>
    <w:multiLevelType w:val="multilevel"/>
    <w:tmpl w:val="AE92B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074733"/>
    <w:multiLevelType w:val="hybridMultilevel"/>
    <w:tmpl w:val="A6EE656C"/>
    <w:lvl w:ilvl="0" w:tplc="3DD80B4E">
      <w:start w:val="2"/>
      <w:numFmt w:val="decimal"/>
      <w:lvlText w:val="%1."/>
      <w:lvlJc w:val="left"/>
      <w:pPr>
        <w:ind w:left="360" w:hanging="360"/>
      </w:pPr>
      <w:rPr>
        <w:rFonts w:ascii="Arial" w:hAnsi="Arial" w:cs="Arial" w:hint="default"/>
        <w:b w:val="0"/>
        <w:sz w:val="20"/>
        <w:szCs w:val="20"/>
      </w:rPr>
    </w:lvl>
    <w:lvl w:ilvl="1" w:tplc="0B1EFFB2" w:tentative="1">
      <w:start w:val="1"/>
      <w:numFmt w:val="lowerLetter"/>
      <w:lvlText w:val="%2."/>
      <w:lvlJc w:val="left"/>
      <w:pPr>
        <w:ind w:left="1440" w:hanging="360"/>
      </w:pPr>
    </w:lvl>
    <w:lvl w:ilvl="2" w:tplc="F3D022EC" w:tentative="1">
      <w:start w:val="1"/>
      <w:numFmt w:val="lowerRoman"/>
      <w:lvlText w:val="%3."/>
      <w:lvlJc w:val="right"/>
      <w:pPr>
        <w:ind w:left="2160" w:hanging="180"/>
      </w:pPr>
    </w:lvl>
    <w:lvl w:ilvl="3" w:tplc="00784C06" w:tentative="1">
      <w:start w:val="1"/>
      <w:numFmt w:val="decimal"/>
      <w:lvlText w:val="%4."/>
      <w:lvlJc w:val="left"/>
      <w:pPr>
        <w:ind w:left="2880" w:hanging="360"/>
      </w:pPr>
    </w:lvl>
    <w:lvl w:ilvl="4" w:tplc="19D8B80E" w:tentative="1">
      <w:start w:val="1"/>
      <w:numFmt w:val="lowerLetter"/>
      <w:lvlText w:val="%5."/>
      <w:lvlJc w:val="left"/>
      <w:pPr>
        <w:ind w:left="3600" w:hanging="360"/>
      </w:pPr>
    </w:lvl>
    <w:lvl w:ilvl="5" w:tplc="A2FAD066" w:tentative="1">
      <w:start w:val="1"/>
      <w:numFmt w:val="lowerRoman"/>
      <w:lvlText w:val="%6."/>
      <w:lvlJc w:val="right"/>
      <w:pPr>
        <w:ind w:left="4320" w:hanging="180"/>
      </w:pPr>
    </w:lvl>
    <w:lvl w:ilvl="6" w:tplc="4D9CE3EC" w:tentative="1">
      <w:start w:val="1"/>
      <w:numFmt w:val="decimal"/>
      <w:lvlText w:val="%7."/>
      <w:lvlJc w:val="left"/>
      <w:pPr>
        <w:ind w:left="5040" w:hanging="360"/>
      </w:pPr>
    </w:lvl>
    <w:lvl w:ilvl="7" w:tplc="603E9044" w:tentative="1">
      <w:start w:val="1"/>
      <w:numFmt w:val="lowerLetter"/>
      <w:lvlText w:val="%8."/>
      <w:lvlJc w:val="left"/>
      <w:pPr>
        <w:ind w:left="5760" w:hanging="360"/>
      </w:pPr>
    </w:lvl>
    <w:lvl w:ilvl="8" w:tplc="ED50C08C" w:tentative="1">
      <w:start w:val="1"/>
      <w:numFmt w:val="lowerRoman"/>
      <w:lvlText w:val="%9."/>
      <w:lvlJc w:val="right"/>
      <w:pPr>
        <w:ind w:left="6480" w:hanging="180"/>
      </w:pPr>
    </w:lvl>
  </w:abstractNum>
  <w:abstractNum w:abstractNumId="14" w15:restartNumberingAfterBreak="0">
    <w:nsid w:val="425A28F9"/>
    <w:multiLevelType w:val="hybridMultilevel"/>
    <w:tmpl w:val="1226B4FA"/>
    <w:lvl w:ilvl="0" w:tplc="F154C506">
      <w:start w:val="7"/>
      <w:numFmt w:val="decimal"/>
      <w:lvlText w:val="%1."/>
      <w:lvlJc w:val="left"/>
      <w:pPr>
        <w:ind w:left="360" w:hanging="360"/>
      </w:pPr>
      <w:rPr>
        <w:rFonts w:ascii="Arial" w:hAnsi="Arial" w:cs="Arial" w:hint="default"/>
        <w:b w:val="0"/>
        <w:sz w:val="20"/>
        <w:szCs w:val="20"/>
      </w:rPr>
    </w:lvl>
    <w:lvl w:ilvl="1" w:tplc="220ED95A" w:tentative="1">
      <w:start w:val="1"/>
      <w:numFmt w:val="lowerLetter"/>
      <w:lvlText w:val="%2."/>
      <w:lvlJc w:val="left"/>
      <w:pPr>
        <w:ind w:left="1440" w:hanging="360"/>
      </w:pPr>
    </w:lvl>
    <w:lvl w:ilvl="2" w:tplc="00CE2878" w:tentative="1">
      <w:start w:val="1"/>
      <w:numFmt w:val="lowerRoman"/>
      <w:lvlText w:val="%3."/>
      <w:lvlJc w:val="right"/>
      <w:pPr>
        <w:ind w:left="2160" w:hanging="180"/>
      </w:pPr>
    </w:lvl>
    <w:lvl w:ilvl="3" w:tplc="DEB0B25C" w:tentative="1">
      <w:start w:val="1"/>
      <w:numFmt w:val="decimal"/>
      <w:lvlText w:val="%4."/>
      <w:lvlJc w:val="left"/>
      <w:pPr>
        <w:ind w:left="2880" w:hanging="360"/>
      </w:pPr>
    </w:lvl>
    <w:lvl w:ilvl="4" w:tplc="E676FEE8" w:tentative="1">
      <w:start w:val="1"/>
      <w:numFmt w:val="lowerLetter"/>
      <w:lvlText w:val="%5."/>
      <w:lvlJc w:val="left"/>
      <w:pPr>
        <w:ind w:left="3600" w:hanging="360"/>
      </w:pPr>
    </w:lvl>
    <w:lvl w:ilvl="5" w:tplc="C2E68968" w:tentative="1">
      <w:start w:val="1"/>
      <w:numFmt w:val="lowerRoman"/>
      <w:lvlText w:val="%6."/>
      <w:lvlJc w:val="right"/>
      <w:pPr>
        <w:ind w:left="4320" w:hanging="180"/>
      </w:pPr>
    </w:lvl>
    <w:lvl w:ilvl="6" w:tplc="FF12FD3A" w:tentative="1">
      <w:start w:val="1"/>
      <w:numFmt w:val="decimal"/>
      <w:lvlText w:val="%7."/>
      <w:lvlJc w:val="left"/>
      <w:pPr>
        <w:ind w:left="5040" w:hanging="360"/>
      </w:pPr>
    </w:lvl>
    <w:lvl w:ilvl="7" w:tplc="2FA8C07C" w:tentative="1">
      <w:start w:val="1"/>
      <w:numFmt w:val="lowerLetter"/>
      <w:lvlText w:val="%8."/>
      <w:lvlJc w:val="left"/>
      <w:pPr>
        <w:ind w:left="5760" w:hanging="360"/>
      </w:pPr>
    </w:lvl>
    <w:lvl w:ilvl="8" w:tplc="DDACA254" w:tentative="1">
      <w:start w:val="1"/>
      <w:numFmt w:val="lowerRoman"/>
      <w:lvlText w:val="%9."/>
      <w:lvlJc w:val="right"/>
      <w:pPr>
        <w:ind w:left="6480" w:hanging="180"/>
      </w:pPr>
    </w:lvl>
  </w:abstractNum>
  <w:abstractNum w:abstractNumId="15" w15:restartNumberingAfterBreak="0">
    <w:nsid w:val="466A0A6E"/>
    <w:multiLevelType w:val="hybridMultilevel"/>
    <w:tmpl w:val="6FDA7022"/>
    <w:lvl w:ilvl="0" w:tplc="546C08EA">
      <w:start w:val="1"/>
      <w:numFmt w:val="lowerRoman"/>
      <w:lvlText w:val="%1."/>
      <w:lvlJc w:val="left"/>
      <w:pPr>
        <w:ind w:left="1080" w:hanging="360"/>
      </w:pPr>
      <w:rPr>
        <w:rFonts w:ascii="Arial" w:hAnsi="Arial" w:cs="Arial" w:hint="default"/>
        <w:b w:val="0"/>
        <w:i w:val="0"/>
        <w:sz w:val="20"/>
        <w:szCs w:val="20"/>
      </w:rPr>
    </w:lvl>
    <w:lvl w:ilvl="1" w:tplc="756417D4" w:tentative="1">
      <w:start w:val="1"/>
      <w:numFmt w:val="lowerLetter"/>
      <w:lvlText w:val="%2."/>
      <w:lvlJc w:val="left"/>
      <w:pPr>
        <w:ind w:left="1800" w:hanging="360"/>
      </w:pPr>
    </w:lvl>
    <w:lvl w:ilvl="2" w:tplc="89EE0032" w:tentative="1">
      <w:start w:val="1"/>
      <w:numFmt w:val="lowerRoman"/>
      <w:lvlText w:val="%3."/>
      <w:lvlJc w:val="right"/>
      <w:pPr>
        <w:ind w:left="2520" w:hanging="180"/>
      </w:pPr>
    </w:lvl>
    <w:lvl w:ilvl="3" w:tplc="F928F984" w:tentative="1">
      <w:start w:val="1"/>
      <w:numFmt w:val="decimal"/>
      <w:lvlText w:val="%4."/>
      <w:lvlJc w:val="left"/>
      <w:pPr>
        <w:ind w:left="3240" w:hanging="360"/>
      </w:pPr>
    </w:lvl>
    <w:lvl w:ilvl="4" w:tplc="02106136" w:tentative="1">
      <w:start w:val="1"/>
      <w:numFmt w:val="lowerLetter"/>
      <w:lvlText w:val="%5."/>
      <w:lvlJc w:val="left"/>
      <w:pPr>
        <w:ind w:left="3960" w:hanging="360"/>
      </w:pPr>
    </w:lvl>
    <w:lvl w:ilvl="5" w:tplc="C560B08A" w:tentative="1">
      <w:start w:val="1"/>
      <w:numFmt w:val="lowerRoman"/>
      <w:lvlText w:val="%6."/>
      <w:lvlJc w:val="right"/>
      <w:pPr>
        <w:ind w:left="4680" w:hanging="180"/>
      </w:pPr>
    </w:lvl>
    <w:lvl w:ilvl="6" w:tplc="0C7649F8" w:tentative="1">
      <w:start w:val="1"/>
      <w:numFmt w:val="decimal"/>
      <w:lvlText w:val="%7."/>
      <w:lvlJc w:val="left"/>
      <w:pPr>
        <w:ind w:left="5400" w:hanging="360"/>
      </w:pPr>
    </w:lvl>
    <w:lvl w:ilvl="7" w:tplc="0F2A2040" w:tentative="1">
      <w:start w:val="1"/>
      <w:numFmt w:val="lowerLetter"/>
      <w:lvlText w:val="%8."/>
      <w:lvlJc w:val="left"/>
      <w:pPr>
        <w:ind w:left="6120" w:hanging="360"/>
      </w:pPr>
    </w:lvl>
    <w:lvl w:ilvl="8" w:tplc="90269312" w:tentative="1">
      <w:start w:val="1"/>
      <w:numFmt w:val="lowerRoman"/>
      <w:lvlText w:val="%9."/>
      <w:lvlJc w:val="right"/>
      <w:pPr>
        <w:ind w:left="6840" w:hanging="180"/>
      </w:pPr>
    </w:lvl>
  </w:abstractNum>
  <w:abstractNum w:abstractNumId="16" w15:restartNumberingAfterBreak="0">
    <w:nsid w:val="483E47B7"/>
    <w:multiLevelType w:val="hybridMultilevel"/>
    <w:tmpl w:val="13E4557C"/>
    <w:lvl w:ilvl="0" w:tplc="E0D60576">
      <w:start w:val="7"/>
      <w:numFmt w:val="lowerLetter"/>
      <w:lvlText w:val="%1."/>
      <w:lvlJc w:val="left"/>
      <w:pPr>
        <w:ind w:left="720" w:hanging="360"/>
      </w:pPr>
      <w:rPr>
        <w:rFonts w:ascii="Arial" w:hAnsi="Arial" w:cs="Arial" w:hint="default"/>
        <w:b w:val="0"/>
        <w:bCs w:val="0"/>
        <w:sz w:val="20"/>
        <w:szCs w:val="20"/>
      </w:rPr>
    </w:lvl>
    <w:lvl w:ilvl="1" w:tplc="D4323206" w:tentative="1">
      <w:start w:val="1"/>
      <w:numFmt w:val="lowerLetter"/>
      <w:lvlText w:val="%2."/>
      <w:lvlJc w:val="left"/>
      <w:pPr>
        <w:ind w:left="1440" w:hanging="360"/>
      </w:pPr>
    </w:lvl>
    <w:lvl w:ilvl="2" w:tplc="594E62C6" w:tentative="1">
      <w:start w:val="1"/>
      <w:numFmt w:val="lowerRoman"/>
      <w:lvlText w:val="%3."/>
      <w:lvlJc w:val="right"/>
      <w:pPr>
        <w:ind w:left="2160" w:hanging="180"/>
      </w:pPr>
    </w:lvl>
    <w:lvl w:ilvl="3" w:tplc="A68E19EC" w:tentative="1">
      <w:start w:val="1"/>
      <w:numFmt w:val="decimal"/>
      <w:lvlText w:val="%4."/>
      <w:lvlJc w:val="left"/>
      <w:pPr>
        <w:ind w:left="2880" w:hanging="360"/>
      </w:pPr>
    </w:lvl>
    <w:lvl w:ilvl="4" w:tplc="D9947DDA" w:tentative="1">
      <w:start w:val="1"/>
      <w:numFmt w:val="lowerLetter"/>
      <w:lvlText w:val="%5."/>
      <w:lvlJc w:val="left"/>
      <w:pPr>
        <w:ind w:left="3600" w:hanging="360"/>
      </w:pPr>
    </w:lvl>
    <w:lvl w:ilvl="5" w:tplc="80165796" w:tentative="1">
      <w:start w:val="1"/>
      <w:numFmt w:val="lowerRoman"/>
      <w:lvlText w:val="%6."/>
      <w:lvlJc w:val="right"/>
      <w:pPr>
        <w:ind w:left="4320" w:hanging="180"/>
      </w:pPr>
    </w:lvl>
    <w:lvl w:ilvl="6" w:tplc="95624118" w:tentative="1">
      <w:start w:val="1"/>
      <w:numFmt w:val="decimal"/>
      <w:lvlText w:val="%7."/>
      <w:lvlJc w:val="left"/>
      <w:pPr>
        <w:ind w:left="5040" w:hanging="360"/>
      </w:pPr>
    </w:lvl>
    <w:lvl w:ilvl="7" w:tplc="A7284470" w:tentative="1">
      <w:start w:val="1"/>
      <w:numFmt w:val="lowerLetter"/>
      <w:lvlText w:val="%8."/>
      <w:lvlJc w:val="left"/>
      <w:pPr>
        <w:ind w:left="5760" w:hanging="360"/>
      </w:pPr>
    </w:lvl>
    <w:lvl w:ilvl="8" w:tplc="E578EF16" w:tentative="1">
      <w:start w:val="1"/>
      <w:numFmt w:val="lowerRoman"/>
      <w:lvlText w:val="%9."/>
      <w:lvlJc w:val="right"/>
      <w:pPr>
        <w:ind w:left="6480" w:hanging="180"/>
      </w:pPr>
    </w:lvl>
  </w:abstractNum>
  <w:abstractNum w:abstractNumId="17" w15:restartNumberingAfterBreak="0">
    <w:nsid w:val="48ED009F"/>
    <w:multiLevelType w:val="hybridMultilevel"/>
    <w:tmpl w:val="06207370"/>
    <w:lvl w:ilvl="0" w:tplc="DBEEF7F4">
      <w:start w:val="1"/>
      <w:numFmt w:val="lowerRoman"/>
      <w:lvlText w:val="%1."/>
      <w:lvlJc w:val="left"/>
      <w:pPr>
        <w:ind w:left="1080" w:hanging="360"/>
      </w:pPr>
      <w:rPr>
        <w:rFonts w:ascii="Arial" w:hAnsi="Arial" w:cs="Arial" w:hint="default"/>
        <w:b w:val="0"/>
        <w:i w:val="0"/>
        <w:sz w:val="20"/>
        <w:szCs w:val="20"/>
      </w:rPr>
    </w:lvl>
    <w:lvl w:ilvl="1" w:tplc="F74A74B6" w:tentative="1">
      <w:start w:val="1"/>
      <w:numFmt w:val="lowerLetter"/>
      <w:lvlText w:val="%2."/>
      <w:lvlJc w:val="left"/>
      <w:pPr>
        <w:ind w:left="1800" w:hanging="360"/>
      </w:pPr>
    </w:lvl>
    <w:lvl w:ilvl="2" w:tplc="E0CA26F4" w:tentative="1">
      <w:start w:val="1"/>
      <w:numFmt w:val="lowerRoman"/>
      <w:lvlText w:val="%3."/>
      <w:lvlJc w:val="right"/>
      <w:pPr>
        <w:ind w:left="2520" w:hanging="180"/>
      </w:pPr>
    </w:lvl>
    <w:lvl w:ilvl="3" w:tplc="BFFE01A8" w:tentative="1">
      <w:start w:val="1"/>
      <w:numFmt w:val="decimal"/>
      <w:lvlText w:val="%4."/>
      <w:lvlJc w:val="left"/>
      <w:pPr>
        <w:ind w:left="3240" w:hanging="360"/>
      </w:pPr>
    </w:lvl>
    <w:lvl w:ilvl="4" w:tplc="C16CCC1C" w:tentative="1">
      <w:start w:val="1"/>
      <w:numFmt w:val="lowerLetter"/>
      <w:lvlText w:val="%5."/>
      <w:lvlJc w:val="left"/>
      <w:pPr>
        <w:ind w:left="3960" w:hanging="360"/>
      </w:pPr>
    </w:lvl>
    <w:lvl w:ilvl="5" w:tplc="F0BE53A2" w:tentative="1">
      <w:start w:val="1"/>
      <w:numFmt w:val="lowerRoman"/>
      <w:lvlText w:val="%6."/>
      <w:lvlJc w:val="right"/>
      <w:pPr>
        <w:ind w:left="4680" w:hanging="180"/>
      </w:pPr>
    </w:lvl>
    <w:lvl w:ilvl="6" w:tplc="FC029DD4" w:tentative="1">
      <w:start w:val="1"/>
      <w:numFmt w:val="decimal"/>
      <w:lvlText w:val="%7."/>
      <w:lvlJc w:val="left"/>
      <w:pPr>
        <w:ind w:left="5400" w:hanging="360"/>
      </w:pPr>
    </w:lvl>
    <w:lvl w:ilvl="7" w:tplc="606215D6" w:tentative="1">
      <w:start w:val="1"/>
      <w:numFmt w:val="lowerLetter"/>
      <w:lvlText w:val="%8."/>
      <w:lvlJc w:val="left"/>
      <w:pPr>
        <w:ind w:left="6120" w:hanging="360"/>
      </w:pPr>
    </w:lvl>
    <w:lvl w:ilvl="8" w:tplc="26A4AFBE" w:tentative="1">
      <w:start w:val="1"/>
      <w:numFmt w:val="lowerRoman"/>
      <w:lvlText w:val="%9."/>
      <w:lvlJc w:val="right"/>
      <w:pPr>
        <w:ind w:left="6840" w:hanging="180"/>
      </w:pPr>
    </w:lvl>
  </w:abstractNum>
  <w:abstractNum w:abstractNumId="18" w15:restartNumberingAfterBreak="0">
    <w:nsid w:val="4DBF5AA8"/>
    <w:multiLevelType w:val="multilevel"/>
    <w:tmpl w:val="379A7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1442FB"/>
    <w:multiLevelType w:val="multilevel"/>
    <w:tmpl w:val="91DE93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A53CF6"/>
    <w:multiLevelType w:val="hybridMultilevel"/>
    <w:tmpl w:val="3DB25E44"/>
    <w:lvl w:ilvl="0" w:tplc="3560187C">
      <w:start w:val="1"/>
      <w:numFmt w:val="decimal"/>
      <w:lvlText w:val="%1."/>
      <w:lvlJc w:val="left"/>
      <w:pPr>
        <w:ind w:left="360" w:hanging="360"/>
      </w:pPr>
      <w:rPr>
        <w:rFonts w:ascii="Arial" w:hAnsi="Arial" w:cs="Arial" w:hint="default"/>
        <w:b w:val="0"/>
        <w:sz w:val="20"/>
        <w:szCs w:val="20"/>
      </w:rPr>
    </w:lvl>
    <w:lvl w:ilvl="1" w:tplc="B0820370" w:tentative="1">
      <w:start w:val="1"/>
      <w:numFmt w:val="lowerLetter"/>
      <w:lvlText w:val="%2."/>
      <w:lvlJc w:val="left"/>
      <w:pPr>
        <w:ind w:left="1440" w:hanging="360"/>
      </w:pPr>
    </w:lvl>
    <w:lvl w:ilvl="2" w:tplc="516606D4" w:tentative="1">
      <w:start w:val="1"/>
      <w:numFmt w:val="lowerRoman"/>
      <w:lvlText w:val="%3."/>
      <w:lvlJc w:val="right"/>
      <w:pPr>
        <w:ind w:left="2160" w:hanging="180"/>
      </w:pPr>
    </w:lvl>
    <w:lvl w:ilvl="3" w:tplc="6F9625B0" w:tentative="1">
      <w:start w:val="1"/>
      <w:numFmt w:val="decimal"/>
      <w:lvlText w:val="%4."/>
      <w:lvlJc w:val="left"/>
      <w:pPr>
        <w:ind w:left="2880" w:hanging="360"/>
      </w:pPr>
    </w:lvl>
    <w:lvl w:ilvl="4" w:tplc="533A2D46" w:tentative="1">
      <w:start w:val="1"/>
      <w:numFmt w:val="lowerLetter"/>
      <w:lvlText w:val="%5."/>
      <w:lvlJc w:val="left"/>
      <w:pPr>
        <w:ind w:left="3600" w:hanging="360"/>
      </w:pPr>
    </w:lvl>
    <w:lvl w:ilvl="5" w:tplc="29D4F48C" w:tentative="1">
      <w:start w:val="1"/>
      <w:numFmt w:val="lowerRoman"/>
      <w:lvlText w:val="%6."/>
      <w:lvlJc w:val="right"/>
      <w:pPr>
        <w:ind w:left="4320" w:hanging="180"/>
      </w:pPr>
    </w:lvl>
    <w:lvl w:ilvl="6" w:tplc="5EB8519C" w:tentative="1">
      <w:start w:val="1"/>
      <w:numFmt w:val="decimal"/>
      <w:lvlText w:val="%7."/>
      <w:lvlJc w:val="left"/>
      <w:pPr>
        <w:ind w:left="5040" w:hanging="360"/>
      </w:pPr>
    </w:lvl>
    <w:lvl w:ilvl="7" w:tplc="409ABBE0" w:tentative="1">
      <w:start w:val="1"/>
      <w:numFmt w:val="lowerLetter"/>
      <w:lvlText w:val="%8."/>
      <w:lvlJc w:val="left"/>
      <w:pPr>
        <w:ind w:left="5760" w:hanging="360"/>
      </w:pPr>
    </w:lvl>
    <w:lvl w:ilvl="8" w:tplc="2AE270C0" w:tentative="1">
      <w:start w:val="1"/>
      <w:numFmt w:val="lowerRoman"/>
      <w:lvlText w:val="%9."/>
      <w:lvlJc w:val="right"/>
      <w:pPr>
        <w:ind w:left="6480" w:hanging="180"/>
      </w:pPr>
    </w:lvl>
  </w:abstractNum>
  <w:abstractNum w:abstractNumId="21" w15:restartNumberingAfterBreak="0">
    <w:nsid w:val="57C73CAA"/>
    <w:multiLevelType w:val="hybridMultilevel"/>
    <w:tmpl w:val="A8F66F16"/>
    <w:lvl w:ilvl="0" w:tplc="379A9A72">
      <w:start w:val="1"/>
      <w:numFmt w:val="decimal"/>
      <w:lvlText w:val="%1."/>
      <w:lvlJc w:val="left"/>
      <w:pPr>
        <w:ind w:left="360" w:hanging="360"/>
      </w:pPr>
      <w:rPr>
        <w:rFonts w:ascii="Arial" w:hAnsi="Arial" w:cs="Arial" w:hint="default"/>
        <w:b w:val="0"/>
        <w:sz w:val="20"/>
        <w:szCs w:val="20"/>
      </w:rPr>
    </w:lvl>
    <w:lvl w:ilvl="1" w:tplc="82DCC3EE" w:tentative="1">
      <w:start w:val="1"/>
      <w:numFmt w:val="lowerLetter"/>
      <w:lvlText w:val="%2."/>
      <w:lvlJc w:val="left"/>
      <w:pPr>
        <w:ind w:left="1440" w:hanging="360"/>
      </w:pPr>
    </w:lvl>
    <w:lvl w:ilvl="2" w:tplc="1660C69E" w:tentative="1">
      <w:start w:val="1"/>
      <w:numFmt w:val="lowerRoman"/>
      <w:lvlText w:val="%3."/>
      <w:lvlJc w:val="right"/>
      <w:pPr>
        <w:ind w:left="2160" w:hanging="180"/>
      </w:pPr>
    </w:lvl>
    <w:lvl w:ilvl="3" w:tplc="3064E44E" w:tentative="1">
      <w:start w:val="1"/>
      <w:numFmt w:val="decimal"/>
      <w:lvlText w:val="%4."/>
      <w:lvlJc w:val="left"/>
      <w:pPr>
        <w:ind w:left="2880" w:hanging="360"/>
      </w:pPr>
    </w:lvl>
    <w:lvl w:ilvl="4" w:tplc="1F7427CC" w:tentative="1">
      <w:start w:val="1"/>
      <w:numFmt w:val="lowerLetter"/>
      <w:lvlText w:val="%5."/>
      <w:lvlJc w:val="left"/>
      <w:pPr>
        <w:ind w:left="3600" w:hanging="360"/>
      </w:pPr>
    </w:lvl>
    <w:lvl w:ilvl="5" w:tplc="24CAB37E" w:tentative="1">
      <w:start w:val="1"/>
      <w:numFmt w:val="lowerRoman"/>
      <w:lvlText w:val="%6."/>
      <w:lvlJc w:val="right"/>
      <w:pPr>
        <w:ind w:left="4320" w:hanging="180"/>
      </w:pPr>
    </w:lvl>
    <w:lvl w:ilvl="6" w:tplc="7FA68BC0" w:tentative="1">
      <w:start w:val="1"/>
      <w:numFmt w:val="decimal"/>
      <w:lvlText w:val="%7."/>
      <w:lvlJc w:val="left"/>
      <w:pPr>
        <w:ind w:left="5040" w:hanging="360"/>
      </w:pPr>
    </w:lvl>
    <w:lvl w:ilvl="7" w:tplc="D952A160" w:tentative="1">
      <w:start w:val="1"/>
      <w:numFmt w:val="lowerLetter"/>
      <w:lvlText w:val="%8."/>
      <w:lvlJc w:val="left"/>
      <w:pPr>
        <w:ind w:left="5760" w:hanging="360"/>
      </w:pPr>
    </w:lvl>
    <w:lvl w:ilvl="8" w:tplc="785023EA" w:tentative="1">
      <w:start w:val="1"/>
      <w:numFmt w:val="lowerRoman"/>
      <w:lvlText w:val="%9."/>
      <w:lvlJc w:val="right"/>
      <w:pPr>
        <w:ind w:left="6480" w:hanging="180"/>
      </w:pPr>
    </w:lvl>
  </w:abstractNum>
  <w:abstractNum w:abstractNumId="22" w15:restartNumberingAfterBreak="0">
    <w:nsid w:val="59486A1F"/>
    <w:multiLevelType w:val="hybridMultilevel"/>
    <w:tmpl w:val="F25663B4"/>
    <w:lvl w:ilvl="0" w:tplc="0B4CE68E">
      <w:start w:val="6"/>
      <w:numFmt w:val="decimal"/>
      <w:lvlText w:val="%1."/>
      <w:lvlJc w:val="left"/>
      <w:pPr>
        <w:ind w:left="360" w:hanging="360"/>
      </w:pPr>
      <w:rPr>
        <w:rFonts w:ascii="Arial" w:hAnsi="Arial" w:cs="Arial" w:hint="default"/>
        <w:b w:val="0"/>
        <w:sz w:val="20"/>
        <w:szCs w:val="20"/>
      </w:rPr>
    </w:lvl>
    <w:lvl w:ilvl="1" w:tplc="5F0A6294" w:tentative="1">
      <w:start w:val="1"/>
      <w:numFmt w:val="lowerLetter"/>
      <w:lvlText w:val="%2."/>
      <w:lvlJc w:val="left"/>
      <w:pPr>
        <w:ind w:left="1440" w:hanging="360"/>
      </w:pPr>
    </w:lvl>
    <w:lvl w:ilvl="2" w:tplc="3988A01A" w:tentative="1">
      <w:start w:val="1"/>
      <w:numFmt w:val="lowerRoman"/>
      <w:lvlText w:val="%3."/>
      <w:lvlJc w:val="right"/>
      <w:pPr>
        <w:ind w:left="2160" w:hanging="180"/>
      </w:pPr>
    </w:lvl>
    <w:lvl w:ilvl="3" w:tplc="9626D334" w:tentative="1">
      <w:start w:val="1"/>
      <w:numFmt w:val="decimal"/>
      <w:lvlText w:val="%4."/>
      <w:lvlJc w:val="left"/>
      <w:pPr>
        <w:ind w:left="2880" w:hanging="360"/>
      </w:pPr>
    </w:lvl>
    <w:lvl w:ilvl="4" w:tplc="14460AE8" w:tentative="1">
      <w:start w:val="1"/>
      <w:numFmt w:val="lowerLetter"/>
      <w:lvlText w:val="%5."/>
      <w:lvlJc w:val="left"/>
      <w:pPr>
        <w:ind w:left="3600" w:hanging="360"/>
      </w:pPr>
    </w:lvl>
    <w:lvl w:ilvl="5" w:tplc="B016CE3C" w:tentative="1">
      <w:start w:val="1"/>
      <w:numFmt w:val="lowerRoman"/>
      <w:lvlText w:val="%6."/>
      <w:lvlJc w:val="right"/>
      <w:pPr>
        <w:ind w:left="4320" w:hanging="180"/>
      </w:pPr>
    </w:lvl>
    <w:lvl w:ilvl="6" w:tplc="8CAE9AD8" w:tentative="1">
      <w:start w:val="1"/>
      <w:numFmt w:val="decimal"/>
      <w:lvlText w:val="%7."/>
      <w:lvlJc w:val="left"/>
      <w:pPr>
        <w:ind w:left="5040" w:hanging="360"/>
      </w:pPr>
    </w:lvl>
    <w:lvl w:ilvl="7" w:tplc="BAE80436" w:tentative="1">
      <w:start w:val="1"/>
      <w:numFmt w:val="lowerLetter"/>
      <w:lvlText w:val="%8."/>
      <w:lvlJc w:val="left"/>
      <w:pPr>
        <w:ind w:left="5760" w:hanging="360"/>
      </w:pPr>
    </w:lvl>
    <w:lvl w:ilvl="8" w:tplc="C95C47A2" w:tentative="1">
      <w:start w:val="1"/>
      <w:numFmt w:val="lowerRoman"/>
      <w:lvlText w:val="%9."/>
      <w:lvlJc w:val="right"/>
      <w:pPr>
        <w:ind w:left="6480" w:hanging="180"/>
      </w:pPr>
    </w:lvl>
  </w:abstractNum>
  <w:abstractNum w:abstractNumId="23" w15:restartNumberingAfterBreak="0">
    <w:nsid w:val="5A0A6D6F"/>
    <w:multiLevelType w:val="multilevel"/>
    <w:tmpl w:val="427CF2D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1A07F2"/>
    <w:multiLevelType w:val="hybridMultilevel"/>
    <w:tmpl w:val="CB307260"/>
    <w:lvl w:ilvl="0" w:tplc="DBB67788">
      <w:start w:val="1"/>
      <w:numFmt w:val="lowerLetter"/>
      <w:lvlText w:val="%1."/>
      <w:lvlJc w:val="left"/>
      <w:pPr>
        <w:ind w:left="720" w:hanging="360"/>
      </w:pPr>
      <w:rPr>
        <w:rFonts w:ascii="Arial" w:hAnsi="Arial" w:cs="Arial" w:hint="default"/>
        <w:b w:val="0"/>
        <w:bCs w:val="0"/>
        <w:sz w:val="20"/>
        <w:szCs w:val="20"/>
      </w:rPr>
    </w:lvl>
    <w:lvl w:ilvl="1" w:tplc="F6B624F8" w:tentative="1">
      <w:start w:val="1"/>
      <w:numFmt w:val="lowerLetter"/>
      <w:lvlText w:val="%2."/>
      <w:lvlJc w:val="left"/>
      <w:pPr>
        <w:ind w:left="1440" w:hanging="360"/>
      </w:pPr>
    </w:lvl>
    <w:lvl w:ilvl="2" w:tplc="812867D4" w:tentative="1">
      <w:start w:val="1"/>
      <w:numFmt w:val="lowerRoman"/>
      <w:lvlText w:val="%3."/>
      <w:lvlJc w:val="right"/>
      <w:pPr>
        <w:ind w:left="2160" w:hanging="180"/>
      </w:pPr>
    </w:lvl>
    <w:lvl w:ilvl="3" w:tplc="C5D299CE" w:tentative="1">
      <w:start w:val="1"/>
      <w:numFmt w:val="decimal"/>
      <w:lvlText w:val="%4."/>
      <w:lvlJc w:val="left"/>
      <w:pPr>
        <w:ind w:left="2880" w:hanging="360"/>
      </w:pPr>
    </w:lvl>
    <w:lvl w:ilvl="4" w:tplc="EDEC2108" w:tentative="1">
      <w:start w:val="1"/>
      <w:numFmt w:val="lowerLetter"/>
      <w:lvlText w:val="%5."/>
      <w:lvlJc w:val="left"/>
      <w:pPr>
        <w:ind w:left="3600" w:hanging="360"/>
      </w:pPr>
    </w:lvl>
    <w:lvl w:ilvl="5" w:tplc="AA1A4EF2" w:tentative="1">
      <w:start w:val="1"/>
      <w:numFmt w:val="lowerRoman"/>
      <w:lvlText w:val="%6."/>
      <w:lvlJc w:val="right"/>
      <w:pPr>
        <w:ind w:left="4320" w:hanging="180"/>
      </w:pPr>
    </w:lvl>
    <w:lvl w:ilvl="6" w:tplc="32B84EA6" w:tentative="1">
      <w:start w:val="1"/>
      <w:numFmt w:val="decimal"/>
      <w:lvlText w:val="%7."/>
      <w:lvlJc w:val="left"/>
      <w:pPr>
        <w:ind w:left="5040" w:hanging="360"/>
      </w:pPr>
    </w:lvl>
    <w:lvl w:ilvl="7" w:tplc="BEE038D8" w:tentative="1">
      <w:start w:val="1"/>
      <w:numFmt w:val="lowerLetter"/>
      <w:lvlText w:val="%8."/>
      <w:lvlJc w:val="left"/>
      <w:pPr>
        <w:ind w:left="5760" w:hanging="360"/>
      </w:pPr>
    </w:lvl>
    <w:lvl w:ilvl="8" w:tplc="4044CD44" w:tentative="1">
      <w:start w:val="1"/>
      <w:numFmt w:val="lowerRoman"/>
      <w:lvlText w:val="%9."/>
      <w:lvlJc w:val="right"/>
      <w:pPr>
        <w:ind w:left="6480" w:hanging="180"/>
      </w:pPr>
    </w:lvl>
  </w:abstractNum>
  <w:abstractNum w:abstractNumId="25" w15:restartNumberingAfterBreak="0">
    <w:nsid w:val="633E1195"/>
    <w:multiLevelType w:val="multilevel"/>
    <w:tmpl w:val="B41E5F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3C31D4"/>
    <w:multiLevelType w:val="multilevel"/>
    <w:tmpl w:val="A866CB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7B03A7"/>
    <w:multiLevelType w:val="hybridMultilevel"/>
    <w:tmpl w:val="9B7691AE"/>
    <w:lvl w:ilvl="0" w:tplc="EE54C2BC">
      <w:start w:val="1"/>
      <w:numFmt w:val="lowerRoman"/>
      <w:lvlText w:val="%1."/>
      <w:lvlJc w:val="left"/>
      <w:pPr>
        <w:ind w:left="1080" w:hanging="360"/>
      </w:pPr>
      <w:rPr>
        <w:rFonts w:ascii="Arial" w:hAnsi="Arial" w:cs="Arial" w:hint="default"/>
        <w:b w:val="0"/>
        <w:i w:val="0"/>
        <w:sz w:val="20"/>
        <w:szCs w:val="20"/>
      </w:rPr>
    </w:lvl>
    <w:lvl w:ilvl="1" w:tplc="1ABAA394" w:tentative="1">
      <w:start w:val="1"/>
      <w:numFmt w:val="lowerLetter"/>
      <w:lvlText w:val="%2."/>
      <w:lvlJc w:val="left"/>
      <w:pPr>
        <w:ind w:left="1800" w:hanging="360"/>
      </w:pPr>
    </w:lvl>
    <w:lvl w:ilvl="2" w:tplc="FA54F1DA" w:tentative="1">
      <w:start w:val="1"/>
      <w:numFmt w:val="lowerRoman"/>
      <w:lvlText w:val="%3."/>
      <w:lvlJc w:val="right"/>
      <w:pPr>
        <w:ind w:left="2520" w:hanging="180"/>
      </w:pPr>
    </w:lvl>
    <w:lvl w:ilvl="3" w:tplc="F8A8E45E" w:tentative="1">
      <w:start w:val="1"/>
      <w:numFmt w:val="decimal"/>
      <w:lvlText w:val="%4."/>
      <w:lvlJc w:val="left"/>
      <w:pPr>
        <w:ind w:left="3240" w:hanging="360"/>
      </w:pPr>
    </w:lvl>
    <w:lvl w:ilvl="4" w:tplc="8940E648" w:tentative="1">
      <w:start w:val="1"/>
      <w:numFmt w:val="lowerLetter"/>
      <w:lvlText w:val="%5."/>
      <w:lvlJc w:val="left"/>
      <w:pPr>
        <w:ind w:left="3960" w:hanging="360"/>
      </w:pPr>
    </w:lvl>
    <w:lvl w:ilvl="5" w:tplc="1C06994A" w:tentative="1">
      <w:start w:val="1"/>
      <w:numFmt w:val="lowerRoman"/>
      <w:lvlText w:val="%6."/>
      <w:lvlJc w:val="right"/>
      <w:pPr>
        <w:ind w:left="4680" w:hanging="180"/>
      </w:pPr>
    </w:lvl>
    <w:lvl w:ilvl="6" w:tplc="55725FEA" w:tentative="1">
      <w:start w:val="1"/>
      <w:numFmt w:val="decimal"/>
      <w:lvlText w:val="%7."/>
      <w:lvlJc w:val="left"/>
      <w:pPr>
        <w:ind w:left="5400" w:hanging="360"/>
      </w:pPr>
    </w:lvl>
    <w:lvl w:ilvl="7" w:tplc="1E40E4F8" w:tentative="1">
      <w:start w:val="1"/>
      <w:numFmt w:val="lowerLetter"/>
      <w:lvlText w:val="%8."/>
      <w:lvlJc w:val="left"/>
      <w:pPr>
        <w:ind w:left="6120" w:hanging="360"/>
      </w:pPr>
    </w:lvl>
    <w:lvl w:ilvl="8" w:tplc="9FC02A06" w:tentative="1">
      <w:start w:val="1"/>
      <w:numFmt w:val="lowerRoman"/>
      <w:lvlText w:val="%9."/>
      <w:lvlJc w:val="right"/>
      <w:pPr>
        <w:ind w:left="6840" w:hanging="180"/>
      </w:pPr>
    </w:lvl>
  </w:abstractNum>
  <w:abstractNum w:abstractNumId="28" w15:restartNumberingAfterBreak="0">
    <w:nsid w:val="7B2D362D"/>
    <w:multiLevelType w:val="hybridMultilevel"/>
    <w:tmpl w:val="358C92AE"/>
    <w:lvl w:ilvl="0" w:tplc="34AE3F36">
      <w:start w:val="2"/>
      <w:numFmt w:val="lowerLetter"/>
      <w:lvlText w:val="%1."/>
      <w:lvlJc w:val="left"/>
      <w:pPr>
        <w:ind w:left="720" w:hanging="360"/>
      </w:pPr>
      <w:rPr>
        <w:rFonts w:ascii="Arial" w:hAnsi="Arial" w:cs="Arial" w:hint="default"/>
        <w:b w:val="0"/>
        <w:bCs w:val="0"/>
        <w:sz w:val="20"/>
        <w:szCs w:val="20"/>
      </w:rPr>
    </w:lvl>
    <w:lvl w:ilvl="1" w:tplc="693EE5C2" w:tentative="1">
      <w:start w:val="1"/>
      <w:numFmt w:val="lowerLetter"/>
      <w:lvlText w:val="%2."/>
      <w:lvlJc w:val="left"/>
      <w:pPr>
        <w:ind w:left="1440" w:hanging="360"/>
      </w:pPr>
    </w:lvl>
    <w:lvl w:ilvl="2" w:tplc="C3E85744" w:tentative="1">
      <w:start w:val="1"/>
      <w:numFmt w:val="lowerRoman"/>
      <w:lvlText w:val="%3."/>
      <w:lvlJc w:val="right"/>
      <w:pPr>
        <w:ind w:left="2160" w:hanging="180"/>
      </w:pPr>
    </w:lvl>
    <w:lvl w:ilvl="3" w:tplc="3062B07A" w:tentative="1">
      <w:start w:val="1"/>
      <w:numFmt w:val="decimal"/>
      <w:lvlText w:val="%4."/>
      <w:lvlJc w:val="left"/>
      <w:pPr>
        <w:ind w:left="2880" w:hanging="360"/>
      </w:pPr>
    </w:lvl>
    <w:lvl w:ilvl="4" w:tplc="ACB08E82" w:tentative="1">
      <w:start w:val="1"/>
      <w:numFmt w:val="lowerLetter"/>
      <w:lvlText w:val="%5."/>
      <w:lvlJc w:val="left"/>
      <w:pPr>
        <w:ind w:left="3600" w:hanging="360"/>
      </w:pPr>
    </w:lvl>
    <w:lvl w:ilvl="5" w:tplc="947001C2" w:tentative="1">
      <w:start w:val="1"/>
      <w:numFmt w:val="lowerRoman"/>
      <w:lvlText w:val="%6."/>
      <w:lvlJc w:val="right"/>
      <w:pPr>
        <w:ind w:left="4320" w:hanging="180"/>
      </w:pPr>
    </w:lvl>
    <w:lvl w:ilvl="6" w:tplc="DEEC8A6E" w:tentative="1">
      <w:start w:val="1"/>
      <w:numFmt w:val="decimal"/>
      <w:lvlText w:val="%7."/>
      <w:lvlJc w:val="left"/>
      <w:pPr>
        <w:ind w:left="5040" w:hanging="360"/>
      </w:pPr>
    </w:lvl>
    <w:lvl w:ilvl="7" w:tplc="16BEE9C4" w:tentative="1">
      <w:start w:val="1"/>
      <w:numFmt w:val="lowerLetter"/>
      <w:lvlText w:val="%8."/>
      <w:lvlJc w:val="left"/>
      <w:pPr>
        <w:ind w:left="5760" w:hanging="360"/>
      </w:pPr>
    </w:lvl>
    <w:lvl w:ilvl="8" w:tplc="90E2CCE0" w:tentative="1">
      <w:start w:val="1"/>
      <w:numFmt w:val="lowerRoman"/>
      <w:lvlText w:val="%9."/>
      <w:lvlJc w:val="right"/>
      <w:pPr>
        <w:ind w:left="6480" w:hanging="180"/>
      </w:pPr>
    </w:lvl>
  </w:abstractNum>
  <w:abstractNum w:abstractNumId="29" w15:restartNumberingAfterBreak="0">
    <w:nsid w:val="7B571D69"/>
    <w:multiLevelType w:val="hybridMultilevel"/>
    <w:tmpl w:val="EB361FD6"/>
    <w:lvl w:ilvl="0" w:tplc="AB5A0F10">
      <w:start w:val="1"/>
      <w:numFmt w:val="decimal"/>
      <w:lvlText w:val="%1."/>
      <w:lvlJc w:val="left"/>
      <w:pPr>
        <w:ind w:left="360" w:hanging="360"/>
      </w:pPr>
      <w:rPr>
        <w:rFonts w:ascii="Arial" w:hAnsi="Arial" w:cs="Arial" w:hint="default"/>
        <w:b w:val="0"/>
        <w:sz w:val="20"/>
        <w:szCs w:val="20"/>
      </w:rPr>
    </w:lvl>
    <w:lvl w:ilvl="1" w:tplc="3C32D3CC" w:tentative="1">
      <w:start w:val="1"/>
      <w:numFmt w:val="lowerLetter"/>
      <w:lvlText w:val="%2."/>
      <w:lvlJc w:val="left"/>
      <w:pPr>
        <w:ind w:left="1440" w:hanging="360"/>
      </w:pPr>
    </w:lvl>
    <w:lvl w:ilvl="2" w:tplc="CE52D308" w:tentative="1">
      <w:start w:val="1"/>
      <w:numFmt w:val="lowerRoman"/>
      <w:lvlText w:val="%3."/>
      <w:lvlJc w:val="right"/>
      <w:pPr>
        <w:ind w:left="2160" w:hanging="180"/>
      </w:pPr>
    </w:lvl>
    <w:lvl w:ilvl="3" w:tplc="8F065CF6" w:tentative="1">
      <w:start w:val="1"/>
      <w:numFmt w:val="decimal"/>
      <w:lvlText w:val="%4."/>
      <w:lvlJc w:val="left"/>
      <w:pPr>
        <w:ind w:left="2880" w:hanging="360"/>
      </w:pPr>
    </w:lvl>
    <w:lvl w:ilvl="4" w:tplc="A67A25B6" w:tentative="1">
      <w:start w:val="1"/>
      <w:numFmt w:val="lowerLetter"/>
      <w:lvlText w:val="%5."/>
      <w:lvlJc w:val="left"/>
      <w:pPr>
        <w:ind w:left="3600" w:hanging="360"/>
      </w:pPr>
    </w:lvl>
    <w:lvl w:ilvl="5" w:tplc="06E4AC74" w:tentative="1">
      <w:start w:val="1"/>
      <w:numFmt w:val="lowerRoman"/>
      <w:lvlText w:val="%6."/>
      <w:lvlJc w:val="right"/>
      <w:pPr>
        <w:ind w:left="4320" w:hanging="180"/>
      </w:pPr>
    </w:lvl>
    <w:lvl w:ilvl="6" w:tplc="4A2E18AC" w:tentative="1">
      <w:start w:val="1"/>
      <w:numFmt w:val="decimal"/>
      <w:lvlText w:val="%7."/>
      <w:lvlJc w:val="left"/>
      <w:pPr>
        <w:ind w:left="5040" w:hanging="360"/>
      </w:pPr>
    </w:lvl>
    <w:lvl w:ilvl="7" w:tplc="F4FAC524" w:tentative="1">
      <w:start w:val="1"/>
      <w:numFmt w:val="lowerLetter"/>
      <w:lvlText w:val="%8."/>
      <w:lvlJc w:val="left"/>
      <w:pPr>
        <w:ind w:left="5760" w:hanging="360"/>
      </w:pPr>
    </w:lvl>
    <w:lvl w:ilvl="8" w:tplc="89C6D528" w:tentative="1">
      <w:start w:val="1"/>
      <w:numFmt w:val="lowerRoman"/>
      <w:lvlText w:val="%9."/>
      <w:lvlJc w:val="right"/>
      <w:pPr>
        <w:ind w:left="6480" w:hanging="180"/>
      </w:pPr>
    </w:lvl>
  </w:abstractNum>
  <w:abstractNum w:abstractNumId="30" w15:restartNumberingAfterBreak="0">
    <w:nsid w:val="7F010B14"/>
    <w:multiLevelType w:val="multilevel"/>
    <w:tmpl w:val="6AA4A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1056BF"/>
    <w:multiLevelType w:val="multilevel"/>
    <w:tmpl w:val="79C26C5E"/>
    <w:lvl w:ilvl="0">
      <w:start w:val="2"/>
      <w:numFmt w:val="decimal"/>
      <w:lvlText w:val="%1."/>
      <w:lvlJc w:val="left"/>
      <w:pPr>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7F646845"/>
    <w:multiLevelType w:val="hybridMultilevel"/>
    <w:tmpl w:val="715671A0"/>
    <w:lvl w:ilvl="0" w:tplc="9AF8B144">
      <w:start w:val="1"/>
      <w:numFmt w:val="lowerLetter"/>
      <w:lvlText w:val="%1."/>
      <w:lvlJc w:val="left"/>
      <w:pPr>
        <w:ind w:left="720" w:hanging="360"/>
      </w:pPr>
      <w:rPr>
        <w:rFonts w:ascii="Arial" w:hAnsi="Arial" w:cs="Arial" w:hint="default"/>
        <w:b w:val="0"/>
        <w:bCs w:val="0"/>
        <w:sz w:val="20"/>
        <w:szCs w:val="20"/>
      </w:rPr>
    </w:lvl>
    <w:lvl w:ilvl="1" w:tplc="FEAA75BA" w:tentative="1">
      <w:start w:val="1"/>
      <w:numFmt w:val="lowerLetter"/>
      <w:lvlText w:val="%2."/>
      <w:lvlJc w:val="left"/>
      <w:pPr>
        <w:ind w:left="1440" w:hanging="360"/>
      </w:pPr>
    </w:lvl>
    <w:lvl w:ilvl="2" w:tplc="D026CAC2" w:tentative="1">
      <w:start w:val="1"/>
      <w:numFmt w:val="lowerRoman"/>
      <w:lvlText w:val="%3."/>
      <w:lvlJc w:val="right"/>
      <w:pPr>
        <w:ind w:left="2160" w:hanging="180"/>
      </w:pPr>
    </w:lvl>
    <w:lvl w:ilvl="3" w:tplc="25708652" w:tentative="1">
      <w:start w:val="1"/>
      <w:numFmt w:val="decimal"/>
      <w:lvlText w:val="%4."/>
      <w:lvlJc w:val="left"/>
      <w:pPr>
        <w:ind w:left="2880" w:hanging="360"/>
      </w:pPr>
    </w:lvl>
    <w:lvl w:ilvl="4" w:tplc="6F602512" w:tentative="1">
      <w:start w:val="1"/>
      <w:numFmt w:val="lowerLetter"/>
      <w:lvlText w:val="%5."/>
      <w:lvlJc w:val="left"/>
      <w:pPr>
        <w:ind w:left="3600" w:hanging="360"/>
      </w:pPr>
    </w:lvl>
    <w:lvl w:ilvl="5" w:tplc="82BCFB7E" w:tentative="1">
      <w:start w:val="1"/>
      <w:numFmt w:val="lowerRoman"/>
      <w:lvlText w:val="%6."/>
      <w:lvlJc w:val="right"/>
      <w:pPr>
        <w:ind w:left="4320" w:hanging="180"/>
      </w:pPr>
    </w:lvl>
    <w:lvl w:ilvl="6" w:tplc="92B0EA3E" w:tentative="1">
      <w:start w:val="1"/>
      <w:numFmt w:val="decimal"/>
      <w:lvlText w:val="%7."/>
      <w:lvlJc w:val="left"/>
      <w:pPr>
        <w:ind w:left="5040" w:hanging="360"/>
      </w:pPr>
    </w:lvl>
    <w:lvl w:ilvl="7" w:tplc="13421C5E" w:tentative="1">
      <w:start w:val="1"/>
      <w:numFmt w:val="lowerLetter"/>
      <w:lvlText w:val="%8."/>
      <w:lvlJc w:val="left"/>
      <w:pPr>
        <w:ind w:left="5760" w:hanging="360"/>
      </w:pPr>
    </w:lvl>
    <w:lvl w:ilvl="8" w:tplc="B3903B0A" w:tentative="1">
      <w:start w:val="1"/>
      <w:numFmt w:val="lowerRoman"/>
      <w:lvlText w:val="%9."/>
      <w:lvlJc w:val="right"/>
      <w:pPr>
        <w:ind w:left="6480" w:hanging="180"/>
      </w:pPr>
    </w:lvl>
  </w:abstractNum>
  <w:num w:numId="1" w16cid:durableId="956790301">
    <w:abstractNumId w:val="8"/>
  </w:num>
  <w:num w:numId="2" w16cid:durableId="553583947">
    <w:abstractNumId w:val="4"/>
  </w:num>
  <w:num w:numId="3" w16cid:durableId="354381698">
    <w:abstractNumId w:val="25"/>
    <w:lvlOverride w:ilvl="0">
      <w:lvl w:ilvl="0">
        <w:start w:val="2"/>
        <w:numFmt w:val="decimal"/>
        <w:lvlText w:val="%1."/>
        <w:lvlJc w:val="left"/>
        <w:pPr>
          <w:ind w:left="360" w:hanging="360"/>
        </w:pPr>
        <w:rPr>
          <w:rFonts w:hint="default"/>
          <w:b w:val="0"/>
          <w:bCs w:val="0"/>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4" w16cid:durableId="1871452791">
    <w:abstractNumId w:val="5"/>
    <w:lvlOverride w:ilvl="0">
      <w:lvl w:ilvl="0">
        <w:start w:val="3"/>
        <w:numFmt w:val="decimal"/>
        <w:lvlText w:val="%1."/>
        <w:lvlJc w:val="left"/>
        <w:pPr>
          <w:ind w:left="360" w:hanging="360"/>
        </w:pPr>
        <w:rPr>
          <w:rFonts w:hint="default"/>
          <w:b w:val="0"/>
          <w:bCs w:val="0"/>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5" w16cid:durableId="1169634556">
    <w:abstractNumId w:val="11"/>
    <w:lvlOverride w:ilvl="0">
      <w:lvl w:ilvl="0">
        <w:start w:val="4"/>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6" w16cid:durableId="929002606">
    <w:abstractNumId w:val="2"/>
    <w:lvlOverride w:ilvl="0">
      <w:lvl w:ilvl="0">
        <w:start w:val="5"/>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7" w16cid:durableId="1153597392">
    <w:abstractNumId w:val="18"/>
    <w:lvlOverride w:ilvl="0">
      <w:lvl w:ilvl="0">
        <w:start w:val="6"/>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8" w16cid:durableId="644706181">
    <w:abstractNumId w:val="30"/>
    <w:lvlOverride w:ilvl="0">
      <w:lvl w:ilvl="0">
        <w:start w:val="7"/>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9" w16cid:durableId="668483852">
    <w:abstractNumId w:val="26"/>
    <w:lvlOverride w:ilvl="0">
      <w:lvl w:ilvl="0">
        <w:start w:val="8"/>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0" w16cid:durableId="321397281">
    <w:abstractNumId w:val="12"/>
  </w:num>
  <w:num w:numId="11" w16cid:durableId="1079443814">
    <w:abstractNumId w:val="10"/>
    <w:lvlOverride w:ilvl="0">
      <w:lvl w:ilvl="0">
        <w:start w:val="2"/>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2" w16cid:durableId="316691157">
    <w:abstractNumId w:val="19"/>
    <w:lvlOverride w:ilvl="0">
      <w:lvl w:ilvl="0">
        <w:start w:val="3"/>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3" w16cid:durableId="498347496">
    <w:abstractNumId w:val="9"/>
    <w:lvlOverride w:ilvl="0">
      <w:lvl w:ilvl="0">
        <w:start w:val="4"/>
        <w:numFmt w:val="decimal"/>
        <w:lvlText w:val="%1."/>
        <w:lvlJc w:val="left"/>
        <w:pPr>
          <w:ind w:left="36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4" w16cid:durableId="988443267">
    <w:abstractNumId w:val="6"/>
  </w:num>
  <w:num w:numId="15" w16cid:durableId="959606072">
    <w:abstractNumId w:val="23"/>
  </w:num>
  <w:num w:numId="16" w16cid:durableId="1041707731">
    <w:abstractNumId w:val="31"/>
  </w:num>
  <w:num w:numId="17" w16cid:durableId="224532603">
    <w:abstractNumId w:val="21"/>
  </w:num>
  <w:num w:numId="18" w16cid:durableId="1950234997">
    <w:abstractNumId w:val="29"/>
  </w:num>
  <w:num w:numId="19" w16cid:durableId="27460650">
    <w:abstractNumId w:val="32"/>
  </w:num>
  <w:num w:numId="20" w16cid:durableId="1379671271">
    <w:abstractNumId w:val="1"/>
  </w:num>
  <w:num w:numId="21" w16cid:durableId="859052209">
    <w:abstractNumId w:val="28"/>
  </w:num>
  <w:num w:numId="22" w16cid:durableId="1341004645">
    <w:abstractNumId w:val="13"/>
  </w:num>
  <w:num w:numId="23" w16cid:durableId="1534417644">
    <w:abstractNumId w:val="24"/>
  </w:num>
  <w:num w:numId="24" w16cid:durableId="877855065">
    <w:abstractNumId w:val="22"/>
  </w:num>
  <w:num w:numId="25" w16cid:durableId="1493989761">
    <w:abstractNumId w:val="7"/>
  </w:num>
  <w:num w:numId="26" w16cid:durableId="1230966037">
    <w:abstractNumId w:val="0"/>
  </w:num>
  <w:num w:numId="27" w16cid:durableId="1237321706">
    <w:abstractNumId w:val="15"/>
  </w:num>
  <w:num w:numId="28" w16cid:durableId="1657110019">
    <w:abstractNumId w:val="27"/>
  </w:num>
  <w:num w:numId="29" w16cid:durableId="1879050158">
    <w:abstractNumId w:val="16"/>
  </w:num>
  <w:num w:numId="30" w16cid:durableId="184633213">
    <w:abstractNumId w:val="14"/>
  </w:num>
  <w:num w:numId="31" w16cid:durableId="1103115556">
    <w:abstractNumId w:val="20"/>
  </w:num>
  <w:num w:numId="32" w16cid:durableId="941257859">
    <w:abstractNumId w:val="3"/>
  </w:num>
  <w:num w:numId="33" w16cid:durableId="1486893277">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57A8B"/>
    <w:rsid w:val="00063B4A"/>
    <w:rsid w:val="00174B84"/>
    <w:rsid w:val="001F2C28"/>
    <w:rsid w:val="002C0FAC"/>
    <w:rsid w:val="003751A0"/>
    <w:rsid w:val="003757AA"/>
    <w:rsid w:val="003948B1"/>
    <w:rsid w:val="003F0F8C"/>
    <w:rsid w:val="003F199D"/>
    <w:rsid w:val="005978AF"/>
    <w:rsid w:val="006933B1"/>
    <w:rsid w:val="006D4DA8"/>
    <w:rsid w:val="00706430"/>
    <w:rsid w:val="0072270D"/>
    <w:rsid w:val="00722D8D"/>
    <w:rsid w:val="00751BB4"/>
    <w:rsid w:val="00824745"/>
    <w:rsid w:val="00866984"/>
    <w:rsid w:val="00895573"/>
    <w:rsid w:val="008B0F5D"/>
    <w:rsid w:val="00960792"/>
    <w:rsid w:val="009F09E5"/>
    <w:rsid w:val="00A463D5"/>
    <w:rsid w:val="00A55A1E"/>
    <w:rsid w:val="00B529DC"/>
    <w:rsid w:val="00B6477D"/>
    <w:rsid w:val="00C4228D"/>
    <w:rsid w:val="00C8109A"/>
    <w:rsid w:val="00D31C37"/>
    <w:rsid w:val="00D36C23"/>
    <w:rsid w:val="00F33956"/>
    <w:rsid w:val="00F4589F"/>
    <w:rsid w:val="00F45D2B"/>
    <w:rsid w:val="00F9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7C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8B"/>
  </w:style>
  <w:style w:type="paragraph" w:styleId="Heading2">
    <w:name w:val="heading 2"/>
    <w:basedOn w:val="Normal"/>
    <w:next w:val="Normal"/>
    <w:link w:val="Heading2Char"/>
    <w:uiPriority w:val="9"/>
    <w:unhideWhenUsed/>
    <w:qFormat/>
    <w:rsid w:val="00895573"/>
    <w:pPr>
      <w:keepNext/>
      <w:keepLines/>
      <w:spacing w:before="40" w:after="0"/>
      <w:jc w:val="center"/>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057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057A8B"/>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B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B4A"/>
  </w:style>
  <w:style w:type="paragraph" w:styleId="Footer">
    <w:name w:val="footer"/>
    <w:basedOn w:val="Normal"/>
    <w:link w:val="FooterChar"/>
    <w:uiPriority w:val="99"/>
    <w:unhideWhenUsed/>
    <w:rsid w:val="00063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B4A"/>
  </w:style>
  <w:style w:type="paragraph" w:styleId="NoSpacing">
    <w:name w:val="No Spacing"/>
    <w:uiPriority w:val="1"/>
    <w:qFormat/>
    <w:rsid w:val="005978AF"/>
    <w:pPr>
      <w:spacing w:after="0" w:line="240" w:lineRule="auto"/>
    </w:pPr>
  </w:style>
  <w:style w:type="character" w:styleId="CommentReference">
    <w:name w:val="annotation reference"/>
    <w:basedOn w:val="DefaultParagraphFont"/>
    <w:uiPriority w:val="99"/>
    <w:semiHidden/>
    <w:unhideWhenUsed/>
    <w:rsid w:val="00895573"/>
    <w:rPr>
      <w:sz w:val="16"/>
      <w:szCs w:val="16"/>
    </w:rPr>
  </w:style>
  <w:style w:type="paragraph" w:styleId="CommentText">
    <w:name w:val="annotation text"/>
    <w:basedOn w:val="Normal"/>
    <w:link w:val="CommentTextChar"/>
    <w:uiPriority w:val="99"/>
    <w:unhideWhenUsed/>
    <w:rsid w:val="00895573"/>
    <w:pPr>
      <w:spacing w:line="240" w:lineRule="auto"/>
    </w:pPr>
    <w:rPr>
      <w:sz w:val="20"/>
      <w:szCs w:val="20"/>
    </w:rPr>
  </w:style>
  <w:style w:type="character" w:customStyle="1" w:styleId="CommentTextChar">
    <w:name w:val="Comment Text Char"/>
    <w:basedOn w:val="DefaultParagraphFont"/>
    <w:link w:val="CommentText"/>
    <w:uiPriority w:val="99"/>
    <w:rsid w:val="00895573"/>
    <w:rPr>
      <w:sz w:val="20"/>
      <w:szCs w:val="20"/>
    </w:rPr>
  </w:style>
  <w:style w:type="character" w:customStyle="1" w:styleId="Heading2Char">
    <w:name w:val="Heading 2 Char"/>
    <w:basedOn w:val="DefaultParagraphFont"/>
    <w:link w:val="Heading2"/>
    <w:uiPriority w:val="9"/>
    <w:rsid w:val="00895573"/>
    <w:rPr>
      <w:rFonts w:ascii="Arial" w:eastAsiaTheme="majorEastAsia" w:hAnsi="Arial" w:cstheme="majorBidi"/>
      <w:b/>
      <w:sz w:val="28"/>
      <w:szCs w:val="26"/>
    </w:rPr>
  </w:style>
  <w:style w:type="paragraph" w:styleId="ListParagraph">
    <w:name w:val="List Paragraph"/>
    <w:basedOn w:val="Normal"/>
    <w:uiPriority w:val="34"/>
    <w:qFormat/>
    <w:rsid w:val="00895573"/>
    <w:pPr>
      <w:ind w:left="720"/>
      <w:contextualSpacing/>
    </w:pPr>
  </w:style>
  <w:style w:type="character" w:styleId="Hyperlink">
    <w:name w:val="Hyperlink"/>
    <w:basedOn w:val="DefaultParagraphFont"/>
    <w:uiPriority w:val="99"/>
    <w:unhideWhenUsed/>
    <w:rsid w:val="00C8109A"/>
    <w:rPr>
      <w:color w:val="0563C1" w:themeColor="hyperlink"/>
      <w:u w:val="single"/>
    </w:rPr>
  </w:style>
  <w:style w:type="character" w:styleId="UnresolvedMention">
    <w:name w:val="Unresolved Mention"/>
    <w:basedOn w:val="DefaultParagraphFont"/>
    <w:uiPriority w:val="99"/>
    <w:semiHidden/>
    <w:unhideWhenUsed/>
    <w:rsid w:val="00C8109A"/>
    <w:rPr>
      <w:color w:val="605E5C"/>
      <w:shd w:val="clear" w:color="auto" w:fill="E1DFDD"/>
    </w:rPr>
  </w:style>
  <w:style w:type="character" w:styleId="FollowedHyperlink">
    <w:name w:val="FollowedHyperlink"/>
    <w:basedOn w:val="DefaultParagraphFont"/>
    <w:uiPriority w:val="99"/>
    <w:semiHidden/>
    <w:unhideWhenUsed/>
    <w:rsid w:val="00C8109A"/>
    <w:rPr>
      <w:color w:val="954F72" w:themeColor="followedHyperlink"/>
      <w:u w:val="single"/>
    </w:rPr>
  </w:style>
  <w:style w:type="paragraph" w:customStyle="1" w:styleId="Heading4A">
    <w:name w:val="Heading 4A"/>
    <w:basedOn w:val="Heading3"/>
    <w:qFormat/>
    <w:rsid w:val="00057A8B"/>
    <w:pPr>
      <w:spacing w:before="12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057A8B"/>
    <w:pPr>
      <w:spacing w:before="60" w:after="240"/>
    </w:pPr>
    <w:rPr>
      <w:rFonts w:cs="Times New Roman"/>
    </w:rPr>
  </w:style>
  <w:style w:type="character" w:customStyle="1" w:styleId="Heading3Char">
    <w:name w:val="Heading 3 Char"/>
    <w:basedOn w:val="DefaultParagraphFont"/>
    <w:link w:val="Heading3"/>
    <w:uiPriority w:val="9"/>
    <w:semiHidden/>
    <w:rsid w:val="00057A8B"/>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057A8B"/>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dx.ep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s://cdx.epa.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5478</Words>
  <Characters>31228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63-6JE-09 Area HAP Source Boiler - Existing Large Coal</dc:title>
  <dc:subject>63-6JE-09 Area HAP Source Boiler - Existing Large Coal</dc:subject>
  <dc:creator>EGLE, Air Quality Division</dc:creator>
  <cp:keywords>AQD, air, ROP, public notice, Title V</cp:keywords>
  <cp:lastModifiedBy>Orent, Kelly (EGLE)</cp:lastModifiedBy>
  <cp:revision>2</cp:revision>
  <dcterms:created xsi:type="dcterms:W3CDTF">2026-07-06T18:57:00Z</dcterms:created>
  <dcterms:modified xsi:type="dcterms:W3CDTF">2026-07-06T18:57:00Z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46761266-3a9a-44c2-8a9b-5acf892dd2ed</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2023-09-15T17:34:50Z</vt:lpwstr>
  </property>
  <property fmtid="{D5CDD505-2E9C-101B-9397-08002B2CF9AE}" pid="8" name="MSIP_Label_2f46dfe0-534f-4c95-815c-5b1af86b9823_SiteId">
    <vt:lpwstr>d5fb7087-3777-42ad-966a-892ef47225d1</vt:lpwstr>
  </property>
</Properties>
</file>